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AA6" w:rsidRPr="004B40F7" w:rsidRDefault="00FC6A16" w:rsidP="004B40F7">
      <w:pPr>
        <w:pStyle w:val="Akapitzlist"/>
        <w:ind w:left="0"/>
        <w:jc w:val="center"/>
        <w:rPr>
          <w:rFonts w:ascii="Calibri Light" w:hAnsi="Calibri Light" w:cs="Calibri Light"/>
          <w:b/>
          <w:bCs/>
          <w:sz w:val="22"/>
          <w:szCs w:val="22"/>
          <w:lang w:val="en-GB"/>
        </w:rPr>
      </w:pPr>
      <w:r w:rsidRPr="004B40F7">
        <w:rPr>
          <w:rFonts w:ascii="Calibri Light" w:hAnsi="Calibri Light" w:cs="Calibri Light"/>
          <w:b/>
          <w:bCs/>
          <w:sz w:val="22"/>
          <w:szCs w:val="22"/>
          <w:lang w:val="en-GB"/>
        </w:rPr>
        <w:t xml:space="preserve">Information on the processing of personal data of natural persons by </w:t>
      </w:r>
      <w:r w:rsidRPr="004B40F7">
        <w:rPr>
          <w:rFonts w:ascii="Calibri Light" w:hAnsi="Calibri Light" w:cs="Calibri Light"/>
          <w:b/>
          <w:bCs/>
          <w:sz w:val="22"/>
          <w:szCs w:val="22"/>
          <w:lang w:val="en-GB"/>
        </w:rPr>
        <w:br/>
        <w:t xml:space="preserve">the National Information Processing Institute </w:t>
      </w:r>
      <w:r w:rsidRPr="004B40F7">
        <w:rPr>
          <w:rFonts w:ascii="Calibri Light" w:hAnsi="Calibri Light" w:cs="Calibri Light"/>
          <w:b/>
          <w:bCs/>
          <w:sz w:val="22"/>
          <w:szCs w:val="22"/>
          <w:lang w:val="en-GB"/>
        </w:rPr>
        <w:br/>
        <w:t>in Warsaw</w:t>
      </w:r>
    </w:p>
    <w:p w:rsidR="00B74AA6" w:rsidRPr="004B40F7" w:rsidRDefault="00FC6A16" w:rsidP="004B40F7">
      <w:pPr>
        <w:jc w:val="center"/>
        <w:rPr>
          <w:rFonts w:ascii="Calibri Light" w:hAnsi="Calibri Light" w:cs="Calibri Light"/>
          <w:b/>
          <w:bCs/>
          <w:sz w:val="22"/>
          <w:szCs w:val="22"/>
          <w:lang w:val="en-GB"/>
        </w:rPr>
      </w:pPr>
      <w:r w:rsidRPr="004B40F7">
        <w:rPr>
          <w:rFonts w:ascii="Calibri Light" w:hAnsi="Calibri Light" w:cs="Calibri Light"/>
          <w:b/>
          <w:bCs/>
          <w:sz w:val="22"/>
          <w:szCs w:val="22"/>
          <w:lang w:val="en-GB"/>
        </w:rPr>
        <w:t>regarding public procurement</w:t>
      </w:r>
    </w:p>
    <w:p w:rsidR="00B74AA6" w:rsidRPr="004B40F7" w:rsidRDefault="00B74AA6" w:rsidP="00B74AA6">
      <w:pPr>
        <w:pStyle w:val="Akapitzlist"/>
        <w:jc w:val="both"/>
        <w:rPr>
          <w:rFonts w:ascii="Calibri Light" w:hAnsi="Calibri Light" w:cs="Calibri Light"/>
          <w:b/>
          <w:bCs/>
          <w:lang w:val="en-GB"/>
        </w:rPr>
      </w:pPr>
    </w:p>
    <w:p w:rsidR="00F451B2" w:rsidRPr="004B40F7" w:rsidRDefault="00F451B2" w:rsidP="00B74AA6">
      <w:pPr>
        <w:pStyle w:val="Akapitzlist"/>
        <w:jc w:val="both"/>
        <w:rPr>
          <w:rFonts w:ascii="Calibri Light" w:hAnsi="Calibri Light" w:cs="Calibri Light"/>
          <w:b/>
          <w:bCs/>
          <w:lang w:val="en-GB"/>
        </w:rPr>
      </w:pPr>
    </w:p>
    <w:p w:rsidR="00B74AA6" w:rsidRPr="004B40F7" w:rsidRDefault="00FC6A16" w:rsidP="00B74AA6">
      <w:pPr>
        <w:pStyle w:val="Akapitzlist"/>
        <w:ind w:left="0"/>
        <w:jc w:val="both"/>
        <w:rPr>
          <w:rFonts w:ascii="Calibri Light" w:hAnsi="Calibri Light" w:cs="Calibri Light"/>
          <w:b/>
          <w:bCs/>
          <w:sz w:val="22"/>
          <w:szCs w:val="22"/>
          <w:lang w:val="en-GB"/>
        </w:rPr>
      </w:pPr>
      <w:r w:rsidRPr="004B40F7">
        <w:rPr>
          <w:rFonts w:ascii="Calibri Light" w:hAnsi="Calibri Light" w:cs="Calibri Light"/>
          <w:b/>
          <w:bCs/>
          <w:sz w:val="22"/>
          <w:szCs w:val="22"/>
          <w:lang w:val="en-GB"/>
        </w:rPr>
        <w:t>Pursuant to Articles 13 and 14 of Regulation (EU) 2016/679 of the European Parliament and of the Council of 27 April 2016 on the protection of individuals with regard to the processing of personal data and on the free movement of such data and repealing Directive 95/46 /EC (hereinafter: ‘GDPR’), we inform that:</w:t>
      </w:r>
    </w:p>
    <w:p w:rsidR="00B74AA6" w:rsidRPr="004B40F7" w:rsidRDefault="00B74AA6" w:rsidP="00B74AA6">
      <w:pPr>
        <w:pStyle w:val="Akapitzlist"/>
        <w:ind w:left="0"/>
        <w:jc w:val="both"/>
        <w:rPr>
          <w:rFonts w:ascii="Calibri Light" w:hAnsi="Calibri Light" w:cs="Calibri Light"/>
          <w:lang w:val="en-GB"/>
        </w:rPr>
      </w:pPr>
    </w:p>
    <w:p w:rsidR="002424DD" w:rsidRPr="004B40F7" w:rsidRDefault="00FC6A16" w:rsidP="006D645D">
      <w:pPr>
        <w:pStyle w:val="Akapitzlist"/>
        <w:numPr>
          <w:ilvl w:val="0"/>
          <w:numId w:val="22"/>
        </w:numPr>
        <w:ind w:left="284" w:hanging="284"/>
        <w:jc w:val="both"/>
        <w:rPr>
          <w:rFonts w:cs="Calibri"/>
          <w:lang w:val="en-GB"/>
        </w:rPr>
      </w:pPr>
      <w:r w:rsidRPr="004B40F7">
        <w:rPr>
          <w:rFonts w:cs="Calibri"/>
          <w:sz w:val="22"/>
          <w:szCs w:val="22"/>
          <w:lang w:val="en-GB"/>
        </w:rPr>
        <w:t xml:space="preserve">The National Information Processing Institute (OPI) with the registered office at the following address: Al. </w:t>
      </w:r>
      <w:proofErr w:type="spellStart"/>
      <w:r w:rsidRPr="004B40F7">
        <w:rPr>
          <w:rFonts w:cs="Calibri"/>
          <w:sz w:val="22"/>
          <w:szCs w:val="22"/>
          <w:lang w:val="en-GB"/>
        </w:rPr>
        <w:t>Niepodległości</w:t>
      </w:r>
      <w:proofErr w:type="spellEnd"/>
      <w:r w:rsidRPr="004B40F7">
        <w:rPr>
          <w:rFonts w:cs="Calibri"/>
          <w:sz w:val="22"/>
          <w:szCs w:val="22"/>
          <w:lang w:val="en-GB"/>
        </w:rPr>
        <w:t xml:space="preserve"> 188B serves, within the meaning of article 4(7) of GDPR, as the controller of personal data of natural persons which is processed </w:t>
      </w:r>
      <w:r w:rsidR="006D645D" w:rsidRPr="004B40F7">
        <w:rPr>
          <w:rFonts w:cs="Calibri"/>
          <w:sz w:val="22"/>
          <w:szCs w:val="22"/>
          <w:lang w:val="en-GB"/>
        </w:rPr>
        <w:t>in</w:t>
      </w:r>
      <w:r w:rsidRPr="004B40F7">
        <w:rPr>
          <w:rFonts w:cs="Calibri"/>
          <w:sz w:val="22"/>
          <w:szCs w:val="22"/>
          <w:lang w:val="en-GB"/>
        </w:rPr>
        <w:t xml:space="preserve"> </w:t>
      </w:r>
      <w:r w:rsidR="006D645D" w:rsidRPr="004B40F7">
        <w:rPr>
          <w:rFonts w:cs="Calibri"/>
          <w:sz w:val="22"/>
          <w:szCs w:val="22"/>
          <w:lang w:val="en-GB"/>
        </w:rPr>
        <w:t xml:space="preserve">the </w:t>
      </w:r>
      <w:r w:rsidRPr="004B40F7">
        <w:rPr>
          <w:rFonts w:cs="Calibri"/>
          <w:sz w:val="22"/>
          <w:szCs w:val="22"/>
          <w:lang w:val="en-GB"/>
        </w:rPr>
        <w:t>public procurement</w:t>
      </w:r>
      <w:r w:rsidR="006D645D" w:rsidRPr="004B40F7">
        <w:rPr>
          <w:rFonts w:cs="Calibri"/>
          <w:sz w:val="22"/>
          <w:szCs w:val="22"/>
          <w:lang w:val="en-GB"/>
        </w:rPr>
        <w:t xml:space="preserve"> process</w:t>
      </w:r>
      <w:r w:rsidRPr="004B40F7">
        <w:rPr>
          <w:rFonts w:cs="Calibri"/>
          <w:sz w:val="22"/>
          <w:szCs w:val="22"/>
          <w:lang w:val="en-GB"/>
        </w:rPr>
        <w:t>.</w:t>
      </w:r>
    </w:p>
    <w:p w:rsidR="00B74AA6" w:rsidRPr="004B40F7" w:rsidRDefault="006D645D" w:rsidP="006D645D">
      <w:pPr>
        <w:pStyle w:val="Akapitzlist"/>
        <w:numPr>
          <w:ilvl w:val="0"/>
          <w:numId w:val="22"/>
        </w:numPr>
        <w:ind w:left="284" w:hanging="284"/>
        <w:jc w:val="both"/>
        <w:rPr>
          <w:rFonts w:cs="Calibri"/>
          <w:lang w:val="en-GB"/>
        </w:rPr>
      </w:pPr>
      <w:r w:rsidRPr="004B40F7">
        <w:rPr>
          <w:rFonts w:cs="Calibri"/>
          <w:sz w:val="22"/>
          <w:szCs w:val="22"/>
          <w:lang w:val="en-GB"/>
        </w:rPr>
        <w:t xml:space="preserve">The controller can be contacted by email at </w:t>
      </w:r>
      <w:hyperlink r:id="rId7" w:history="1">
        <w:r w:rsidRPr="004B40F7">
          <w:rPr>
            <w:rStyle w:val="Hipercze"/>
            <w:rFonts w:cs="Calibri"/>
            <w:sz w:val="22"/>
            <w:szCs w:val="22"/>
            <w:lang w:val="en-GB"/>
          </w:rPr>
          <w:t>opi@opi.org.pl</w:t>
        </w:r>
      </w:hyperlink>
      <w:r w:rsidRPr="004B40F7">
        <w:rPr>
          <w:rFonts w:cs="Calibri"/>
          <w:sz w:val="22"/>
          <w:szCs w:val="22"/>
          <w:lang w:val="en-GB"/>
        </w:rPr>
        <w:t xml:space="preserve"> or by phone at (+48) 22 570 14 00.</w:t>
      </w:r>
    </w:p>
    <w:p w:rsidR="00B74AA6" w:rsidRPr="004B40F7" w:rsidRDefault="006D645D" w:rsidP="006D645D">
      <w:pPr>
        <w:pStyle w:val="Akapitzlist"/>
        <w:numPr>
          <w:ilvl w:val="0"/>
          <w:numId w:val="22"/>
        </w:numPr>
        <w:ind w:left="284" w:hanging="284"/>
        <w:jc w:val="both"/>
        <w:rPr>
          <w:rFonts w:cs="Calibri"/>
          <w:sz w:val="22"/>
          <w:szCs w:val="22"/>
          <w:lang w:val="en-GB"/>
        </w:rPr>
      </w:pPr>
      <w:r w:rsidRPr="004B40F7">
        <w:rPr>
          <w:rFonts w:cs="Calibri"/>
          <w:bCs/>
          <w:color w:val="000000"/>
          <w:sz w:val="22"/>
          <w:szCs w:val="22"/>
          <w:lang w:val="en-GB"/>
        </w:rPr>
        <w:t>Personal data will be processed to:</w:t>
      </w:r>
      <w:r w:rsidR="00B74AA6" w:rsidRPr="004B40F7">
        <w:rPr>
          <w:rFonts w:cs="Calibri"/>
          <w:bCs/>
          <w:color w:val="000000"/>
          <w:sz w:val="22"/>
          <w:szCs w:val="22"/>
          <w:lang w:val="en-GB"/>
        </w:rPr>
        <w:t xml:space="preserve"> </w:t>
      </w:r>
    </w:p>
    <w:p w:rsidR="00664660" w:rsidRPr="004B40F7" w:rsidRDefault="006D645D" w:rsidP="00423A02">
      <w:pPr>
        <w:pStyle w:val="Akapitzlist1"/>
        <w:numPr>
          <w:ilvl w:val="0"/>
          <w:numId w:val="2"/>
        </w:numPr>
        <w:tabs>
          <w:tab w:val="left" w:pos="567"/>
        </w:tabs>
        <w:spacing w:after="0" w:line="259" w:lineRule="auto"/>
        <w:ind w:left="567" w:hanging="283"/>
        <w:jc w:val="both"/>
        <w:rPr>
          <w:rFonts w:cs="Calibri"/>
          <w:lang w:val="en-GB"/>
        </w:rPr>
      </w:pPr>
      <w:r w:rsidRPr="004B40F7">
        <w:rPr>
          <w:rFonts w:cs="Calibri"/>
          <w:bCs/>
          <w:color w:val="000000"/>
          <w:lang w:val="en-GB"/>
        </w:rPr>
        <w:t xml:space="preserve">select the most favourable tender in a public procurement process in </w:t>
      </w:r>
      <w:r w:rsidR="00423A02" w:rsidRPr="004B40F7">
        <w:rPr>
          <w:rFonts w:cs="Calibri"/>
          <w:bCs/>
          <w:color w:val="000000"/>
          <w:lang w:val="en-GB"/>
        </w:rPr>
        <w:t xml:space="preserve">compliance </w:t>
      </w:r>
      <w:r w:rsidRPr="004B40F7">
        <w:rPr>
          <w:rFonts w:cs="Calibri"/>
          <w:bCs/>
          <w:color w:val="000000"/>
          <w:lang w:val="en-GB"/>
        </w:rPr>
        <w:t xml:space="preserve">with the applicable legal regulations or </w:t>
      </w:r>
      <w:r w:rsidR="00423A02" w:rsidRPr="004B40F7">
        <w:rPr>
          <w:rFonts w:cs="Calibri"/>
          <w:bCs/>
          <w:color w:val="000000"/>
          <w:lang w:val="en-GB"/>
        </w:rPr>
        <w:t>the</w:t>
      </w:r>
      <w:r w:rsidRPr="004B40F7">
        <w:rPr>
          <w:rFonts w:cs="Calibri"/>
          <w:bCs/>
          <w:color w:val="000000"/>
          <w:lang w:val="en-GB"/>
        </w:rPr>
        <w:t xml:space="preserve"> internal public procurement </w:t>
      </w:r>
      <w:r w:rsidR="00423A02" w:rsidRPr="004B40F7">
        <w:rPr>
          <w:rFonts w:cs="Calibri"/>
          <w:bCs/>
          <w:color w:val="000000"/>
          <w:lang w:val="en-GB"/>
        </w:rPr>
        <w:t xml:space="preserve">rules </w:t>
      </w:r>
      <w:r w:rsidRPr="004B40F7">
        <w:rPr>
          <w:rFonts w:cs="Calibri"/>
          <w:bCs/>
          <w:color w:val="000000"/>
          <w:lang w:val="en-GB"/>
        </w:rPr>
        <w:t>established by the ordering party,</w:t>
      </w:r>
    </w:p>
    <w:p w:rsidR="007E3E26" w:rsidRPr="004B40F7" w:rsidRDefault="00423A02" w:rsidP="00423A02">
      <w:pPr>
        <w:pStyle w:val="Akapitzlist1"/>
        <w:numPr>
          <w:ilvl w:val="0"/>
          <w:numId w:val="2"/>
        </w:numPr>
        <w:tabs>
          <w:tab w:val="left" w:pos="567"/>
        </w:tabs>
        <w:spacing w:after="0" w:line="259" w:lineRule="auto"/>
        <w:ind w:left="567" w:hanging="283"/>
        <w:jc w:val="both"/>
        <w:rPr>
          <w:rFonts w:cs="Calibri"/>
          <w:lang w:val="en-GB"/>
        </w:rPr>
      </w:pPr>
      <w:r w:rsidRPr="004B40F7">
        <w:rPr>
          <w:rFonts w:cs="Calibri"/>
          <w:lang w:val="en-GB"/>
        </w:rPr>
        <w:t>supervise the awarded public procurement contracts,</w:t>
      </w:r>
    </w:p>
    <w:p w:rsidR="0088148F" w:rsidRPr="004B40F7" w:rsidRDefault="00423A02" w:rsidP="00423A02">
      <w:pPr>
        <w:pStyle w:val="Akapitzlist1"/>
        <w:numPr>
          <w:ilvl w:val="0"/>
          <w:numId w:val="2"/>
        </w:numPr>
        <w:tabs>
          <w:tab w:val="left" w:pos="567"/>
        </w:tabs>
        <w:spacing w:after="0" w:line="259" w:lineRule="auto"/>
        <w:ind w:left="567" w:hanging="283"/>
        <w:jc w:val="both"/>
        <w:rPr>
          <w:rFonts w:cs="Calibri"/>
          <w:lang w:val="en-GB"/>
        </w:rPr>
      </w:pPr>
      <w:r w:rsidRPr="004B40F7">
        <w:rPr>
          <w:rFonts w:cs="Calibri"/>
          <w:lang w:val="en-GB"/>
        </w:rPr>
        <w:t>enforce legal remedies applied in a public procurement process,</w:t>
      </w:r>
    </w:p>
    <w:p w:rsidR="00500F7C" w:rsidRPr="004B40F7" w:rsidRDefault="004B40F7" w:rsidP="000B0773">
      <w:pPr>
        <w:pStyle w:val="Akapitzlist1"/>
        <w:numPr>
          <w:ilvl w:val="0"/>
          <w:numId w:val="2"/>
        </w:numPr>
        <w:tabs>
          <w:tab w:val="left" w:pos="567"/>
        </w:tabs>
        <w:spacing w:after="0" w:line="259" w:lineRule="auto"/>
        <w:ind w:left="567" w:hanging="283"/>
        <w:jc w:val="both"/>
        <w:rPr>
          <w:rFonts w:cs="Calibri"/>
          <w:lang w:val="en-GB"/>
        </w:rPr>
      </w:pPr>
      <w:r>
        <w:rPr>
          <w:lang w:val="en-GB"/>
        </w:rPr>
        <w:t>fulfil</w:t>
      </w:r>
      <w:r w:rsidR="000B0773" w:rsidRPr="004B40F7">
        <w:rPr>
          <w:lang w:val="en-GB"/>
        </w:rPr>
        <w:t xml:space="preserve"> the objectives related to the financing of public procurement contracts from EU funds,</w:t>
      </w:r>
    </w:p>
    <w:p w:rsidR="0007297C" w:rsidRPr="004B40F7" w:rsidRDefault="000B0773" w:rsidP="000B0773">
      <w:pPr>
        <w:pStyle w:val="Akapitzlist1"/>
        <w:numPr>
          <w:ilvl w:val="0"/>
          <w:numId w:val="2"/>
        </w:numPr>
        <w:tabs>
          <w:tab w:val="left" w:pos="567"/>
        </w:tabs>
        <w:spacing w:after="0" w:line="259" w:lineRule="auto"/>
        <w:ind w:left="567" w:hanging="283"/>
        <w:jc w:val="both"/>
        <w:rPr>
          <w:rFonts w:cs="Calibri"/>
          <w:lang w:val="en-GB"/>
        </w:rPr>
      </w:pPr>
      <w:r w:rsidRPr="004B40F7">
        <w:rPr>
          <w:rFonts w:cs="Calibri"/>
          <w:lang w:val="en-GB"/>
        </w:rPr>
        <w:t>archive relevant information,</w:t>
      </w:r>
    </w:p>
    <w:p w:rsidR="00335744" w:rsidRPr="004B40F7" w:rsidRDefault="000B0773" w:rsidP="00114076">
      <w:pPr>
        <w:pStyle w:val="Akapitzlist1"/>
        <w:numPr>
          <w:ilvl w:val="0"/>
          <w:numId w:val="2"/>
        </w:numPr>
        <w:tabs>
          <w:tab w:val="left" w:pos="567"/>
        </w:tabs>
        <w:spacing w:after="0" w:line="259" w:lineRule="auto"/>
        <w:ind w:left="567" w:hanging="283"/>
        <w:jc w:val="both"/>
        <w:rPr>
          <w:rFonts w:cs="Calibri"/>
          <w:lang w:val="en-GB"/>
        </w:rPr>
      </w:pPr>
      <w:r w:rsidRPr="004B40F7">
        <w:rPr>
          <w:rFonts w:cs="Calibri"/>
          <w:lang w:val="en-GB"/>
        </w:rPr>
        <w:t xml:space="preserve">determine, </w:t>
      </w:r>
      <w:r w:rsidR="00114076" w:rsidRPr="004B40F7">
        <w:rPr>
          <w:rFonts w:cs="Calibri"/>
          <w:lang w:val="en-GB"/>
        </w:rPr>
        <w:t>assert or defend</w:t>
      </w:r>
      <w:r w:rsidRPr="004B40F7">
        <w:rPr>
          <w:rFonts w:cs="Calibri"/>
          <w:lang w:val="en-GB"/>
        </w:rPr>
        <w:t xml:space="preserve"> claims</w:t>
      </w:r>
      <w:r w:rsidR="00114076" w:rsidRPr="004B40F7">
        <w:rPr>
          <w:rFonts w:cs="Calibri"/>
          <w:lang w:val="en-GB"/>
        </w:rPr>
        <w:t>.</w:t>
      </w:r>
    </w:p>
    <w:p w:rsidR="00B74AA6" w:rsidRPr="004B40F7" w:rsidRDefault="00114076" w:rsidP="00AA4BC5">
      <w:pPr>
        <w:pStyle w:val="Akapitzlist1"/>
        <w:numPr>
          <w:ilvl w:val="0"/>
          <w:numId w:val="22"/>
        </w:numPr>
        <w:tabs>
          <w:tab w:val="left" w:pos="851"/>
        </w:tabs>
        <w:spacing w:after="0" w:line="259" w:lineRule="auto"/>
        <w:ind w:left="284" w:hanging="284"/>
        <w:jc w:val="both"/>
        <w:rPr>
          <w:rFonts w:cs="Calibri"/>
          <w:lang w:val="en-GB"/>
        </w:rPr>
      </w:pPr>
      <w:r w:rsidRPr="004B40F7">
        <w:rPr>
          <w:rFonts w:cs="Calibri"/>
          <w:lang w:val="en-GB"/>
        </w:rPr>
        <w:t>The following are</w:t>
      </w:r>
      <w:r w:rsidR="00AA4BC5" w:rsidRPr="004B40F7">
        <w:rPr>
          <w:rFonts w:cs="Calibri"/>
          <w:lang w:val="en-GB"/>
        </w:rPr>
        <w:t xml:space="preserve"> </w:t>
      </w:r>
      <w:r w:rsidR="00EB13E8" w:rsidRPr="004B40F7">
        <w:rPr>
          <w:rFonts w:cs="Calibri"/>
          <w:lang w:val="en-GB"/>
        </w:rPr>
        <w:t>the premises</w:t>
      </w:r>
      <w:r w:rsidR="00AA4BC5" w:rsidRPr="004B40F7">
        <w:rPr>
          <w:rFonts w:cs="Calibri"/>
          <w:lang w:val="en-GB"/>
        </w:rPr>
        <w:t xml:space="preserve"> that legalize the processing of personal data:</w:t>
      </w:r>
      <w:r w:rsidR="00B74AA6" w:rsidRPr="004B40F7">
        <w:rPr>
          <w:rFonts w:cs="Calibri"/>
          <w:bCs/>
          <w:color w:val="000000"/>
          <w:lang w:val="en-GB"/>
        </w:rPr>
        <w:t xml:space="preserve"> </w:t>
      </w:r>
    </w:p>
    <w:p w:rsidR="00B74AA6" w:rsidRPr="004B40F7" w:rsidRDefault="00AA4BC5" w:rsidP="00AA4BC5">
      <w:pPr>
        <w:pStyle w:val="Akapitzlist1"/>
        <w:numPr>
          <w:ilvl w:val="0"/>
          <w:numId w:val="3"/>
        </w:numPr>
        <w:tabs>
          <w:tab w:val="left" w:pos="567"/>
        </w:tabs>
        <w:spacing w:after="0" w:line="259" w:lineRule="auto"/>
        <w:ind w:left="567" w:hanging="283"/>
        <w:jc w:val="both"/>
        <w:rPr>
          <w:rFonts w:cs="Calibri"/>
          <w:lang w:val="en-GB"/>
        </w:rPr>
      </w:pPr>
      <w:r w:rsidRPr="004B40F7">
        <w:rPr>
          <w:rFonts w:cs="Calibri"/>
          <w:lang w:val="en-GB"/>
        </w:rPr>
        <w:t xml:space="preserve">in the case of the purposes specified in sections 3a) through 3c) – Article 6(1)(c) of the GDPR, according to which processing shall be lawful if it is necessary for compliance with legal obligations to which the controller is subject and which arise from the </w:t>
      </w:r>
      <w:r w:rsidRPr="004B40F7">
        <w:rPr>
          <w:rFonts w:cs="Calibri"/>
          <w:i/>
          <w:lang w:val="en-GB"/>
        </w:rPr>
        <w:t>Public Procurement Act</w:t>
      </w:r>
      <w:r w:rsidRPr="004B40F7">
        <w:rPr>
          <w:rFonts w:cs="Calibri"/>
          <w:lang w:val="en-GB"/>
        </w:rPr>
        <w:t xml:space="preserve"> of 11 September 2019 or from the </w:t>
      </w:r>
      <w:r w:rsidRPr="004B40F7">
        <w:rPr>
          <w:rFonts w:cs="Calibri"/>
          <w:i/>
          <w:lang w:val="en-GB"/>
        </w:rPr>
        <w:t>Rules on awarding public procurement contracts valued less than PLN 130,000 net</w:t>
      </w:r>
      <w:r w:rsidRPr="004B40F7">
        <w:rPr>
          <w:rFonts w:cs="Calibri"/>
          <w:lang w:val="en-GB"/>
        </w:rPr>
        <w:t>, under which public procurement contracts are awarded,</w:t>
      </w:r>
    </w:p>
    <w:p w:rsidR="000C09BE" w:rsidRPr="004B40F7" w:rsidRDefault="00AA4BC5" w:rsidP="00AA4BC5">
      <w:pPr>
        <w:pStyle w:val="Akapitzlist1"/>
        <w:numPr>
          <w:ilvl w:val="0"/>
          <w:numId w:val="3"/>
        </w:numPr>
        <w:tabs>
          <w:tab w:val="left" w:pos="567"/>
        </w:tabs>
        <w:spacing w:after="0" w:line="259" w:lineRule="auto"/>
        <w:ind w:left="567" w:hanging="283"/>
        <w:jc w:val="both"/>
        <w:rPr>
          <w:rFonts w:cs="Calibri"/>
          <w:lang w:val="en-GB"/>
        </w:rPr>
      </w:pPr>
      <w:r w:rsidRPr="004B40F7">
        <w:rPr>
          <w:rFonts w:cs="Calibri"/>
          <w:lang w:val="en-GB"/>
        </w:rPr>
        <w:t xml:space="preserve">in the case of the purpose specified in section 3d) </w:t>
      </w:r>
      <w:r w:rsidRPr="004B40F7">
        <w:rPr>
          <w:rFonts w:cs="Calibri"/>
          <w:lang w:val="en-GB"/>
        </w:rPr>
        <w:softHyphen/>
        <w:t>– Article 6(1)(c) of the GDPR, according to which processing shall be lawful if it is necessary for compliance with legal obligations to which the controller is subject and which arise from the Act of 28 April 2022 on implementation of tasks financed from EU funds in the 2021–2027 financial perspective,</w:t>
      </w:r>
    </w:p>
    <w:p w:rsidR="00B74AA6" w:rsidRPr="004B40F7" w:rsidRDefault="00AA4BC5" w:rsidP="00AA4BC5">
      <w:pPr>
        <w:pStyle w:val="Akapitzlist1"/>
        <w:numPr>
          <w:ilvl w:val="0"/>
          <w:numId w:val="3"/>
        </w:numPr>
        <w:tabs>
          <w:tab w:val="left" w:pos="567"/>
        </w:tabs>
        <w:spacing w:after="0" w:line="259" w:lineRule="auto"/>
        <w:ind w:left="567" w:hanging="283"/>
        <w:jc w:val="both"/>
        <w:rPr>
          <w:rFonts w:cs="Calibri"/>
          <w:lang w:val="en-GB"/>
        </w:rPr>
      </w:pPr>
      <w:r w:rsidRPr="004B40F7">
        <w:rPr>
          <w:rFonts w:cs="Calibri"/>
          <w:lang w:val="en-GB"/>
        </w:rPr>
        <w:t xml:space="preserve">in the case of the purpose specified in section 3e) </w:t>
      </w:r>
      <w:r w:rsidRPr="004B40F7">
        <w:rPr>
          <w:rFonts w:cs="Calibri"/>
          <w:lang w:val="en-GB"/>
        </w:rPr>
        <w:softHyphen/>
        <w:t>– Article 6(1)(c) of the GDPR, according to which processing shall be lawful if it is necessary for compliance with legal obligations to which the controller is subject and which arise from the Act of 14 July 1983 on national archival collections and archives,</w:t>
      </w:r>
    </w:p>
    <w:p w:rsidR="00B74AA6" w:rsidRPr="004B40F7" w:rsidRDefault="00AA4BC5" w:rsidP="00AA4BC5">
      <w:pPr>
        <w:pStyle w:val="Akapitzlist1"/>
        <w:numPr>
          <w:ilvl w:val="0"/>
          <w:numId w:val="3"/>
        </w:numPr>
        <w:tabs>
          <w:tab w:val="left" w:pos="567"/>
        </w:tabs>
        <w:spacing w:after="0" w:line="259" w:lineRule="auto"/>
        <w:ind w:left="567" w:hanging="283"/>
        <w:jc w:val="both"/>
        <w:rPr>
          <w:rFonts w:cs="Calibri"/>
          <w:lang w:val="en-GB"/>
        </w:rPr>
      </w:pPr>
      <w:r w:rsidRPr="004B40F7">
        <w:rPr>
          <w:rFonts w:cs="Calibri"/>
          <w:lang w:val="en-GB"/>
        </w:rPr>
        <w:t>in the case of the purpose specified in section 3f) – Article 6(1)(f) of the GDPR, according to which processing is lawful for the purposes of the legitimate interests pursued by the controller which manifest in determining, asserting or defending claims.</w:t>
      </w:r>
    </w:p>
    <w:p w:rsidR="0075275D" w:rsidRPr="004B40F7" w:rsidRDefault="00AA4BC5" w:rsidP="00AA4BC5">
      <w:pPr>
        <w:pStyle w:val="Akapitzlist1"/>
        <w:numPr>
          <w:ilvl w:val="1"/>
          <w:numId w:val="7"/>
        </w:numPr>
        <w:tabs>
          <w:tab w:val="left" w:pos="284"/>
        </w:tabs>
        <w:spacing w:after="0" w:line="259" w:lineRule="auto"/>
        <w:ind w:left="284" w:hanging="284"/>
        <w:jc w:val="both"/>
        <w:rPr>
          <w:rFonts w:cs="Calibri"/>
          <w:sz w:val="24"/>
          <w:szCs w:val="24"/>
          <w:lang w:val="en-GB"/>
        </w:rPr>
      </w:pPr>
      <w:r w:rsidRPr="004B40F7">
        <w:rPr>
          <w:rFonts w:cs="Calibri"/>
          <w:bCs/>
          <w:color w:val="000000"/>
          <w:lang w:val="en-GB"/>
        </w:rPr>
        <w:t>Personal data that is processed for the purpose of selecting the most advantageous public procurement bid by means of a request for proposal procedure is collected from publically available sources, such as the internet, and is classified as identification and contact data.</w:t>
      </w:r>
    </w:p>
    <w:p w:rsidR="00B74AA6" w:rsidRPr="004B40F7" w:rsidRDefault="00AA4BC5" w:rsidP="00AA4BC5">
      <w:pPr>
        <w:pStyle w:val="Akapitzlist1"/>
        <w:numPr>
          <w:ilvl w:val="1"/>
          <w:numId w:val="7"/>
        </w:numPr>
        <w:tabs>
          <w:tab w:val="left" w:pos="284"/>
        </w:tabs>
        <w:spacing w:after="0" w:line="259" w:lineRule="auto"/>
        <w:jc w:val="both"/>
        <w:rPr>
          <w:rFonts w:cs="Calibri"/>
          <w:lang w:val="en-GB"/>
        </w:rPr>
      </w:pPr>
      <w:r w:rsidRPr="004B40F7">
        <w:rPr>
          <w:rFonts w:cs="Calibri"/>
          <w:lang w:val="en-GB"/>
        </w:rPr>
        <w:t xml:space="preserve"> Personal data may be accessed by:</w:t>
      </w:r>
    </w:p>
    <w:p w:rsidR="00B74AA6" w:rsidRPr="004B40F7" w:rsidRDefault="00AA4BC5" w:rsidP="00AA4BC5">
      <w:pPr>
        <w:pStyle w:val="Akapitzlist1"/>
        <w:numPr>
          <w:ilvl w:val="0"/>
          <w:numId w:val="4"/>
        </w:numPr>
        <w:spacing w:after="0" w:line="259" w:lineRule="auto"/>
        <w:ind w:left="567" w:hanging="283"/>
        <w:jc w:val="both"/>
        <w:rPr>
          <w:rFonts w:cs="Calibri"/>
          <w:lang w:val="en-GB"/>
        </w:rPr>
      </w:pPr>
      <w:r w:rsidRPr="004B40F7">
        <w:rPr>
          <w:rFonts w:cs="Calibri"/>
          <w:iCs/>
          <w:lang w:val="en-GB"/>
        </w:rPr>
        <w:lastRenderedPageBreak/>
        <w:t>service providers and their authorised staff members who, based on agreements on entrusting the processing of personal data, are entrusted to process personal data for the purposes of conducting services provided for the controller, including providers of IT, legal, advisory, auditing and archive services, and providers of IT tools that the controller uses to conduct the public procurement procedure,</w:t>
      </w:r>
    </w:p>
    <w:p w:rsidR="00D05541" w:rsidRPr="004B40F7" w:rsidRDefault="00AA4BC5" w:rsidP="00AA4BC5">
      <w:pPr>
        <w:pStyle w:val="Akapitzlist1"/>
        <w:numPr>
          <w:ilvl w:val="0"/>
          <w:numId w:val="4"/>
        </w:numPr>
        <w:spacing w:after="0" w:line="259" w:lineRule="auto"/>
        <w:ind w:left="567" w:hanging="283"/>
        <w:jc w:val="both"/>
        <w:rPr>
          <w:rFonts w:cs="Calibri"/>
          <w:lang w:val="en-GB"/>
        </w:rPr>
      </w:pPr>
      <w:r w:rsidRPr="004B40F7">
        <w:rPr>
          <w:rFonts w:cs="Calibri"/>
          <w:lang w:val="en-GB" w:eastAsia="pl-PL"/>
        </w:rPr>
        <w:t>individuals and entities that have access to the documentation pertaining to specific public procurement procedures, according to the public procurement act,</w:t>
      </w:r>
    </w:p>
    <w:p w:rsidR="001A2FF3" w:rsidRPr="004B40F7" w:rsidRDefault="00AA4BC5" w:rsidP="00AA4BC5">
      <w:pPr>
        <w:pStyle w:val="Akapitzlist1"/>
        <w:numPr>
          <w:ilvl w:val="0"/>
          <w:numId w:val="4"/>
        </w:numPr>
        <w:spacing w:after="0" w:line="259" w:lineRule="auto"/>
        <w:ind w:left="567" w:hanging="283"/>
        <w:jc w:val="both"/>
        <w:rPr>
          <w:rFonts w:cs="Calibri"/>
          <w:lang w:val="en-GB"/>
        </w:rPr>
      </w:pPr>
      <w:r w:rsidRPr="004B40F7">
        <w:rPr>
          <w:rFonts w:cs="Calibri"/>
          <w:iCs/>
          <w:lang w:val="en-GB"/>
        </w:rPr>
        <w:t>entities that are authorised to supervise the activity conducted by the controller, according to applicable legal regulations,</w:t>
      </w:r>
    </w:p>
    <w:p w:rsidR="00B74AA6" w:rsidRPr="004B40F7" w:rsidRDefault="00AA4BC5" w:rsidP="00AA4BC5">
      <w:pPr>
        <w:pStyle w:val="Akapitzlist1"/>
        <w:numPr>
          <w:ilvl w:val="0"/>
          <w:numId w:val="4"/>
        </w:numPr>
        <w:spacing w:after="0" w:line="259" w:lineRule="auto"/>
        <w:ind w:left="567" w:hanging="283"/>
        <w:jc w:val="both"/>
        <w:rPr>
          <w:rFonts w:cs="Calibri"/>
          <w:lang w:val="en-GB"/>
        </w:rPr>
      </w:pPr>
      <w:r w:rsidRPr="004B40F7">
        <w:rPr>
          <w:rFonts w:cs="Calibri"/>
          <w:iCs/>
          <w:lang w:val="en-GB"/>
        </w:rPr>
        <w:t>entities that are responsible for auditing the accounts related to the EU funds.</w:t>
      </w:r>
    </w:p>
    <w:p w:rsidR="00B74AA6" w:rsidRPr="004B40F7" w:rsidRDefault="00AA4BC5" w:rsidP="00AA4BC5">
      <w:pPr>
        <w:pStyle w:val="Akapitzlist1"/>
        <w:numPr>
          <w:ilvl w:val="1"/>
          <w:numId w:val="7"/>
        </w:numPr>
        <w:spacing w:after="0" w:line="259" w:lineRule="auto"/>
        <w:ind w:left="284" w:hanging="284"/>
        <w:jc w:val="both"/>
        <w:rPr>
          <w:rFonts w:cs="Calibri"/>
          <w:lang w:val="en-GB"/>
        </w:rPr>
      </w:pPr>
      <w:r w:rsidRPr="004B40F7">
        <w:rPr>
          <w:rFonts w:cs="Calibri"/>
          <w:lang w:val="en-GB"/>
        </w:rPr>
        <w:t>Personal data will be processed for the following periods of time:</w:t>
      </w:r>
    </w:p>
    <w:p w:rsidR="00B74AA6" w:rsidRPr="004B40F7" w:rsidRDefault="00AA4BC5" w:rsidP="00AA4BC5">
      <w:pPr>
        <w:pStyle w:val="Akapitzlist1"/>
        <w:numPr>
          <w:ilvl w:val="0"/>
          <w:numId w:val="5"/>
        </w:numPr>
        <w:tabs>
          <w:tab w:val="left" w:pos="993"/>
        </w:tabs>
        <w:spacing w:after="0" w:line="259" w:lineRule="auto"/>
        <w:ind w:left="567" w:hanging="283"/>
        <w:jc w:val="both"/>
        <w:rPr>
          <w:rFonts w:cs="Calibri"/>
          <w:lang w:val="en-GB"/>
        </w:rPr>
      </w:pPr>
      <w:r w:rsidRPr="004B40F7">
        <w:rPr>
          <w:rFonts w:cs="Calibri"/>
          <w:bCs/>
          <w:color w:val="000000"/>
          <w:lang w:val="en-GB"/>
        </w:rPr>
        <w:t xml:space="preserve">in the case of the purposes specified in sections 3a) through 3c) </w:t>
      </w:r>
      <w:r w:rsidRPr="004B40F7">
        <w:rPr>
          <w:rFonts w:cs="Calibri"/>
          <w:lang w:val="en-GB"/>
        </w:rPr>
        <w:softHyphen/>
        <w:t>– for 4 years as from the day on which a bid is placed by the bidder,</w:t>
      </w:r>
    </w:p>
    <w:p w:rsidR="00125E8D" w:rsidRPr="004B40F7" w:rsidRDefault="00AA4BC5" w:rsidP="00AA4BC5">
      <w:pPr>
        <w:pStyle w:val="Akapitzlist1"/>
        <w:numPr>
          <w:ilvl w:val="0"/>
          <w:numId w:val="5"/>
        </w:numPr>
        <w:tabs>
          <w:tab w:val="left" w:pos="993"/>
        </w:tabs>
        <w:spacing w:after="0" w:line="259" w:lineRule="auto"/>
        <w:ind w:left="567" w:hanging="283"/>
        <w:jc w:val="both"/>
        <w:rPr>
          <w:rFonts w:cs="Calibri"/>
          <w:lang w:val="en-GB"/>
        </w:rPr>
      </w:pPr>
      <w:r w:rsidRPr="004B40F7">
        <w:rPr>
          <w:rFonts w:cs="Calibri"/>
          <w:lang w:val="en-GB"/>
        </w:rPr>
        <w:t xml:space="preserve">In the case of the purpose specified in section 3d) – for up to 10 years, depending on the requirements of the </w:t>
      </w:r>
      <w:r w:rsidR="004B40F7" w:rsidRPr="004B40F7">
        <w:rPr>
          <w:rFonts w:cs="Calibri"/>
          <w:lang w:val="en-GB"/>
        </w:rPr>
        <w:t>programme</w:t>
      </w:r>
      <w:r w:rsidRPr="004B40F7">
        <w:rPr>
          <w:rFonts w:cs="Calibri"/>
          <w:lang w:val="en-GB"/>
        </w:rPr>
        <w:t xml:space="preserve"> from which a public procurement procedure is funded or on applicable rules of law,</w:t>
      </w:r>
    </w:p>
    <w:p w:rsidR="00B74AA6" w:rsidRPr="004B40F7" w:rsidRDefault="00AA4BC5" w:rsidP="00AA4BC5">
      <w:pPr>
        <w:pStyle w:val="Akapitzlist1"/>
        <w:numPr>
          <w:ilvl w:val="0"/>
          <w:numId w:val="5"/>
        </w:numPr>
        <w:tabs>
          <w:tab w:val="left" w:pos="993"/>
        </w:tabs>
        <w:spacing w:after="0" w:line="259" w:lineRule="auto"/>
        <w:ind w:left="567" w:hanging="283"/>
        <w:jc w:val="both"/>
        <w:rPr>
          <w:rFonts w:cs="Calibri"/>
          <w:lang w:val="en-GB"/>
        </w:rPr>
      </w:pPr>
      <w:r w:rsidRPr="004B40F7">
        <w:rPr>
          <w:rFonts w:cs="Calibri"/>
          <w:lang w:val="en-GB"/>
        </w:rPr>
        <w:t>in the case of the purpose specified in section 3e) – perpetually, as per the periods for such purposes specified in the act on national archival collections and archives,</w:t>
      </w:r>
    </w:p>
    <w:p w:rsidR="00B74AA6" w:rsidRPr="004B40F7" w:rsidRDefault="00AA4BC5" w:rsidP="00AA4BC5">
      <w:pPr>
        <w:pStyle w:val="Akapitzlist1"/>
        <w:numPr>
          <w:ilvl w:val="0"/>
          <w:numId w:val="5"/>
        </w:numPr>
        <w:tabs>
          <w:tab w:val="left" w:pos="993"/>
        </w:tabs>
        <w:spacing w:after="0" w:line="259" w:lineRule="auto"/>
        <w:ind w:left="567" w:hanging="283"/>
        <w:jc w:val="both"/>
        <w:rPr>
          <w:rFonts w:cs="Calibri"/>
          <w:lang w:val="en-GB"/>
        </w:rPr>
      </w:pPr>
      <w:r w:rsidRPr="004B40F7">
        <w:rPr>
          <w:rFonts w:cs="Calibri"/>
          <w:lang w:val="en-GB"/>
        </w:rPr>
        <w:t>in the case of the purpose specified in section 3f) – until the claims are barred; if such claims are filed, personal data will be processed until the end of the period during which legal remedies pertaining to the processing of personal data may be enforced by the parties.</w:t>
      </w:r>
    </w:p>
    <w:p w:rsidR="00B74AA6" w:rsidRPr="004B40F7" w:rsidRDefault="00AA4BC5" w:rsidP="00AA4BC5">
      <w:pPr>
        <w:pStyle w:val="Akapitzlist1"/>
        <w:numPr>
          <w:ilvl w:val="1"/>
          <w:numId w:val="7"/>
        </w:numPr>
        <w:spacing w:after="0" w:line="259" w:lineRule="auto"/>
        <w:ind w:left="284" w:hanging="284"/>
        <w:jc w:val="both"/>
        <w:rPr>
          <w:rFonts w:cs="Calibri"/>
          <w:lang w:val="en-GB"/>
        </w:rPr>
      </w:pPr>
      <w:r w:rsidRPr="004B40F7">
        <w:rPr>
          <w:rFonts w:cs="Calibri"/>
          <w:lang w:val="en-GB"/>
        </w:rPr>
        <w:t>Data subjects are entitled to request that the controller enables them to exercise the following of their rights:</w:t>
      </w:r>
    </w:p>
    <w:p w:rsidR="00F24B47" w:rsidRPr="004B40F7" w:rsidRDefault="00AA4BC5" w:rsidP="00AA4BC5">
      <w:pPr>
        <w:pStyle w:val="Akapitzlist1"/>
        <w:numPr>
          <w:ilvl w:val="0"/>
          <w:numId w:val="6"/>
        </w:numPr>
        <w:tabs>
          <w:tab w:val="left" w:pos="567"/>
        </w:tabs>
        <w:spacing w:after="0" w:line="259" w:lineRule="auto"/>
        <w:ind w:left="568" w:hanging="284"/>
        <w:jc w:val="both"/>
        <w:rPr>
          <w:rFonts w:cs="Calibri"/>
          <w:lang w:val="en-GB"/>
        </w:rPr>
      </w:pPr>
      <w:r w:rsidRPr="004B40F7">
        <w:rPr>
          <w:rFonts w:cs="Calibri"/>
          <w:lang w:val="en-GB"/>
        </w:rPr>
        <w:t>the right of access to and rectification of their personal data (Articles 15 and 16 of the GDPR).</w:t>
      </w:r>
      <w:r w:rsidR="00F24B47" w:rsidRPr="004B40F7">
        <w:rPr>
          <w:rFonts w:cs="Calibri"/>
          <w:lang w:val="en-GB"/>
        </w:rPr>
        <w:br/>
      </w:r>
      <w:r w:rsidRPr="004B40F7">
        <w:rPr>
          <w:rFonts w:cs="Calibri"/>
          <w:lang w:val="en-GB"/>
        </w:rPr>
        <w:t>If the fulfilment of the obligations referred to in Article 15(1)–(3) of the GDPR requires a disproportionately large effort, the controller may request that the data subjects provide additional information pertaining to their requests, including the name, number or date of the public procurement procedure.</w:t>
      </w:r>
      <w:r w:rsidR="00F24B47" w:rsidRPr="004B40F7">
        <w:rPr>
          <w:rFonts w:cs="Calibri"/>
          <w:lang w:val="en-GB"/>
        </w:rPr>
        <w:t xml:space="preserve"> </w:t>
      </w:r>
      <w:r w:rsidRPr="004B40F7">
        <w:rPr>
          <w:rFonts w:cs="Calibri"/>
          <w:lang w:val="en-GB"/>
        </w:rPr>
        <w:t>A request for the right to rectification of data cannot alter the outcome of the public procurement procedure or modify the crucial terms of the contract unless the public procurement act states otherwise,</w:t>
      </w:r>
    </w:p>
    <w:p w:rsidR="0010502F" w:rsidRPr="004B40F7" w:rsidRDefault="00AA4BC5" w:rsidP="00AA4BC5">
      <w:pPr>
        <w:pStyle w:val="Akapitzlist1"/>
        <w:numPr>
          <w:ilvl w:val="0"/>
          <w:numId w:val="6"/>
        </w:numPr>
        <w:tabs>
          <w:tab w:val="left" w:pos="567"/>
        </w:tabs>
        <w:spacing w:after="0" w:line="259" w:lineRule="auto"/>
        <w:ind w:left="568" w:hanging="284"/>
        <w:jc w:val="both"/>
        <w:rPr>
          <w:rFonts w:cs="Calibri"/>
          <w:lang w:val="en-GB"/>
        </w:rPr>
      </w:pPr>
      <w:r w:rsidRPr="004B40F7">
        <w:rPr>
          <w:rFonts w:cs="Calibri"/>
          <w:lang w:val="en-GB"/>
        </w:rPr>
        <w:t>the right to restriction of the processing of personal data (Article 18 of the GDPR).</w:t>
      </w:r>
      <w:r w:rsidR="00B74AA6" w:rsidRPr="004B40F7">
        <w:rPr>
          <w:rFonts w:cs="Calibri"/>
          <w:lang w:val="en-GB"/>
        </w:rPr>
        <w:t xml:space="preserve"> </w:t>
      </w:r>
      <w:r w:rsidRPr="004B40F7">
        <w:rPr>
          <w:rFonts w:cs="Calibri"/>
          <w:lang w:val="en-GB"/>
        </w:rPr>
        <w:t>In the case of the request referred to in Article 18 of the GDPR, the data processing will only be restricted after the completion of the procedure for awarding the public procurement contract,</w:t>
      </w:r>
    </w:p>
    <w:p w:rsidR="0010502F" w:rsidRPr="004B40F7" w:rsidRDefault="00AA4BC5" w:rsidP="00AA4BC5">
      <w:pPr>
        <w:pStyle w:val="Akapitzlist1"/>
        <w:numPr>
          <w:ilvl w:val="0"/>
          <w:numId w:val="6"/>
        </w:numPr>
        <w:tabs>
          <w:tab w:val="left" w:pos="567"/>
        </w:tabs>
        <w:spacing w:after="0" w:line="259" w:lineRule="auto"/>
        <w:ind w:left="568" w:hanging="284"/>
        <w:jc w:val="both"/>
        <w:rPr>
          <w:rFonts w:cs="Calibri"/>
          <w:lang w:val="en-GB"/>
        </w:rPr>
      </w:pPr>
      <w:r w:rsidRPr="004B40F7">
        <w:rPr>
          <w:rFonts w:cs="Calibri"/>
          <w:iCs/>
          <w:lang w:val="en-GB"/>
        </w:rPr>
        <w:t xml:space="preserve">data subjects are entitled to submit complaints pertaining to the processing of their personal data by the controller to the President of the Polish Personal Data </w:t>
      </w:r>
      <w:r w:rsidR="008E2924">
        <w:rPr>
          <w:rFonts w:cs="Calibri"/>
          <w:iCs/>
          <w:lang w:val="en-GB"/>
        </w:rPr>
        <w:t xml:space="preserve">Protection Office (address: </w:t>
      </w:r>
      <w:proofErr w:type="spellStart"/>
      <w:r w:rsidR="008E2924">
        <w:rPr>
          <w:rFonts w:cs="Calibri"/>
          <w:iCs/>
          <w:lang w:val="en-GB"/>
        </w:rPr>
        <w:t>ul</w:t>
      </w:r>
      <w:proofErr w:type="spellEnd"/>
      <w:r w:rsidR="008E2924">
        <w:rPr>
          <w:rFonts w:cs="Calibri"/>
          <w:iCs/>
          <w:lang w:val="en-GB"/>
        </w:rPr>
        <w:t>. </w:t>
      </w:r>
      <w:proofErr w:type="spellStart"/>
      <w:r w:rsidRPr="004B40F7">
        <w:rPr>
          <w:rFonts w:cs="Calibri"/>
          <w:iCs/>
          <w:lang w:val="en-GB"/>
        </w:rPr>
        <w:t>Stawki</w:t>
      </w:r>
      <w:proofErr w:type="spellEnd"/>
      <w:r w:rsidRPr="004B40F7">
        <w:rPr>
          <w:rFonts w:cs="Calibri"/>
          <w:iCs/>
          <w:lang w:val="en-GB"/>
        </w:rPr>
        <w:t xml:space="preserve"> 2, 00-193 Warszawa),</w:t>
      </w:r>
    </w:p>
    <w:p w:rsidR="00B74AA6" w:rsidRPr="004B40F7" w:rsidRDefault="00AA4BC5" w:rsidP="00AA4BC5">
      <w:pPr>
        <w:pStyle w:val="Akapitzlist1"/>
        <w:numPr>
          <w:ilvl w:val="0"/>
          <w:numId w:val="6"/>
        </w:numPr>
        <w:tabs>
          <w:tab w:val="left" w:pos="567"/>
        </w:tabs>
        <w:spacing w:after="0" w:line="259" w:lineRule="auto"/>
        <w:ind w:left="568" w:hanging="284"/>
        <w:jc w:val="both"/>
        <w:rPr>
          <w:rFonts w:cs="Calibri"/>
          <w:lang w:val="en-GB"/>
        </w:rPr>
      </w:pPr>
      <w:r w:rsidRPr="004B40F7">
        <w:rPr>
          <w:rFonts w:cs="Calibri"/>
          <w:lang w:val="en-GB" w:eastAsia="pl-PL"/>
        </w:rPr>
        <w:t>the rights referred to in Articles 17 and 22 of the GDPR cannot be enforced due to the fact that the conditions specified in those articles do not apply to the public procurement procedure.</w:t>
      </w:r>
    </w:p>
    <w:p w:rsidR="00B74AA6" w:rsidRPr="004B40F7" w:rsidRDefault="00AA4BC5" w:rsidP="00AA4BC5">
      <w:pPr>
        <w:numPr>
          <w:ilvl w:val="1"/>
          <w:numId w:val="7"/>
        </w:numPr>
        <w:suppressAutoHyphens/>
        <w:autoSpaceDE w:val="0"/>
        <w:autoSpaceDN w:val="0"/>
        <w:adjustRightInd w:val="0"/>
        <w:spacing w:line="280" w:lineRule="auto"/>
        <w:ind w:left="284" w:hanging="284"/>
        <w:jc w:val="both"/>
        <w:rPr>
          <w:rFonts w:cs="Calibri"/>
          <w:bCs/>
          <w:sz w:val="22"/>
          <w:szCs w:val="22"/>
          <w:lang w:val="en-GB"/>
        </w:rPr>
      </w:pPr>
      <w:r w:rsidRPr="004B40F7">
        <w:rPr>
          <w:rFonts w:eastAsia="Calibri" w:cs="Calibri"/>
          <w:sz w:val="22"/>
          <w:szCs w:val="22"/>
          <w:lang w:val="en-GB"/>
        </w:rPr>
        <w:t>Personal data will not be processed for the purposes of automatic decision making, including profiling.</w:t>
      </w:r>
    </w:p>
    <w:p w:rsidR="00B74AA6" w:rsidRPr="004B40F7" w:rsidRDefault="00AA4BC5" w:rsidP="00AA4BC5">
      <w:pPr>
        <w:numPr>
          <w:ilvl w:val="1"/>
          <w:numId w:val="7"/>
        </w:numPr>
        <w:suppressAutoHyphens/>
        <w:autoSpaceDE w:val="0"/>
        <w:autoSpaceDN w:val="0"/>
        <w:adjustRightInd w:val="0"/>
        <w:spacing w:line="280" w:lineRule="auto"/>
        <w:ind w:left="284" w:hanging="284"/>
        <w:jc w:val="both"/>
        <w:rPr>
          <w:rFonts w:cs="Calibri"/>
          <w:bCs/>
          <w:sz w:val="22"/>
          <w:szCs w:val="22"/>
          <w:lang w:val="en-GB"/>
        </w:rPr>
      </w:pPr>
      <w:r w:rsidRPr="004B40F7">
        <w:rPr>
          <w:rFonts w:eastAsia="Calibri" w:cs="Calibri"/>
          <w:sz w:val="22"/>
          <w:szCs w:val="22"/>
          <w:lang w:val="en-GB"/>
        </w:rPr>
        <w:t>Personal data will not be transferred to any third countries or international organisations.</w:t>
      </w:r>
    </w:p>
    <w:p w:rsidR="00B74AA6" w:rsidRPr="004B40F7" w:rsidRDefault="00AA4BC5" w:rsidP="00AA4BC5">
      <w:pPr>
        <w:numPr>
          <w:ilvl w:val="1"/>
          <w:numId w:val="7"/>
        </w:numPr>
        <w:suppressAutoHyphens/>
        <w:autoSpaceDE w:val="0"/>
        <w:autoSpaceDN w:val="0"/>
        <w:adjustRightInd w:val="0"/>
        <w:spacing w:line="280" w:lineRule="auto"/>
        <w:ind w:left="426" w:hanging="426"/>
        <w:jc w:val="both"/>
        <w:rPr>
          <w:rFonts w:cs="Calibri"/>
          <w:bCs/>
          <w:sz w:val="22"/>
          <w:szCs w:val="22"/>
          <w:lang w:val="en-GB"/>
        </w:rPr>
      </w:pPr>
      <w:r w:rsidRPr="004B40F7">
        <w:rPr>
          <w:rFonts w:cs="Calibri"/>
          <w:sz w:val="22"/>
          <w:szCs w:val="22"/>
          <w:lang w:val="en-GB"/>
        </w:rPr>
        <w:t>Providing personal data for the purposes specified above is mandatory and arises from the regulations that govern public procurement procedures. Failure to provide such data will prevent participation in the public procurement procedure</w:t>
      </w:r>
      <w:r w:rsidRPr="004B40F7">
        <w:rPr>
          <w:rFonts w:cs="Calibri"/>
          <w:sz w:val="22"/>
          <w:szCs w:val="22"/>
          <w:lang w:val="en-GB" w:eastAsia="pl-PL"/>
        </w:rPr>
        <w:t>.</w:t>
      </w:r>
    </w:p>
    <w:p w:rsidR="00B74AA6" w:rsidRPr="004B40F7" w:rsidRDefault="00B74AA6" w:rsidP="00B74AA6">
      <w:pPr>
        <w:pStyle w:val="Style6"/>
        <w:shd w:val="clear" w:color="auto" w:fill="auto"/>
        <w:tabs>
          <w:tab w:val="left" w:pos="709"/>
        </w:tabs>
        <w:spacing w:before="0" w:after="0" w:line="240" w:lineRule="auto"/>
        <w:ind w:right="20" w:firstLine="0"/>
        <w:jc w:val="both"/>
        <w:rPr>
          <w:rFonts w:ascii="Calibri" w:hAnsi="Calibri" w:cs="Calibri"/>
          <w:b/>
          <w:bCs/>
          <w:sz w:val="24"/>
          <w:szCs w:val="24"/>
          <w:lang w:val="en-GB" w:bidi="en-US"/>
        </w:rPr>
      </w:pPr>
    </w:p>
    <w:p w:rsidR="00783D00" w:rsidRPr="004B40F7" w:rsidRDefault="00AA4BC5" w:rsidP="003F4166">
      <w:pPr>
        <w:ind w:left="2832" w:firstLine="708"/>
        <w:jc w:val="center"/>
        <w:rPr>
          <w:rFonts w:cs="Calibri"/>
          <w:b/>
          <w:bCs/>
          <w:lang w:val="en-GB" w:bidi="ar-SA"/>
        </w:rPr>
      </w:pPr>
      <w:r w:rsidRPr="004B40F7">
        <w:rPr>
          <w:rFonts w:cs="Calibri"/>
          <w:b/>
          <w:bCs/>
          <w:lang w:val="en-GB"/>
        </w:rPr>
        <w:t>Version: 2</w:t>
      </w:r>
    </w:p>
    <w:p w:rsidR="00783D00" w:rsidRPr="004B40F7" w:rsidRDefault="00783D00" w:rsidP="00783D00">
      <w:pPr>
        <w:jc w:val="center"/>
        <w:rPr>
          <w:rFonts w:cs="Calibri"/>
          <w:b/>
          <w:bCs/>
          <w:lang w:val="en-GB"/>
        </w:rPr>
      </w:pPr>
    </w:p>
    <w:p w:rsidR="00783D00" w:rsidRPr="004B40F7" w:rsidRDefault="00AA4BC5" w:rsidP="003F4166">
      <w:pPr>
        <w:ind w:left="3540"/>
        <w:jc w:val="center"/>
        <w:rPr>
          <w:rFonts w:cs="Calibri"/>
          <w:b/>
          <w:bCs/>
          <w:lang w:val="en-GB"/>
        </w:rPr>
      </w:pPr>
      <w:bookmarkStart w:id="0" w:name="_GoBack"/>
      <w:bookmarkEnd w:id="0"/>
      <w:r w:rsidRPr="004B40F7">
        <w:rPr>
          <w:rFonts w:cs="Calibri"/>
          <w:b/>
          <w:bCs/>
          <w:lang w:val="en-GB"/>
        </w:rPr>
        <w:t>Date:</w:t>
      </w:r>
      <w:r w:rsidR="00783D00" w:rsidRPr="004B40F7">
        <w:rPr>
          <w:rFonts w:cs="Calibri"/>
          <w:b/>
          <w:bCs/>
          <w:lang w:val="en-GB"/>
        </w:rPr>
        <w:t xml:space="preserve"> 27</w:t>
      </w:r>
      <w:r w:rsidRPr="004B40F7">
        <w:rPr>
          <w:rFonts w:cs="Calibri"/>
          <w:b/>
          <w:bCs/>
          <w:lang w:val="en-GB"/>
        </w:rPr>
        <w:t xml:space="preserve"> August </w:t>
      </w:r>
      <w:r w:rsidR="00783D00" w:rsidRPr="004B40F7">
        <w:rPr>
          <w:rFonts w:cs="Calibri"/>
          <w:b/>
          <w:bCs/>
          <w:lang w:val="en-GB"/>
        </w:rPr>
        <w:t>2024</w:t>
      </w:r>
    </w:p>
    <w:p w:rsidR="00B74AA6" w:rsidRPr="004B40F7" w:rsidRDefault="00B74AA6" w:rsidP="00B74AA6">
      <w:pPr>
        <w:pStyle w:val="Style6"/>
        <w:shd w:val="clear" w:color="auto" w:fill="auto"/>
        <w:tabs>
          <w:tab w:val="left" w:pos="709"/>
        </w:tabs>
        <w:spacing w:before="0" w:after="0" w:line="240" w:lineRule="auto"/>
        <w:ind w:right="20" w:firstLine="0"/>
        <w:jc w:val="both"/>
        <w:rPr>
          <w:rFonts w:ascii="Calibri Light" w:hAnsi="Calibri Light" w:cs="Calibri Light"/>
          <w:b/>
          <w:bCs/>
          <w:sz w:val="24"/>
          <w:szCs w:val="24"/>
          <w:lang w:val="en-GB" w:bidi="en-US"/>
        </w:rPr>
      </w:pPr>
    </w:p>
    <w:p w:rsidR="00B74AA6" w:rsidRPr="004B40F7" w:rsidRDefault="00B74AA6" w:rsidP="00B74AA6">
      <w:pPr>
        <w:pStyle w:val="Style6"/>
        <w:shd w:val="clear" w:color="auto" w:fill="auto"/>
        <w:tabs>
          <w:tab w:val="left" w:pos="709"/>
        </w:tabs>
        <w:spacing w:before="0" w:after="0" w:line="240" w:lineRule="auto"/>
        <w:ind w:right="20" w:firstLine="0"/>
        <w:jc w:val="both"/>
        <w:rPr>
          <w:rFonts w:ascii="Calibri Light" w:hAnsi="Calibri Light" w:cs="Calibri Light"/>
          <w:b/>
          <w:bCs/>
          <w:sz w:val="24"/>
          <w:szCs w:val="24"/>
          <w:lang w:val="en-GB" w:bidi="en-US"/>
        </w:rPr>
      </w:pPr>
    </w:p>
    <w:sectPr w:rsidR="00B74AA6" w:rsidRPr="004B40F7" w:rsidSect="001A2FF3">
      <w:headerReference w:type="default" r:id="rId8"/>
      <w:footerReference w:type="default" r:id="rId9"/>
      <w:footerReference w:type="first" r:id="rId10"/>
      <w:pgSz w:w="11906" w:h="16838"/>
      <w:pgMar w:top="1843" w:right="1417" w:bottom="851" w:left="1276" w:header="708" w:footer="167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B61" w:rsidRDefault="00AD1B61" w:rsidP="00B74AA6">
      <w:r>
        <w:separator/>
      </w:r>
    </w:p>
  </w:endnote>
  <w:endnote w:type="continuationSeparator" w:id="1">
    <w:p w:rsidR="00AD1B61" w:rsidRDefault="00AD1B61" w:rsidP="00B74A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BDE" w:rsidRDefault="0083488C">
    <w:pPr>
      <w:pStyle w:val="Stopka"/>
    </w:pPr>
    <w:r>
      <w:rPr>
        <w:noProof/>
        <w:lang w:eastAsia="pl-PL"/>
      </w:rPr>
      <w:pict>
        <v:rect id="Prostokąt 3" o:spid="_x0000_s1026" style="position:absolute;margin-left:566.05pt;margin-top:406.25pt;width:29.2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" o:allowincell="f" stroked="f">
          <v:textbox>
            <w:txbxContent>
              <w:p w:rsidR="00EE2BDE" w:rsidRPr="00231FC6" w:rsidRDefault="0083488C" w:rsidP="00231FC6">
                <w:pPr>
                  <w:pBdr>
                    <w:bottom w:val="single" w:sz="4" w:space="1" w:color="auto"/>
                  </w:pBdr>
                  <w:jc w:val="center"/>
                  <w:rPr>
                    <w:sz w:val="20"/>
                  </w:rPr>
                </w:pPr>
                <w:r w:rsidRPr="00231FC6">
                  <w:rPr>
                    <w:sz w:val="20"/>
                  </w:rPr>
                  <w:fldChar w:fldCharType="begin"/>
                </w:r>
                <w:r w:rsidR="003F4166" w:rsidRPr="00231FC6">
                  <w:rPr>
                    <w:sz w:val="20"/>
                  </w:rPr>
                  <w:instrText>PAGE   \* MERGEFORMAT</w:instrText>
                </w:r>
                <w:r w:rsidRPr="00231FC6">
                  <w:rPr>
                    <w:sz w:val="20"/>
                  </w:rPr>
                  <w:fldChar w:fldCharType="separate"/>
                </w:r>
                <w:r w:rsidR="008E2924">
                  <w:rPr>
                    <w:noProof/>
                    <w:sz w:val="20"/>
                  </w:rPr>
                  <w:t>2</w:t>
                </w:r>
                <w:r w:rsidRPr="00231FC6">
                  <w:rPr>
                    <w:sz w:val="20"/>
                  </w:rPr>
                  <w:fldChar w:fldCharType="end"/>
                </w:r>
              </w:p>
            </w:txbxContent>
          </v:textbox>
          <w10:wrap anchorx="page" anchory="page"/>
        </v:rect>
      </w:pict>
    </w:r>
    <w:r w:rsidR="00B74AA6">
      <w:rPr>
        <w:noProof/>
        <w:lang w:eastAsia="pl-PL"/>
      </w:rPr>
      <w:drawing>
        <wp:anchor distT="0" distB="0" distL="114300" distR="114300" simplePos="0" relativeHeight="251661312" behindDoc="1" locked="0" layoutInCell="1" allowOverlap="1">
          <wp:simplePos x="0" y="0"/>
          <wp:positionH relativeFrom="page">
            <wp:posOffset>6985</wp:posOffset>
          </wp:positionH>
          <wp:positionV relativeFrom="paragraph">
            <wp:posOffset>252095</wp:posOffset>
          </wp:positionV>
          <wp:extent cx="5760720" cy="690245"/>
          <wp:effectExtent l="0" t="0" r="0" b="0"/>
          <wp:wrapTight wrapText="bothSides">
            <wp:wrapPolygon edited="0">
              <wp:start x="0" y="0"/>
              <wp:lineTo x="0" y="20865"/>
              <wp:lineTo x="21500" y="20865"/>
              <wp:lineTo x="21500" y="0"/>
              <wp:lineTo x="0" y="0"/>
            </wp:wrapPolygon>
          </wp:wrapTight>
          <wp:docPr id="6678626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690245"/>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BDE" w:rsidRDefault="00B74AA6">
    <w:pPr>
      <w:pStyle w:val="Stopka"/>
    </w:pPr>
    <w:r>
      <w:rPr>
        <w:noProof/>
        <w:lang w:eastAsia="pl-PL"/>
      </w:rPr>
      <w:drawing>
        <wp:anchor distT="0" distB="0" distL="114300" distR="114300" simplePos="0" relativeHeight="251663360" behindDoc="1" locked="0" layoutInCell="1" allowOverlap="1">
          <wp:simplePos x="0" y="0"/>
          <wp:positionH relativeFrom="column">
            <wp:posOffset>-817880</wp:posOffset>
          </wp:positionH>
          <wp:positionV relativeFrom="paragraph">
            <wp:posOffset>165100</wp:posOffset>
          </wp:positionV>
          <wp:extent cx="5760720" cy="832485"/>
          <wp:effectExtent l="0" t="0" r="0" b="5715"/>
          <wp:wrapNone/>
          <wp:docPr id="45112332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83248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B61" w:rsidRDefault="00AD1B61" w:rsidP="00B74AA6">
      <w:r>
        <w:separator/>
      </w:r>
    </w:p>
  </w:footnote>
  <w:footnote w:type="continuationSeparator" w:id="1">
    <w:p w:rsidR="00AD1B61" w:rsidRDefault="00AD1B61" w:rsidP="00B74A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BDE" w:rsidRDefault="00B74AA6">
    <w:pPr>
      <w:pStyle w:val="Nagwek"/>
    </w:pPr>
    <w:r>
      <w:rPr>
        <w:noProof/>
      </w:rPr>
      <w:drawing>
        <wp:anchor distT="0" distB="0" distL="114300" distR="114300" simplePos="0" relativeHeight="251660288" behindDoc="0" locked="0" layoutInCell="1" allowOverlap="1">
          <wp:simplePos x="0" y="0"/>
          <wp:positionH relativeFrom="page">
            <wp:posOffset>26035</wp:posOffset>
          </wp:positionH>
          <wp:positionV relativeFrom="paragraph">
            <wp:posOffset>-779780</wp:posOffset>
          </wp:positionV>
          <wp:extent cx="5760720" cy="1100455"/>
          <wp:effectExtent l="0" t="0" r="0" b="4445"/>
          <wp:wrapNone/>
          <wp:docPr id="1923460719" name="Obraz 1" descr="papier-POIR-uzupelniajacy-[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5" descr="papier-POIR-uzupelniajacy-[naglowek]"/>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110045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2F55"/>
    <w:multiLevelType w:val="hybridMultilevel"/>
    <w:tmpl w:val="4DB2116A"/>
    <w:lvl w:ilvl="0" w:tplc="8EAE3F56">
      <w:start w:val="1"/>
      <w:numFmt w:val="lowerLetter"/>
      <w:lvlText w:val="%1)"/>
      <w:lvlJc w:val="left"/>
      <w:pPr>
        <w:ind w:left="1779" w:hanging="360"/>
      </w:pPr>
      <w:rPr>
        <w:rFonts w:hint="default"/>
      </w:rPr>
    </w:lvl>
    <w:lvl w:ilvl="1" w:tplc="04150019" w:tentative="1">
      <w:start w:val="1"/>
      <w:numFmt w:val="lowerLetter"/>
      <w:lvlText w:val="%2."/>
      <w:lvlJc w:val="left"/>
      <w:pPr>
        <w:ind w:left="2499" w:hanging="360"/>
      </w:pPr>
    </w:lvl>
    <w:lvl w:ilvl="2" w:tplc="0415001B" w:tentative="1">
      <w:start w:val="1"/>
      <w:numFmt w:val="lowerRoman"/>
      <w:lvlText w:val="%3."/>
      <w:lvlJc w:val="right"/>
      <w:pPr>
        <w:ind w:left="3219" w:hanging="180"/>
      </w:p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1">
    <w:nsid w:val="0AD8275F"/>
    <w:multiLevelType w:val="hybridMultilevel"/>
    <w:tmpl w:val="E9AC3210"/>
    <w:lvl w:ilvl="0" w:tplc="E6AC160A">
      <w:start w:val="1"/>
      <w:numFmt w:val="decimal"/>
      <w:lvlText w:val="%1."/>
      <w:lvlJc w:val="left"/>
      <w:pPr>
        <w:ind w:left="1068" w:hanging="360"/>
      </w:pPr>
      <w:rPr>
        <w:rFonts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0DE00E4A"/>
    <w:multiLevelType w:val="hybridMultilevel"/>
    <w:tmpl w:val="44B673B0"/>
    <w:lvl w:ilvl="0" w:tplc="9F76EEC6">
      <w:start w:val="1"/>
      <w:numFmt w:val="lowerLetter"/>
      <w:lvlText w:val="%1)"/>
      <w:lvlJc w:val="left"/>
      <w:rPr>
        <w:rFonts w:ascii="Calibri" w:hAnsi="Calibri" w:cs="Calibri" w:hint="default"/>
        <w:sz w:val="22"/>
        <w:szCs w:val="22"/>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
    <w:nsid w:val="22E13EC0"/>
    <w:multiLevelType w:val="hybridMultilevel"/>
    <w:tmpl w:val="FCC80B50"/>
    <w:lvl w:ilvl="0" w:tplc="04150017">
      <w:start w:val="1"/>
      <w:numFmt w:val="lowerLetter"/>
      <w:lvlText w:val="%1)"/>
      <w:lvlJc w:val="left"/>
      <w:pPr>
        <w:ind w:left="2264" w:hanging="360"/>
      </w:pPr>
    </w:lvl>
    <w:lvl w:ilvl="1" w:tplc="04150019" w:tentative="1">
      <w:start w:val="1"/>
      <w:numFmt w:val="lowerLetter"/>
      <w:lvlText w:val="%2."/>
      <w:lvlJc w:val="left"/>
      <w:pPr>
        <w:ind w:left="2984" w:hanging="360"/>
      </w:pPr>
    </w:lvl>
    <w:lvl w:ilvl="2" w:tplc="0415001B" w:tentative="1">
      <w:start w:val="1"/>
      <w:numFmt w:val="lowerRoman"/>
      <w:lvlText w:val="%3."/>
      <w:lvlJc w:val="right"/>
      <w:pPr>
        <w:ind w:left="3704" w:hanging="180"/>
      </w:pPr>
    </w:lvl>
    <w:lvl w:ilvl="3" w:tplc="0415000F" w:tentative="1">
      <w:start w:val="1"/>
      <w:numFmt w:val="decimal"/>
      <w:lvlText w:val="%4."/>
      <w:lvlJc w:val="left"/>
      <w:pPr>
        <w:ind w:left="4424" w:hanging="360"/>
      </w:pPr>
    </w:lvl>
    <w:lvl w:ilvl="4" w:tplc="04150019" w:tentative="1">
      <w:start w:val="1"/>
      <w:numFmt w:val="lowerLetter"/>
      <w:lvlText w:val="%5."/>
      <w:lvlJc w:val="left"/>
      <w:pPr>
        <w:ind w:left="5144" w:hanging="360"/>
      </w:pPr>
    </w:lvl>
    <w:lvl w:ilvl="5" w:tplc="0415001B" w:tentative="1">
      <w:start w:val="1"/>
      <w:numFmt w:val="lowerRoman"/>
      <w:lvlText w:val="%6."/>
      <w:lvlJc w:val="right"/>
      <w:pPr>
        <w:ind w:left="5864" w:hanging="180"/>
      </w:pPr>
    </w:lvl>
    <w:lvl w:ilvl="6" w:tplc="0415000F" w:tentative="1">
      <w:start w:val="1"/>
      <w:numFmt w:val="decimal"/>
      <w:lvlText w:val="%7."/>
      <w:lvlJc w:val="left"/>
      <w:pPr>
        <w:ind w:left="6584" w:hanging="360"/>
      </w:pPr>
    </w:lvl>
    <w:lvl w:ilvl="7" w:tplc="04150019" w:tentative="1">
      <w:start w:val="1"/>
      <w:numFmt w:val="lowerLetter"/>
      <w:lvlText w:val="%8."/>
      <w:lvlJc w:val="left"/>
      <w:pPr>
        <w:ind w:left="7304" w:hanging="360"/>
      </w:pPr>
    </w:lvl>
    <w:lvl w:ilvl="8" w:tplc="0415001B" w:tentative="1">
      <w:start w:val="1"/>
      <w:numFmt w:val="lowerRoman"/>
      <w:lvlText w:val="%9."/>
      <w:lvlJc w:val="right"/>
      <w:pPr>
        <w:ind w:left="8024" w:hanging="180"/>
      </w:pPr>
    </w:lvl>
  </w:abstractNum>
  <w:abstractNum w:abstractNumId="4">
    <w:nsid w:val="2EEC4603"/>
    <w:multiLevelType w:val="hybridMultilevel"/>
    <w:tmpl w:val="F9444F42"/>
    <w:lvl w:ilvl="0" w:tplc="0FA8FB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31792866"/>
    <w:multiLevelType w:val="hybridMultilevel"/>
    <w:tmpl w:val="A1AA8F5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36D307A6"/>
    <w:multiLevelType w:val="hybridMultilevel"/>
    <w:tmpl w:val="1804CE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D231E56"/>
    <w:multiLevelType w:val="hybridMultilevel"/>
    <w:tmpl w:val="9F806D88"/>
    <w:lvl w:ilvl="0" w:tplc="75BAF58C">
      <w:start w:val="1"/>
      <w:numFmt w:val="lowerLetter"/>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nsid w:val="3FF263C8"/>
    <w:multiLevelType w:val="hybridMultilevel"/>
    <w:tmpl w:val="CB364CD8"/>
    <w:lvl w:ilvl="0" w:tplc="449686DE">
      <w:start w:val="1"/>
      <w:numFmt w:val="decimal"/>
      <w:lvlText w:val="%1."/>
      <w:lvlJc w:val="left"/>
      <w:pPr>
        <w:ind w:left="644" w:hanging="360"/>
      </w:pPr>
      <w:rPr>
        <w:rFonts w:hint="default"/>
      </w:rPr>
    </w:lvl>
    <w:lvl w:ilvl="1" w:tplc="D8943B42">
      <w:start w:val="10"/>
      <w:numFmt w:val="decimal"/>
      <w:lvlText w:val="%2"/>
      <w:lvlJc w:val="left"/>
      <w:pPr>
        <w:ind w:left="1364" w:hanging="360"/>
      </w:pPr>
      <w:rPr>
        <w:rFonts w:hint="default"/>
      </w:rPr>
    </w:lvl>
    <w:lvl w:ilvl="2" w:tplc="04150017">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7">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42D77A48"/>
    <w:multiLevelType w:val="hybridMultilevel"/>
    <w:tmpl w:val="9F806D88"/>
    <w:lvl w:ilvl="0" w:tplc="75BAF58C">
      <w:start w:val="1"/>
      <w:numFmt w:val="lowerLetter"/>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nsid w:val="4FEF371A"/>
    <w:multiLevelType w:val="hybridMultilevel"/>
    <w:tmpl w:val="F16ED288"/>
    <w:lvl w:ilvl="0" w:tplc="0B72953E">
      <w:start w:val="1"/>
      <w:numFmt w:val="lowerLetter"/>
      <w:lvlText w:val="%1)"/>
      <w:lvlJc w:val="left"/>
      <w:pPr>
        <w:ind w:left="1353" w:hanging="360"/>
      </w:pPr>
      <w:rPr>
        <w:rFonts w:hint="default"/>
        <w:color w:val="00000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nsid w:val="55D50FE3"/>
    <w:multiLevelType w:val="hybridMultilevel"/>
    <w:tmpl w:val="B9522A5E"/>
    <w:lvl w:ilvl="0" w:tplc="8DC09EF6">
      <w:start w:val="1"/>
      <w:numFmt w:val="decimal"/>
      <w:lvlText w:val="%1."/>
      <w:lvlJc w:val="left"/>
      <w:pPr>
        <w:ind w:left="360" w:hanging="360"/>
      </w:pPr>
      <w:rPr>
        <w:rFonts w:ascii="Calibri" w:eastAsia="Times New Roman" w:hAnsi="Calibri" w:cs="Times New Roman" w:hint="default"/>
      </w:rPr>
    </w:lvl>
    <w:lvl w:ilvl="1" w:tplc="04150011">
      <w:start w:val="1"/>
      <w:numFmt w:val="decimal"/>
      <w:lvlText w:val="%2)"/>
      <w:lvlJc w:val="left"/>
      <w:pPr>
        <w:ind w:left="1080" w:hanging="360"/>
      </w:pPr>
      <w:rPr>
        <w:rFonts w:hint="default"/>
      </w:rPr>
    </w:lvl>
    <w:lvl w:ilvl="2" w:tplc="0415001B">
      <w:start w:val="1"/>
      <w:numFmt w:val="lowerRoman"/>
      <w:lvlText w:val="%3."/>
      <w:lvlJc w:val="right"/>
      <w:pPr>
        <w:ind w:left="1800" w:hanging="180"/>
      </w:pPr>
      <w:rPr>
        <w:rFonts w:hint="default"/>
      </w:rPr>
    </w:lvl>
    <w:lvl w:ilvl="3" w:tplc="04150011">
      <w:start w:val="1"/>
      <w:numFmt w:val="decimal"/>
      <w:lvlText w:val="%4)"/>
      <w:lvlJc w:val="left"/>
      <w:pPr>
        <w:ind w:left="2520" w:hanging="360"/>
      </w:pPr>
    </w:lvl>
    <w:lvl w:ilvl="4" w:tplc="04150019">
      <w:start w:val="1"/>
      <w:numFmt w:val="lowerLetter"/>
      <w:lvlText w:val="%5."/>
      <w:lvlJc w:val="left"/>
      <w:pPr>
        <w:ind w:left="3240" w:hanging="360"/>
      </w:pPr>
    </w:lvl>
    <w:lvl w:ilvl="5" w:tplc="E7A652BC">
      <w:start w:val="1"/>
      <w:numFmt w:val="lowerLetter"/>
      <w:lvlText w:val="%6)"/>
      <w:lvlJc w:val="left"/>
      <w:pPr>
        <w:ind w:left="4140" w:hanging="360"/>
      </w:pPr>
      <w:rPr>
        <w:rFonts w:hint="default"/>
        <w:color w:val="000000"/>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57203796"/>
    <w:multiLevelType w:val="hybridMultilevel"/>
    <w:tmpl w:val="1804CE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CD2333D"/>
    <w:multiLevelType w:val="hybridMultilevel"/>
    <w:tmpl w:val="8F841D72"/>
    <w:lvl w:ilvl="0" w:tplc="03982D22">
      <w:start w:val="1"/>
      <w:numFmt w:val="lowerLetter"/>
      <w:lvlText w:val="%1)"/>
      <w:lvlJc w:val="left"/>
      <w:rPr>
        <w:rFonts w:ascii="Calibri" w:hAnsi="Calibri" w:cs="Calibri"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nsid w:val="5DF13B28"/>
    <w:multiLevelType w:val="multilevel"/>
    <w:tmpl w:val="40FC7072"/>
    <w:lvl w:ilvl="0">
      <w:start w:val="16"/>
      <w:numFmt w:val="decimal"/>
      <w:lvlText w:val="%1"/>
      <w:lvlJc w:val="left"/>
      <w:pPr>
        <w:ind w:left="360" w:hanging="360"/>
      </w:pPr>
      <w:rPr>
        <w:rFonts w:hint="default"/>
      </w:rPr>
    </w:lvl>
    <w:lvl w:ilvl="1">
      <w:start w:val="4"/>
      <w:numFmt w:val="decimal"/>
      <w:lvlText w:val="%2."/>
      <w:lvlJc w:val="left"/>
      <w:pPr>
        <w:ind w:left="0" w:firstLine="0"/>
      </w:pPr>
      <w:rPr>
        <w:rFonts w:ascii="Calibri Light" w:eastAsia="Times New Roman" w:hAnsi="Calibri Light" w:cs="Calibri Light" w:hint="default"/>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5">
    <w:nsid w:val="6460125E"/>
    <w:multiLevelType w:val="hybridMultilevel"/>
    <w:tmpl w:val="E592B6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nsid w:val="6AB86530"/>
    <w:multiLevelType w:val="hybridMultilevel"/>
    <w:tmpl w:val="BBC4C65C"/>
    <w:lvl w:ilvl="0" w:tplc="3B4C34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nsid w:val="6C0D0401"/>
    <w:multiLevelType w:val="hybridMultilevel"/>
    <w:tmpl w:val="BBC4C65C"/>
    <w:lvl w:ilvl="0" w:tplc="3B4C34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nsid w:val="6DFB00C1"/>
    <w:multiLevelType w:val="hybridMultilevel"/>
    <w:tmpl w:val="562EA060"/>
    <w:lvl w:ilvl="0" w:tplc="290E5D62">
      <w:start w:val="1"/>
      <w:numFmt w:val="lowerLetter"/>
      <w:lvlText w:val="%1)"/>
      <w:lvlJc w:val="left"/>
      <w:rPr>
        <w:rFonts w:ascii="Calibri Light" w:hAnsi="Calibri Light" w:cs="Calibri Light" w:hint="default"/>
        <w:sz w:val="24"/>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nsid w:val="73B945E5"/>
    <w:multiLevelType w:val="hybridMultilevel"/>
    <w:tmpl w:val="3D508F24"/>
    <w:lvl w:ilvl="0" w:tplc="449686DE">
      <w:start w:val="1"/>
      <w:numFmt w:val="decimal"/>
      <w:lvlText w:val="%1."/>
      <w:lvlJc w:val="left"/>
      <w:pPr>
        <w:ind w:left="644" w:hanging="360"/>
      </w:pPr>
      <w:rPr>
        <w:rFonts w:hint="default"/>
      </w:rPr>
    </w:lvl>
    <w:lvl w:ilvl="1" w:tplc="D8943B42">
      <w:start w:val="10"/>
      <w:numFmt w:val="decimal"/>
      <w:lvlText w:val="%2"/>
      <w:lvlJc w:val="left"/>
      <w:pPr>
        <w:ind w:left="1364" w:hanging="360"/>
      </w:pPr>
      <w:rPr>
        <w:rFonts w:hint="default"/>
      </w:rPr>
    </w:lvl>
    <w:lvl w:ilvl="2" w:tplc="04150017">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7">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0">
    <w:nsid w:val="7B971FC0"/>
    <w:multiLevelType w:val="hybridMultilevel"/>
    <w:tmpl w:val="A1AA8F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7E1C4E1B"/>
    <w:multiLevelType w:val="multilevel"/>
    <w:tmpl w:val="E9CCBBE2"/>
    <w:lvl w:ilvl="0">
      <w:start w:val="16"/>
      <w:numFmt w:val="decimal"/>
      <w:lvlText w:val="%1"/>
      <w:lvlJc w:val="left"/>
      <w:pPr>
        <w:ind w:left="360" w:hanging="360"/>
      </w:pPr>
      <w:rPr>
        <w:rFonts w:hint="default"/>
      </w:rPr>
    </w:lvl>
    <w:lvl w:ilvl="1">
      <w:start w:val="5"/>
      <w:numFmt w:val="decimal"/>
      <w:lvlText w:val="%2."/>
      <w:lvlJc w:val="left"/>
      <w:pPr>
        <w:ind w:left="0" w:firstLine="0"/>
      </w:pPr>
      <w:rPr>
        <w:rFonts w:ascii="Calibri" w:eastAsia="Times New Roman" w:hAnsi="Calibri" w:cs="Calibri" w:hint="default"/>
        <w:sz w:val="22"/>
        <w:szCs w:val="22"/>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11"/>
  </w:num>
  <w:num w:numId="2">
    <w:abstractNumId w:val="10"/>
  </w:num>
  <w:num w:numId="3">
    <w:abstractNumId w:val="13"/>
  </w:num>
  <w:num w:numId="4">
    <w:abstractNumId w:val="16"/>
  </w:num>
  <w:num w:numId="5">
    <w:abstractNumId w:val="2"/>
  </w:num>
  <w:num w:numId="6">
    <w:abstractNumId w:val="9"/>
  </w:num>
  <w:num w:numId="7">
    <w:abstractNumId w:val="21"/>
  </w:num>
  <w:num w:numId="8">
    <w:abstractNumId w:val="8"/>
  </w:num>
  <w:num w:numId="9">
    <w:abstractNumId w:val="12"/>
  </w:num>
  <w:num w:numId="10">
    <w:abstractNumId w:val="0"/>
  </w:num>
  <w:num w:numId="11">
    <w:abstractNumId w:val="14"/>
  </w:num>
  <w:num w:numId="12">
    <w:abstractNumId w:val="17"/>
  </w:num>
  <w:num w:numId="13">
    <w:abstractNumId w:val="18"/>
  </w:num>
  <w:num w:numId="14">
    <w:abstractNumId w:val="7"/>
  </w:num>
  <w:num w:numId="15">
    <w:abstractNumId w:val="19"/>
  </w:num>
  <w:num w:numId="16">
    <w:abstractNumId w:val="6"/>
  </w:num>
  <w:num w:numId="17">
    <w:abstractNumId w:val="20"/>
  </w:num>
  <w:num w:numId="18">
    <w:abstractNumId w:val="15"/>
  </w:num>
  <w:num w:numId="19">
    <w:abstractNumId w:val="5"/>
  </w:num>
  <w:num w:numId="20">
    <w:abstractNumId w:val="3"/>
  </w:num>
  <w:num w:numId="21">
    <w:abstractNumId w:val="4"/>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defaultTabStop w:val="709"/>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B74AA6"/>
    <w:rsid w:val="0003751B"/>
    <w:rsid w:val="0007297C"/>
    <w:rsid w:val="000B0773"/>
    <w:rsid w:val="000C09BE"/>
    <w:rsid w:val="0010502F"/>
    <w:rsid w:val="00114076"/>
    <w:rsid w:val="00125E8D"/>
    <w:rsid w:val="001A2FF3"/>
    <w:rsid w:val="001F6C8C"/>
    <w:rsid w:val="00207820"/>
    <w:rsid w:val="002424DD"/>
    <w:rsid w:val="00243A37"/>
    <w:rsid w:val="00293218"/>
    <w:rsid w:val="002E7568"/>
    <w:rsid w:val="00335744"/>
    <w:rsid w:val="003E2794"/>
    <w:rsid w:val="003F4166"/>
    <w:rsid w:val="00423A02"/>
    <w:rsid w:val="00444FC5"/>
    <w:rsid w:val="00450A13"/>
    <w:rsid w:val="00480489"/>
    <w:rsid w:val="004B40F7"/>
    <w:rsid w:val="004F4AB0"/>
    <w:rsid w:val="00500F7C"/>
    <w:rsid w:val="005024DE"/>
    <w:rsid w:val="0057633D"/>
    <w:rsid w:val="00587AB5"/>
    <w:rsid w:val="005D0FE3"/>
    <w:rsid w:val="00664660"/>
    <w:rsid w:val="006718B6"/>
    <w:rsid w:val="006D645D"/>
    <w:rsid w:val="00746E9A"/>
    <w:rsid w:val="0075275D"/>
    <w:rsid w:val="00783D00"/>
    <w:rsid w:val="007E3E26"/>
    <w:rsid w:val="007E7BA7"/>
    <w:rsid w:val="0083488C"/>
    <w:rsid w:val="0088148F"/>
    <w:rsid w:val="008E2924"/>
    <w:rsid w:val="00942C6E"/>
    <w:rsid w:val="009E1CEE"/>
    <w:rsid w:val="00A03504"/>
    <w:rsid w:val="00A41EEB"/>
    <w:rsid w:val="00AA4BC5"/>
    <w:rsid w:val="00AD1B61"/>
    <w:rsid w:val="00B17362"/>
    <w:rsid w:val="00B72555"/>
    <w:rsid w:val="00B74AA6"/>
    <w:rsid w:val="00C435C2"/>
    <w:rsid w:val="00C80B03"/>
    <w:rsid w:val="00CC7777"/>
    <w:rsid w:val="00D05541"/>
    <w:rsid w:val="00D10369"/>
    <w:rsid w:val="00E06686"/>
    <w:rsid w:val="00E64B32"/>
    <w:rsid w:val="00E87B4B"/>
    <w:rsid w:val="00EB13E8"/>
    <w:rsid w:val="00EE2BDE"/>
    <w:rsid w:val="00F24B47"/>
    <w:rsid w:val="00F451B2"/>
    <w:rsid w:val="00FA2EF5"/>
    <w:rsid w:val="00FC6A16"/>
    <w:rsid w:val="00FE0B35"/>
    <w:rsid w:val="00FE60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4AA6"/>
    <w:pPr>
      <w:spacing w:after="0" w:line="240" w:lineRule="auto"/>
    </w:pPr>
    <w:rPr>
      <w:rFonts w:ascii="Calibri" w:eastAsia="Times New Roman" w:hAnsi="Calibri" w:cs="Times New Roman"/>
      <w:kern w:val="0"/>
      <w:sz w:val="24"/>
      <w:szCs w:val="24"/>
      <w:lang w:bidi="en-US"/>
    </w:rPr>
  </w:style>
  <w:style w:type="paragraph" w:styleId="Nagwek1">
    <w:name w:val="heading 1"/>
    <w:basedOn w:val="Normalny"/>
    <w:next w:val="Normalny"/>
    <w:link w:val="Nagwek1Znak"/>
    <w:uiPriority w:val="9"/>
    <w:qFormat/>
    <w:rsid w:val="00B74A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74A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74AA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74AA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74AA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74AA6"/>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74AA6"/>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74AA6"/>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74AA6"/>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74AA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74AA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74AA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74AA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74AA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74AA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74AA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74AA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74AA6"/>
    <w:rPr>
      <w:rFonts w:eastAsiaTheme="majorEastAsia" w:cstheme="majorBidi"/>
      <w:color w:val="272727" w:themeColor="text1" w:themeTint="D8"/>
    </w:rPr>
  </w:style>
  <w:style w:type="paragraph" w:styleId="Tytu">
    <w:name w:val="Title"/>
    <w:basedOn w:val="Normalny"/>
    <w:next w:val="Normalny"/>
    <w:link w:val="TytuZnak"/>
    <w:uiPriority w:val="10"/>
    <w:qFormat/>
    <w:rsid w:val="00B74AA6"/>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74AA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74AA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74AA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74AA6"/>
    <w:pPr>
      <w:spacing w:before="160"/>
      <w:jc w:val="center"/>
    </w:pPr>
    <w:rPr>
      <w:i/>
      <w:iCs/>
      <w:color w:val="404040" w:themeColor="text1" w:themeTint="BF"/>
    </w:rPr>
  </w:style>
  <w:style w:type="character" w:customStyle="1" w:styleId="CytatZnak">
    <w:name w:val="Cytat Znak"/>
    <w:basedOn w:val="Domylnaczcionkaakapitu"/>
    <w:link w:val="Cytat"/>
    <w:uiPriority w:val="29"/>
    <w:rsid w:val="00B74AA6"/>
    <w:rPr>
      <w:i/>
      <w:iCs/>
      <w:color w:val="404040" w:themeColor="text1" w:themeTint="BF"/>
    </w:rPr>
  </w:style>
  <w:style w:type="paragraph" w:styleId="Akapitzlist">
    <w:name w:val="List Paragraph"/>
    <w:aliases w:val="L1,Numerowanie,Tytuły tabel i wykresów,Podsis rysunku,Bullet Number,Body MS Bullet,lp1,List Paragraph1,List Paragraph2,ISCG Numerowanie,Preambuła,CW_Lista,sw tekst,Adresat stanowisko"/>
    <w:basedOn w:val="Normalny"/>
    <w:link w:val="AkapitzlistZnak"/>
    <w:uiPriority w:val="99"/>
    <w:qFormat/>
    <w:rsid w:val="00B74AA6"/>
    <w:pPr>
      <w:ind w:left="720"/>
      <w:contextualSpacing/>
    </w:pPr>
  </w:style>
  <w:style w:type="character" w:styleId="Wyrnienieintensywne">
    <w:name w:val="Intense Emphasis"/>
    <w:basedOn w:val="Domylnaczcionkaakapitu"/>
    <w:uiPriority w:val="21"/>
    <w:qFormat/>
    <w:rsid w:val="00B74AA6"/>
    <w:rPr>
      <w:i/>
      <w:iCs/>
      <w:color w:val="0F4761" w:themeColor="accent1" w:themeShade="BF"/>
    </w:rPr>
  </w:style>
  <w:style w:type="paragraph" w:styleId="Cytatintensywny">
    <w:name w:val="Intense Quote"/>
    <w:basedOn w:val="Normalny"/>
    <w:next w:val="Normalny"/>
    <w:link w:val="CytatintensywnyZnak"/>
    <w:uiPriority w:val="30"/>
    <w:qFormat/>
    <w:rsid w:val="00B74A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74AA6"/>
    <w:rPr>
      <w:i/>
      <w:iCs/>
      <w:color w:val="0F4761" w:themeColor="accent1" w:themeShade="BF"/>
    </w:rPr>
  </w:style>
  <w:style w:type="character" w:styleId="Odwoanieintensywne">
    <w:name w:val="Intense Reference"/>
    <w:basedOn w:val="Domylnaczcionkaakapitu"/>
    <w:uiPriority w:val="32"/>
    <w:qFormat/>
    <w:rsid w:val="00B74AA6"/>
    <w:rPr>
      <w:b/>
      <w:bCs/>
      <w:smallCaps/>
      <w:color w:val="0F4761" w:themeColor="accent1" w:themeShade="BF"/>
      <w:spacing w:val="5"/>
    </w:rPr>
  </w:style>
  <w:style w:type="paragraph" w:styleId="Nagwek">
    <w:name w:val="header"/>
    <w:basedOn w:val="Normalny"/>
    <w:link w:val="NagwekZnak"/>
    <w:rsid w:val="00B74AA6"/>
    <w:pPr>
      <w:tabs>
        <w:tab w:val="center" w:pos="4536"/>
        <w:tab w:val="right" w:pos="9072"/>
      </w:tabs>
      <w:autoSpaceDN w:val="0"/>
    </w:pPr>
    <w:rPr>
      <w:rFonts w:ascii="Times New Roman" w:hAnsi="Times New Roman"/>
      <w:sz w:val="20"/>
      <w:szCs w:val="20"/>
      <w:lang w:eastAsia="pl-PL" w:bidi="ar-SA"/>
    </w:rPr>
  </w:style>
  <w:style w:type="character" w:customStyle="1" w:styleId="NagwekZnak">
    <w:name w:val="Nagłówek Znak"/>
    <w:basedOn w:val="Domylnaczcionkaakapitu"/>
    <w:link w:val="Nagwek"/>
    <w:rsid w:val="00B74AA6"/>
    <w:rPr>
      <w:rFonts w:ascii="Times New Roman" w:eastAsia="Times New Roman" w:hAnsi="Times New Roman" w:cs="Times New Roman"/>
      <w:kern w:val="0"/>
      <w:sz w:val="20"/>
      <w:szCs w:val="20"/>
      <w:lang w:eastAsia="pl-PL"/>
    </w:rPr>
  </w:style>
  <w:style w:type="character" w:styleId="Hipercze">
    <w:name w:val="Hyperlink"/>
    <w:uiPriority w:val="99"/>
    <w:rsid w:val="00B74AA6"/>
    <w:rPr>
      <w:color w:val="0000FF"/>
      <w:u w:val="single"/>
    </w:rPr>
  </w:style>
  <w:style w:type="paragraph" w:styleId="Stopka">
    <w:name w:val="footer"/>
    <w:basedOn w:val="Normalny"/>
    <w:link w:val="StopkaZnak"/>
    <w:uiPriority w:val="99"/>
    <w:rsid w:val="00B74AA6"/>
    <w:pPr>
      <w:tabs>
        <w:tab w:val="center" w:pos="4536"/>
        <w:tab w:val="right" w:pos="9072"/>
      </w:tabs>
    </w:pPr>
    <w:rPr>
      <w:rFonts w:ascii="Times New Roman" w:hAnsi="Times New Roman"/>
      <w:lang w:eastAsia="ar-SA" w:bidi="ar-SA"/>
    </w:rPr>
  </w:style>
  <w:style w:type="character" w:customStyle="1" w:styleId="StopkaZnak">
    <w:name w:val="Stopka Znak"/>
    <w:basedOn w:val="Domylnaczcionkaakapitu"/>
    <w:link w:val="Stopka"/>
    <w:uiPriority w:val="99"/>
    <w:rsid w:val="00B74AA6"/>
    <w:rPr>
      <w:rFonts w:ascii="Times New Roman" w:eastAsia="Times New Roman" w:hAnsi="Times New Roman" w:cs="Times New Roman"/>
      <w:kern w:val="0"/>
      <w:sz w:val="24"/>
      <w:szCs w:val="24"/>
      <w:lang w:eastAsia="ar-SA"/>
    </w:rPr>
  </w:style>
  <w:style w:type="character" w:customStyle="1" w:styleId="CharStyle7">
    <w:name w:val="Char Style 7"/>
    <w:link w:val="Style6"/>
    <w:uiPriority w:val="99"/>
    <w:locked/>
    <w:rsid w:val="00B74AA6"/>
    <w:rPr>
      <w:shd w:val="clear" w:color="auto" w:fill="FFFFFF"/>
    </w:rPr>
  </w:style>
  <w:style w:type="paragraph" w:customStyle="1" w:styleId="Style6">
    <w:name w:val="Style 6"/>
    <w:basedOn w:val="Normalny"/>
    <w:link w:val="CharStyle7"/>
    <w:uiPriority w:val="99"/>
    <w:rsid w:val="00B74AA6"/>
    <w:pPr>
      <w:widowControl w:val="0"/>
      <w:shd w:val="clear" w:color="auto" w:fill="FFFFFF"/>
      <w:spacing w:before="1260" w:after="420" w:line="240" w:lineRule="atLeast"/>
      <w:ind w:hanging="360"/>
    </w:pPr>
    <w:rPr>
      <w:rFonts w:asciiTheme="minorHAnsi" w:eastAsiaTheme="minorHAnsi" w:hAnsiTheme="minorHAnsi" w:cstheme="minorBidi"/>
      <w:kern w:val="2"/>
      <w:sz w:val="22"/>
      <w:szCs w:val="22"/>
      <w:lang w:bidi="ar-SA"/>
    </w:rPr>
  </w:style>
  <w:style w:type="character" w:customStyle="1" w:styleId="AkapitzlistZnak">
    <w:name w:val="Akapit z listą Znak"/>
    <w:aliases w:val="L1 Znak,Numerowanie Znak,Tytuły tabel i wykresów Znak,Podsis rysunku Znak,Bullet Number Znak,Body MS Bullet Znak,lp1 Znak,List Paragraph1 Znak,List Paragraph2 Znak,ISCG Numerowanie Znak,Preambuła Znak,CW_Lista Znak,sw tekst Znak"/>
    <w:link w:val="Akapitzlist"/>
    <w:uiPriority w:val="99"/>
    <w:qFormat/>
    <w:rsid w:val="00B74AA6"/>
  </w:style>
  <w:style w:type="paragraph" w:customStyle="1" w:styleId="Akapitzlist1">
    <w:name w:val="Akapit z listą1"/>
    <w:basedOn w:val="Normalny"/>
    <w:rsid w:val="00B74AA6"/>
    <w:pPr>
      <w:spacing w:after="160" w:line="256" w:lineRule="auto"/>
      <w:ind w:left="720"/>
    </w:pPr>
    <w:rPr>
      <w:sz w:val="22"/>
      <w:szCs w:val="22"/>
      <w:lang w:bidi="ar-SA"/>
    </w:rPr>
  </w:style>
  <w:style w:type="character" w:styleId="Odwoaniedokomentarza">
    <w:name w:val="annotation reference"/>
    <w:basedOn w:val="Domylnaczcionkaakapitu"/>
    <w:uiPriority w:val="99"/>
    <w:semiHidden/>
    <w:unhideWhenUsed/>
    <w:rsid w:val="00B74AA6"/>
    <w:rPr>
      <w:sz w:val="16"/>
      <w:szCs w:val="16"/>
    </w:rPr>
  </w:style>
  <w:style w:type="paragraph" w:styleId="Tekstkomentarza">
    <w:name w:val="annotation text"/>
    <w:basedOn w:val="Normalny"/>
    <w:link w:val="TekstkomentarzaZnak"/>
    <w:uiPriority w:val="99"/>
    <w:semiHidden/>
    <w:unhideWhenUsed/>
    <w:rsid w:val="00B74AA6"/>
    <w:rPr>
      <w:rFonts w:ascii="Times New Roman" w:eastAsiaTheme="minorHAnsi" w:hAnsi="Times New Roman"/>
      <w:sz w:val="20"/>
      <w:szCs w:val="20"/>
      <w:lang w:eastAsia="pl-PL" w:bidi="ar-SA"/>
    </w:rPr>
  </w:style>
  <w:style w:type="character" w:customStyle="1" w:styleId="TekstkomentarzaZnak">
    <w:name w:val="Tekst komentarza Znak"/>
    <w:basedOn w:val="Domylnaczcionkaakapitu"/>
    <w:link w:val="Tekstkomentarza"/>
    <w:uiPriority w:val="99"/>
    <w:semiHidden/>
    <w:rsid w:val="00B74AA6"/>
    <w:rPr>
      <w:rFonts w:ascii="Times New Roman" w:hAnsi="Times New Roman" w:cs="Times New Roman"/>
      <w:kern w:val="0"/>
      <w:sz w:val="20"/>
      <w:szCs w:val="20"/>
      <w:lang w:eastAsia="pl-PL"/>
    </w:rPr>
  </w:style>
</w:styles>
</file>

<file path=word/webSettings.xml><?xml version="1.0" encoding="utf-8"?>
<w:webSettings xmlns:r="http://schemas.openxmlformats.org/officeDocument/2006/relationships" xmlns:w="http://schemas.openxmlformats.org/wordprocessingml/2006/main">
  <w:divs>
    <w:div w:id="324283395">
      <w:bodyDiv w:val="1"/>
      <w:marLeft w:val="0"/>
      <w:marRight w:val="0"/>
      <w:marTop w:val="0"/>
      <w:marBottom w:val="0"/>
      <w:divBdr>
        <w:top w:val="none" w:sz="0" w:space="0" w:color="auto"/>
        <w:left w:val="none" w:sz="0" w:space="0" w:color="auto"/>
        <w:bottom w:val="none" w:sz="0" w:space="0" w:color="auto"/>
        <w:right w:val="none" w:sz="0" w:space="0" w:color="auto"/>
      </w:divBdr>
    </w:div>
    <w:div w:id="1002512530">
      <w:bodyDiv w:val="1"/>
      <w:marLeft w:val="0"/>
      <w:marRight w:val="0"/>
      <w:marTop w:val="0"/>
      <w:marBottom w:val="0"/>
      <w:divBdr>
        <w:top w:val="none" w:sz="0" w:space="0" w:color="auto"/>
        <w:left w:val="none" w:sz="0" w:space="0" w:color="auto"/>
        <w:bottom w:val="none" w:sz="0" w:space="0" w:color="auto"/>
        <w:right w:val="none" w:sz="0" w:space="0" w:color="auto"/>
      </w:divBdr>
    </w:div>
    <w:div w:id="1451242625">
      <w:bodyDiv w:val="1"/>
      <w:marLeft w:val="0"/>
      <w:marRight w:val="0"/>
      <w:marTop w:val="0"/>
      <w:marBottom w:val="0"/>
      <w:divBdr>
        <w:top w:val="none" w:sz="0" w:space="0" w:color="auto"/>
        <w:left w:val="none" w:sz="0" w:space="0" w:color="auto"/>
        <w:bottom w:val="none" w:sz="0" w:space="0" w:color="auto"/>
        <w:right w:val="none" w:sz="0" w:space="0" w:color="auto"/>
      </w:divBdr>
    </w:div>
    <w:div w:id="1630354259">
      <w:bodyDiv w:val="1"/>
      <w:marLeft w:val="0"/>
      <w:marRight w:val="0"/>
      <w:marTop w:val="0"/>
      <w:marBottom w:val="0"/>
      <w:divBdr>
        <w:top w:val="none" w:sz="0" w:space="0" w:color="auto"/>
        <w:left w:val="none" w:sz="0" w:space="0" w:color="auto"/>
        <w:bottom w:val="none" w:sz="0" w:space="0" w:color="auto"/>
        <w:right w:val="none" w:sz="0" w:space="0" w:color="auto"/>
      </w:divBdr>
    </w:div>
    <w:div w:id="1856535695">
      <w:bodyDiv w:val="1"/>
      <w:marLeft w:val="0"/>
      <w:marRight w:val="0"/>
      <w:marTop w:val="0"/>
      <w:marBottom w:val="0"/>
      <w:divBdr>
        <w:top w:val="none" w:sz="0" w:space="0" w:color="auto"/>
        <w:left w:val="none" w:sz="0" w:space="0" w:color="auto"/>
        <w:bottom w:val="none" w:sz="0" w:space="0" w:color="auto"/>
        <w:right w:val="none" w:sz="0" w:space="0" w:color="auto"/>
      </w:divBdr>
    </w:div>
    <w:div w:id="2016809942">
      <w:bodyDiv w:val="1"/>
      <w:marLeft w:val="0"/>
      <w:marRight w:val="0"/>
      <w:marTop w:val="0"/>
      <w:marBottom w:val="0"/>
      <w:divBdr>
        <w:top w:val="none" w:sz="0" w:space="0" w:color="auto"/>
        <w:left w:val="none" w:sz="0" w:space="0" w:color="auto"/>
        <w:bottom w:val="none" w:sz="0" w:space="0" w:color="auto"/>
        <w:right w:val="none" w:sz="0" w:space="0" w:color="auto"/>
      </w:divBdr>
    </w:div>
    <w:div w:id="208838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pi@opi.org.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954</Words>
  <Characters>5728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Tołpa</dc:creator>
  <cp:lastModifiedBy>Michał Tomaszewski</cp:lastModifiedBy>
  <cp:revision>5</cp:revision>
  <dcterms:created xsi:type="dcterms:W3CDTF">2024-09-19T07:57:00Z</dcterms:created>
  <dcterms:modified xsi:type="dcterms:W3CDTF">2024-09-19T08:05:00Z</dcterms:modified>
</cp:coreProperties>
</file>