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9E509F" w14:textId="78A7BA36" w:rsidR="006E35A4" w:rsidRPr="00E0193B" w:rsidRDefault="006E35A4" w:rsidP="00414F84">
      <w:pPr>
        <w:jc w:val="left"/>
      </w:pPr>
      <w:bookmarkStart w:id="0" w:name="_Toc141894932"/>
      <w:bookmarkStart w:id="1" w:name="_GoBack"/>
      <w:bookmarkEnd w:id="1"/>
    </w:p>
    <w:p w14:paraId="12F562FF" w14:textId="64D6CB2D" w:rsidR="006E35A4" w:rsidRPr="00E0193B" w:rsidRDefault="006E35A4" w:rsidP="006E35A4"/>
    <w:p w14:paraId="1F3D6101" w14:textId="10BF2D2C" w:rsidR="006E35A4" w:rsidRPr="00E0193B" w:rsidRDefault="006E35A4" w:rsidP="006E35A4"/>
    <w:p w14:paraId="1134A13E" w14:textId="716F0B78" w:rsidR="006E35A4" w:rsidRPr="00E0193B" w:rsidRDefault="006E35A4" w:rsidP="006E35A4"/>
    <w:p w14:paraId="31CB023A" w14:textId="5421292F" w:rsidR="006E35A4" w:rsidRPr="00E0193B" w:rsidRDefault="006E35A4" w:rsidP="006E35A4"/>
    <w:p w14:paraId="1735E02B" w14:textId="08E5A146" w:rsidR="006E35A4" w:rsidRPr="00E0193B" w:rsidRDefault="006E35A4" w:rsidP="006E35A4"/>
    <w:p w14:paraId="6C68B120" w14:textId="07600965" w:rsidR="006E35A4" w:rsidRPr="00E0193B" w:rsidRDefault="006E35A4" w:rsidP="006E35A4"/>
    <w:p w14:paraId="0A552968" w14:textId="002239BA" w:rsidR="006E35A4" w:rsidRPr="00E0193B" w:rsidRDefault="006E35A4" w:rsidP="006E35A4"/>
    <w:p w14:paraId="3C0D37DD" w14:textId="6224E1F7" w:rsidR="006E35A4" w:rsidRPr="00E0193B" w:rsidRDefault="006E35A4" w:rsidP="006E35A4"/>
    <w:p w14:paraId="3BFDB04D" w14:textId="0E613F36" w:rsidR="006E35A4" w:rsidRPr="00E0193B" w:rsidRDefault="006E35A4" w:rsidP="006E35A4"/>
    <w:p w14:paraId="43C2A7CD" w14:textId="77777777" w:rsidR="006E35A4" w:rsidRPr="00E0193B" w:rsidRDefault="006E35A4" w:rsidP="006E35A4"/>
    <w:p w14:paraId="38275D7D" w14:textId="5B4602FB" w:rsidR="006E35A4" w:rsidRPr="00E0193B" w:rsidRDefault="006E35A4" w:rsidP="006E35A4">
      <w:pPr>
        <w:pStyle w:val="Nagwek1"/>
        <w:pBdr>
          <w:top w:val="single" w:sz="4" w:space="1" w:color="auto"/>
          <w:left w:val="single" w:sz="4" w:space="4" w:color="auto"/>
          <w:bottom w:val="single" w:sz="4" w:space="1" w:color="auto"/>
          <w:right w:val="single" w:sz="4" w:space="4" w:color="auto"/>
        </w:pBdr>
        <w:ind w:left="0" w:firstLine="0"/>
        <w:jc w:val="center"/>
        <w:rPr>
          <w:sz w:val="24"/>
          <w:szCs w:val="24"/>
        </w:rPr>
      </w:pPr>
      <w:bookmarkStart w:id="2" w:name="_Toc165533725"/>
      <w:r w:rsidRPr="00E0193B">
        <w:rPr>
          <w:sz w:val="24"/>
          <w:szCs w:val="24"/>
        </w:rPr>
        <w:t>ADDENDUM DO KRAJOWEGO PLANU ODBUDOWY I ZWIĘKSZANIA ODPORNOŚCI (KPO)</w:t>
      </w:r>
      <w:bookmarkEnd w:id="2"/>
    </w:p>
    <w:p w14:paraId="5C0DC516" w14:textId="77777777" w:rsidR="006E35A4" w:rsidRPr="00E0193B" w:rsidRDefault="006E35A4" w:rsidP="006E35A4"/>
    <w:p w14:paraId="2356AA69" w14:textId="77777777" w:rsidR="006E35A4" w:rsidRPr="00E0193B" w:rsidRDefault="006E35A4" w:rsidP="006E35A4"/>
    <w:p w14:paraId="0A86FEED" w14:textId="77777777" w:rsidR="006E35A4" w:rsidRPr="00E0193B" w:rsidRDefault="006E35A4" w:rsidP="006E35A4"/>
    <w:p w14:paraId="11ECF23E" w14:textId="77777777" w:rsidR="006E35A4" w:rsidRPr="00E0193B" w:rsidRDefault="006E35A4" w:rsidP="006E35A4"/>
    <w:p w14:paraId="47D93DFF" w14:textId="77777777" w:rsidR="006E35A4" w:rsidRPr="00E0193B" w:rsidRDefault="006E35A4" w:rsidP="006E35A4"/>
    <w:p w14:paraId="5FA5CEFE" w14:textId="77777777" w:rsidR="006E35A4" w:rsidRPr="00E0193B" w:rsidRDefault="006E35A4" w:rsidP="006E35A4"/>
    <w:p w14:paraId="3F856ABA" w14:textId="77777777" w:rsidR="006E35A4" w:rsidRPr="00E0193B" w:rsidRDefault="006E35A4" w:rsidP="006E35A4"/>
    <w:p w14:paraId="65B87072" w14:textId="77777777" w:rsidR="006E35A4" w:rsidRPr="00E0193B" w:rsidRDefault="006E35A4" w:rsidP="006E35A4"/>
    <w:p w14:paraId="03629F13" w14:textId="77777777" w:rsidR="006E35A4" w:rsidRPr="00E0193B" w:rsidRDefault="006E35A4" w:rsidP="006E35A4"/>
    <w:p w14:paraId="59F5EFE8" w14:textId="77777777" w:rsidR="006E35A4" w:rsidRPr="00E0193B" w:rsidRDefault="006E35A4" w:rsidP="006E35A4"/>
    <w:p w14:paraId="11C4FF48" w14:textId="77777777" w:rsidR="006E35A4" w:rsidRPr="00E0193B" w:rsidRDefault="006E35A4" w:rsidP="006E35A4"/>
    <w:p w14:paraId="14DCF082" w14:textId="77777777" w:rsidR="006E35A4" w:rsidRPr="00E0193B" w:rsidRDefault="006E35A4" w:rsidP="006E35A4"/>
    <w:p w14:paraId="4D37DB56" w14:textId="77777777" w:rsidR="006E35A4" w:rsidRPr="00E0193B" w:rsidRDefault="006E35A4" w:rsidP="006E35A4"/>
    <w:p w14:paraId="55191A13" w14:textId="77777777" w:rsidR="006E35A4" w:rsidRPr="00E0193B" w:rsidRDefault="006E35A4" w:rsidP="006E35A4"/>
    <w:p w14:paraId="031F1F7A" w14:textId="77777777" w:rsidR="006E35A4" w:rsidRPr="00E0193B" w:rsidRDefault="006E35A4" w:rsidP="006E35A4"/>
    <w:p w14:paraId="6CC36F58" w14:textId="185F5D60" w:rsidR="00F66189" w:rsidRPr="00E0193B" w:rsidRDefault="006E4C86" w:rsidP="006E35A4">
      <w:pPr>
        <w:jc w:val="center"/>
      </w:pPr>
      <w:r w:rsidRPr="00E0193B">
        <w:t>k</w:t>
      </w:r>
      <w:r w:rsidR="4607270C" w:rsidRPr="00E0193B">
        <w:t xml:space="preserve">wiecień </w:t>
      </w:r>
      <w:r w:rsidR="1B0FAEE0" w:rsidRPr="00E0193B">
        <w:t>202</w:t>
      </w:r>
      <w:r w:rsidR="5A470C94" w:rsidRPr="00E0193B">
        <w:t>4</w:t>
      </w:r>
      <w:r w:rsidR="006E35A4" w:rsidRPr="00E0193B">
        <w:t xml:space="preserve"> r.</w:t>
      </w:r>
    </w:p>
    <w:p w14:paraId="01BC941F" w14:textId="26D2EA6E" w:rsidR="00F66189" w:rsidRPr="00E0193B" w:rsidRDefault="00F66189" w:rsidP="006E35A4">
      <w:pPr>
        <w:jc w:val="center"/>
      </w:pPr>
    </w:p>
    <w:p w14:paraId="041075C4" w14:textId="0833432D" w:rsidR="00F66189" w:rsidRPr="00E0193B" w:rsidRDefault="006E35A4" w:rsidP="006E35A4">
      <w:pPr>
        <w:jc w:val="center"/>
      </w:pPr>
      <w:r w:rsidRPr="00E0193B">
        <w:br w:type="column"/>
      </w:r>
    </w:p>
    <w:p w14:paraId="430DCB42" w14:textId="0833432D" w:rsidR="00F66189" w:rsidRPr="00E0193B" w:rsidRDefault="2E6A22F1" w:rsidP="006E35A4">
      <w:pPr>
        <w:jc w:val="center"/>
      </w:pPr>
      <w:r w:rsidRPr="00E0193B">
        <w:t>Spis treści</w:t>
      </w:r>
      <w:bookmarkEnd w:id="0"/>
    </w:p>
    <w:p w14:paraId="23661D86" w14:textId="5A984AEB" w:rsidR="00A802CF" w:rsidRDefault="00EE5E0F">
      <w:pPr>
        <w:pStyle w:val="Spistreci1"/>
        <w:rPr>
          <w:rFonts w:asciiTheme="minorHAnsi" w:hAnsiTheme="minorHAnsi" w:cstheme="minorBidi"/>
          <w:sz w:val="22"/>
          <w:szCs w:val="22"/>
          <w:lang w:val="pl-PL" w:eastAsia="pl-PL"/>
        </w:rPr>
      </w:pPr>
      <w:r w:rsidRPr="00E0193B">
        <w:fldChar w:fldCharType="begin"/>
      </w:r>
      <w:r w:rsidRPr="00E0193B">
        <w:instrText xml:space="preserve"> TOC \o "1-2" \h \z \u </w:instrText>
      </w:r>
      <w:r w:rsidRPr="00E0193B">
        <w:fldChar w:fldCharType="separate"/>
      </w:r>
      <w:hyperlink w:anchor="_Toc165533725" w:history="1">
        <w:r w:rsidR="00A802CF" w:rsidRPr="00630A3D">
          <w:rPr>
            <w:rStyle w:val="Hipercze"/>
          </w:rPr>
          <w:t>ADDENDUM DO KRAJOWEGO PLANU ODBUDOWY I ZWIĘKSZANIA ODPORNOŚCI (KPO)</w:t>
        </w:r>
        <w:r w:rsidR="00A802CF">
          <w:rPr>
            <w:webHidden/>
          </w:rPr>
          <w:tab/>
        </w:r>
        <w:r w:rsidR="00A802CF">
          <w:rPr>
            <w:webHidden/>
          </w:rPr>
          <w:fldChar w:fldCharType="begin"/>
        </w:r>
        <w:r w:rsidR="00A802CF">
          <w:rPr>
            <w:webHidden/>
          </w:rPr>
          <w:instrText xml:space="preserve"> PAGEREF _Toc165533725 \h </w:instrText>
        </w:r>
        <w:r w:rsidR="00A802CF">
          <w:rPr>
            <w:webHidden/>
          </w:rPr>
        </w:r>
        <w:r w:rsidR="00A802CF">
          <w:rPr>
            <w:webHidden/>
          </w:rPr>
          <w:fldChar w:fldCharType="separate"/>
        </w:r>
        <w:r w:rsidR="00A802CF">
          <w:rPr>
            <w:webHidden/>
          </w:rPr>
          <w:t>1</w:t>
        </w:r>
        <w:r w:rsidR="00A802CF">
          <w:rPr>
            <w:webHidden/>
          </w:rPr>
          <w:fldChar w:fldCharType="end"/>
        </w:r>
      </w:hyperlink>
    </w:p>
    <w:p w14:paraId="1F87514F" w14:textId="0066C962" w:rsidR="00A802CF" w:rsidRDefault="00697BB9">
      <w:pPr>
        <w:pStyle w:val="Spistreci1"/>
        <w:rPr>
          <w:rFonts w:asciiTheme="minorHAnsi" w:hAnsiTheme="minorHAnsi" w:cstheme="minorBidi"/>
          <w:sz w:val="22"/>
          <w:szCs w:val="22"/>
          <w:lang w:val="pl-PL" w:eastAsia="pl-PL"/>
        </w:rPr>
      </w:pPr>
      <w:hyperlink w:anchor="_Toc165533726" w:history="1">
        <w:r w:rsidR="00A802CF" w:rsidRPr="00630A3D">
          <w:rPr>
            <w:rStyle w:val="Hipercze"/>
          </w:rPr>
          <w:t>Część 1: Wprowadzenie do addendum</w:t>
        </w:r>
        <w:r w:rsidR="00A802CF">
          <w:rPr>
            <w:webHidden/>
          </w:rPr>
          <w:tab/>
        </w:r>
        <w:r w:rsidR="00A802CF">
          <w:rPr>
            <w:webHidden/>
          </w:rPr>
          <w:fldChar w:fldCharType="begin"/>
        </w:r>
        <w:r w:rsidR="00A802CF">
          <w:rPr>
            <w:webHidden/>
          </w:rPr>
          <w:instrText xml:space="preserve"> PAGEREF _Toc165533726 \h </w:instrText>
        </w:r>
        <w:r w:rsidR="00A802CF">
          <w:rPr>
            <w:webHidden/>
          </w:rPr>
        </w:r>
        <w:r w:rsidR="00A802CF">
          <w:rPr>
            <w:webHidden/>
          </w:rPr>
          <w:fldChar w:fldCharType="separate"/>
        </w:r>
        <w:r w:rsidR="00A802CF">
          <w:rPr>
            <w:webHidden/>
          </w:rPr>
          <w:t>3</w:t>
        </w:r>
        <w:r w:rsidR="00A802CF">
          <w:rPr>
            <w:webHidden/>
          </w:rPr>
          <w:fldChar w:fldCharType="end"/>
        </w:r>
      </w:hyperlink>
    </w:p>
    <w:p w14:paraId="2546FCF2" w14:textId="4ACAC8BA" w:rsidR="00A802CF" w:rsidRDefault="00697BB9">
      <w:pPr>
        <w:pStyle w:val="Spistreci2"/>
        <w:rPr>
          <w:rFonts w:asciiTheme="minorHAnsi" w:hAnsiTheme="minorHAnsi" w:cstheme="minorBidi"/>
          <w:b w:val="0"/>
          <w:bCs w:val="0"/>
          <w:sz w:val="22"/>
          <w:szCs w:val="22"/>
          <w:lang w:val="pl-PL" w:eastAsia="pl-PL"/>
        </w:rPr>
      </w:pPr>
      <w:hyperlink w:anchor="_Toc165533727" w:history="1">
        <w:r w:rsidR="00A802CF" w:rsidRPr="00630A3D">
          <w:rPr>
            <w:rStyle w:val="Hipercze"/>
          </w:rPr>
          <w:t>1. Cel ogólny</w:t>
        </w:r>
        <w:r w:rsidR="00A802CF">
          <w:rPr>
            <w:webHidden/>
          </w:rPr>
          <w:tab/>
        </w:r>
        <w:r w:rsidR="00A802CF">
          <w:rPr>
            <w:webHidden/>
          </w:rPr>
          <w:fldChar w:fldCharType="begin"/>
        </w:r>
        <w:r w:rsidR="00A802CF">
          <w:rPr>
            <w:webHidden/>
          </w:rPr>
          <w:instrText xml:space="preserve"> PAGEREF _Toc165533727 \h </w:instrText>
        </w:r>
        <w:r w:rsidR="00A802CF">
          <w:rPr>
            <w:webHidden/>
          </w:rPr>
        </w:r>
        <w:r w:rsidR="00A802CF">
          <w:rPr>
            <w:webHidden/>
          </w:rPr>
          <w:fldChar w:fldCharType="separate"/>
        </w:r>
        <w:r w:rsidR="00A802CF">
          <w:rPr>
            <w:webHidden/>
          </w:rPr>
          <w:t>3</w:t>
        </w:r>
        <w:r w:rsidR="00A802CF">
          <w:rPr>
            <w:webHidden/>
          </w:rPr>
          <w:fldChar w:fldCharType="end"/>
        </w:r>
      </w:hyperlink>
    </w:p>
    <w:p w14:paraId="2F62A110" w14:textId="77D5A241" w:rsidR="00A802CF" w:rsidRDefault="00697BB9">
      <w:pPr>
        <w:pStyle w:val="Spistreci2"/>
        <w:rPr>
          <w:rFonts w:asciiTheme="minorHAnsi" w:hAnsiTheme="minorHAnsi" w:cstheme="minorBidi"/>
          <w:b w:val="0"/>
          <w:bCs w:val="0"/>
          <w:sz w:val="22"/>
          <w:szCs w:val="22"/>
          <w:lang w:val="pl-PL" w:eastAsia="pl-PL"/>
        </w:rPr>
      </w:pPr>
      <w:hyperlink w:anchor="_Toc165533728" w:history="1">
        <w:r w:rsidR="00A802CF" w:rsidRPr="00630A3D">
          <w:rPr>
            <w:rStyle w:val="Hipercze"/>
          </w:rPr>
          <w:t>2. Uzasadnienie do addendum</w:t>
        </w:r>
        <w:r w:rsidR="00A802CF">
          <w:rPr>
            <w:webHidden/>
          </w:rPr>
          <w:tab/>
        </w:r>
        <w:r w:rsidR="00A802CF">
          <w:rPr>
            <w:webHidden/>
          </w:rPr>
          <w:fldChar w:fldCharType="begin"/>
        </w:r>
        <w:r w:rsidR="00A802CF">
          <w:rPr>
            <w:webHidden/>
          </w:rPr>
          <w:instrText xml:space="preserve"> PAGEREF _Toc165533728 \h </w:instrText>
        </w:r>
        <w:r w:rsidR="00A802CF">
          <w:rPr>
            <w:webHidden/>
          </w:rPr>
        </w:r>
        <w:r w:rsidR="00A802CF">
          <w:rPr>
            <w:webHidden/>
          </w:rPr>
          <w:fldChar w:fldCharType="separate"/>
        </w:r>
        <w:r w:rsidR="00A802CF">
          <w:rPr>
            <w:webHidden/>
          </w:rPr>
          <w:t>8</w:t>
        </w:r>
        <w:r w:rsidR="00A802CF">
          <w:rPr>
            <w:webHidden/>
          </w:rPr>
          <w:fldChar w:fldCharType="end"/>
        </w:r>
      </w:hyperlink>
    </w:p>
    <w:p w14:paraId="75C9B1C9" w14:textId="353A01DC" w:rsidR="00A802CF" w:rsidRDefault="00697BB9">
      <w:pPr>
        <w:pStyle w:val="Spistreci1"/>
        <w:rPr>
          <w:rFonts w:asciiTheme="minorHAnsi" w:hAnsiTheme="minorHAnsi" w:cstheme="minorBidi"/>
          <w:sz w:val="22"/>
          <w:szCs w:val="22"/>
          <w:lang w:val="pl-PL" w:eastAsia="pl-PL"/>
        </w:rPr>
      </w:pPr>
      <w:hyperlink w:anchor="_Toc165533729" w:history="1">
        <w:r w:rsidR="00A802CF" w:rsidRPr="00630A3D">
          <w:rPr>
            <w:rStyle w:val="Hipercze"/>
          </w:rPr>
          <w:t>Część 2: Opis zmienionych reform i inwestycji</w:t>
        </w:r>
        <w:r w:rsidR="00A802CF">
          <w:rPr>
            <w:webHidden/>
          </w:rPr>
          <w:tab/>
        </w:r>
        <w:r w:rsidR="00A802CF">
          <w:rPr>
            <w:webHidden/>
          </w:rPr>
          <w:fldChar w:fldCharType="begin"/>
        </w:r>
        <w:r w:rsidR="00A802CF">
          <w:rPr>
            <w:webHidden/>
          </w:rPr>
          <w:instrText xml:space="preserve"> PAGEREF _Toc165533729 \h </w:instrText>
        </w:r>
        <w:r w:rsidR="00A802CF">
          <w:rPr>
            <w:webHidden/>
          </w:rPr>
        </w:r>
        <w:r w:rsidR="00A802CF">
          <w:rPr>
            <w:webHidden/>
          </w:rPr>
          <w:fldChar w:fldCharType="separate"/>
        </w:r>
        <w:r w:rsidR="00A802CF">
          <w:rPr>
            <w:webHidden/>
          </w:rPr>
          <w:t>8</w:t>
        </w:r>
        <w:r w:rsidR="00A802CF">
          <w:rPr>
            <w:webHidden/>
          </w:rPr>
          <w:fldChar w:fldCharType="end"/>
        </w:r>
      </w:hyperlink>
    </w:p>
    <w:p w14:paraId="55B65717" w14:textId="3C1DDF37" w:rsidR="00A802CF" w:rsidRDefault="00697BB9">
      <w:pPr>
        <w:pStyle w:val="Spistreci2"/>
        <w:rPr>
          <w:rFonts w:asciiTheme="minorHAnsi" w:hAnsiTheme="minorHAnsi" w:cstheme="minorBidi"/>
          <w:b w:val="0"/>
          <w:bCs w:val="0"/>
          <w:sz w:val="22"/>
          <w:szCs w:val="22"/>
          <w:lang w:val="pl-PL" w:eastAsia="pl-PL"/>
        </w:rPr>
      </w:pPr>
      <w:hyperlink w:anchor="_Toc165533730" w:history="1">
        <w:r w:rsidR="00A802CF" w:rsidRPr="00630A3D">
          <w:rPr>
            <w:rStyle w:val="Hipercze"/>
          </w:rPr>
          <w:t>1.</w:t>
        </w:r>
        <w:r w:rsidR="00A802CF">
          <w:rPr>
            <w:rFonts w:asciiTheme="minorHAnsi" w:hAnsiTheme="minorHAnsi" w:cstheme="minorBidi"/>
            <w:b w:val="0"/>
            <w:bCs w:val="0"/>
            <w:sz w:val="22"/>
            <w:szCs w:val="22"/>
            <w:lang w:val="pl-PL" w:eastAsia="pl-PL"/>
          </w:rPr>
          <w:tab/>
        </w:r>
        <w:r w:rsidR="00A802CF" w:rsidRPr="00630A3D">
          <w:rPr>
            <w:rStyle w:val="Hipercze"/>
          </w:rPr>
          <w:t>Całkowicie nowe inwestycje</w:t>
        </w:r>
        <w:r w:rsidR="00A802CF">
          <w:rPr>
            <w:webHidden/>
          </w:rPr>
          <w:tab/>
        </w:r>
        <w:r w:rsidR="00A802CF">
          <w:rPr>
            <w:webHidden/>
          </w:rPr>
          <w:fldChar w:fldCharType="begin"/>
        </w:r>
        <w:r w:rsidR="00A802CF">
          <w:rPr>
            <w:webHidden/>
          </w:rPr>
          <w:instrText xml:space="preserve"> PAGEREF _Toc165533730 \h </w:instrText>
        </w:r>
        <w:r w:rsidR="00A802CF">
          <w:rPr>
            <w:webHidden/>
          </w:rPr>
        </w:r>
        <w:r w:rsidR="00A802CF">
          <w:rPr>
            <w:webHidden/>
          </w:rPr>
          <w:fldChar w:fldCharType="separate"/>
        </w:r>
        <w:r w:rsidR="00A802CF">
          <w:rPr>
            <w:webHidden/>
          </w:rPr>
          <w:t>8</w:t>
        </w:r>
        <w:r w:rsidR="00A802CF">
          <w:rPr>
            <w:webHidden/>
          </w:rPr>
          <w:fldChar w:fldCharType="end"/>
        </w:r>
      </w:hyperlink>
    </w:p>
    <w:p w14:paraId="4F37FCEC" w14:textId="4405685E" w:rsidR="00A802CF" w:rsidRDefault="00697BB9">
      <w:pPr>
        <w:pStyle w:val="Spistreci2"/>
        <w:rPr>
          <w:rFonts w:asciiTheme="minorHAnsi" w:hAnsiTheme="minorHAnsi" w:cstheme="minorBidi"/>
          <w:b w:val="0"/>
          <w:bCs w:val="0"/>
          <w:sz w:val="22"/>
          <w:szCs w:val="22"/>
          <w:lang w:val="pl-PL" w:eastAsia="pl-PL"/>
        </w:rPr>
      </w:pPr>
      <w:hyperlink w:anchor="_Toc165533731" w:history="1">
        <w:r w:rsidR="00A802CF" w:rsidRPr="00630A3D">
          <w:rPr>
            <w:rStyle w:val="Hipercze"/>
            <w:iCs/>
          </w:rPr>
          <w:t>2.</w:t>
        </w:r>
        <w:r w:rsidR="00A802CF">
          <w:rPr>
            <w:rFonts w:asciiTheme="minorHAnsi" w:hAnsiTheme="minorHAnsi" w:cstheme="minorBidi"/>
            <w:b w:val="0"/>
            <w:bCs w:val="0"/>
            <w:sz w:val="22"/>
            <w:szCs w:val="22"/>
            <w:lang w:val="pl-PL" w:eastAsia="pl-PL"/>
          </w:rPr>
          <w:tab/>
        </w:r>
        <w:r w:rsidR="00A802CF" w:rsidRPr="00630A3D">
          <w:rPr>
            <w:rStyle w:val="Hipercze"/>
          </w:rPr>
          <w:t>Zmienione komponenty:</w:t>
        </w:r>
        <w:r w:rsidR="00A802CF">
          <w:rPr>
            <w:webHidden/>
          </w:rPr>
          <w:tab/>
        </w:r>
        <w:r w:rsidR="00A802CF">
          <w:rPr>
            <w:webHidden/>
          </w:rPr>
          <w:fldChar w:fldCharType="begin"/>
        </w:r>
        <w:r w:rsidR="00A802CF">
          <w:rPr>
            <w:webHidden/>
          </w:rPr>
          <w:instrText xml:space="preserve"> PAGEREF _Toc165533731 \h </w:instrText>
        </w:r>
        <w:r w:rsidR="00A802CF">
          <w:rPr>
            <w:webHidden/>
          </w:rPr>
        </w:r>
        <w:r w:rsidR="00A802CF">
          <w:rPr>
            <w:webHidden/>
          </w:rPr>
          <w:fldChar w:fldCharType="separate"/>
        </w:r>
        <w:r w:rsidR="00A802CF">
          <w:rPr>
            <w:webHidden/>
          </w:rPr>
          <w:t>11</w:t>
        </w:r>
        <w:r w:rsidR="00A802CF">
          <w:rPr>
            <w:webHidden/>
          </w:rPr>
          <w:fldChar w:fldCharType="end"/>
        </w:r>
      </w:hyperlink>
    </w:p>
    <w:p w14:paraId="31EED555" w14:textId="4CF177F0" w:rsidR="00A802CF" w:rsidRDefault="00697BB9">
      <w:pPr>
        <w:pStyle w:val="Spistreci1"/>
        <w:rPr>
          <w:rFonts w:asciiTheme="minorHAnsi" w:hAnsiTheme="minorHAnsi" w:cstheme="minorBidi"/>
          <w:sz w:val="22"/>
          <w:szCs w:val="22"/>
          <w:lang w:val="pl-PL" w:eastAsia="pl-PL"/>
        </w:rPr>
      </w:pPr>
      <w:hyperlink w:anchor="_Toc165533732" w:history="1">
        <w:r w:rsidR="00A802CF" w:rsidRPr="00630A3D">
          <w:rPr>
            <w:rStyle w:val="Hipercze"/>
          </w:rPr>
          <w:t>Część 3: Komplementarność i wdrażanie planu</w:t>
        </w:r>
        <w:r w:rsidR="00A802CF">
          <w:rPr>
            <w:webHidden/>
          </w:rPr>
          <w:tab/>
        </w:r>
        <w:r w:rsidR="00A802CF">
          <w:rPr>
            <w:webHidden/>
          </w:rPr>
          <w:fldChar w:fldCharType="begin"/>
        </w:r>
        <w:r w:rsidR="00A802CF">
          <w:rPr>
            <w:webHidden/>
          </w:rPr>
          <w:instrText xml:space="preserve"> PAGEREF _Toc165533732 \h </w:instrText>
        </w:r>
        <w:r w:rsidR="00A802CF">
          <w:rPr>
            <w:webHidden/>
          </w:rPr>
        </w:r>
        <w:r w:rsidR="00A802CF">
          <w:rPr>
            <w:webHidden/>
          </w:rPr>
          <w:fldChar w:fldCharType="separate"/>
        </w:r>
        <w:r w:rsidR="00A802CF">
          <w:rPr>
            <w:webHidden/>
          </w:rPr>
          <w:t>199</w:t>
        </w:r>
        <w:r w:rsidR="00A802CF">
          <w:rPr>
            <w:webHidden/>
          </w:rPr>
          <w:fldChar w:fldCharType="end"/>
        </w:r>
      </w:hyperlink>
    </w:p>
    <w:p w14:paraId="327AF16D" w14:textId="440D9929" w:rsidR="00A802CF" w:rsidRDefault="00697BB9">
      <w:pPr>
        <w:pStyle w:val="Spistreci2"/>
        <w:rPr>
          <w:rFonts w:asciiTheme="minorHAnsi" w:hAnsiTheme="minorHAnsi" w:cstheme="minorBidi"/>
          <w:b w:val="0"/>
          <w:bCs w:val="0"/>
          <w:sz w:val="22"/>
          <w:szCs w:val="22"/>
          <w:lang w:val="pl-PL" w:eastAsia="pl-PL"/>
        </w:rPr>
      </w:pPr>
      <w:hyperlink w:anchor="_Toc165533733" w:history="1">
        <w:r w:rsidR="00A802CF" w:rsidRPr="00630A3D">
          <w:rPr>
            <w:rStyle w:val="Hipercze"/>
          </w:rPr>
          <w:t>1. Spójność z innymi inicjatywami</w:t>
        </w:r>
        <w:r w:rsidR="00A802CF">
          <w:rPr>
            <w:webHidden/>
          </w:rPr>
          <w:tab/>
        </w:r>
        <w:r w:rsidR="00A802CF">
          <w:rPr>
            <w:webHidden/>
          </w:rPr>
          <w:fldChar w:fldCharType="begin"/>
        </w:r>
        <w:r w:rsidR="00A802CF">
          <w:rPr>
            <w:webHidden/>
          </w:rPr>
          <w:instrText xml:space="preserve"> PAGEREF _Toc165533733 \h </w:instrText>
        </w:r>
        <w:r w:rsidR="00A802CF">
          <w:rPr>
            <w:webHidden/>
          </w:rPr>
        </w:r>
        <w:r w:rsidR="00A802CF">
          <w:rPr>
            <w:webHidden/>
          </w:rPr>
          <w:fldChar w:fldCharType="separate"/>
        </w:r>
        <w:r w:rsidR="00A802CF">
          <w:rPr>
            <w:webHidden/>
          </w:rPr>
          <w:t>199</w:t>
        </w:r>
        <w:r w:rsidR="00A802CF">
          <w:rPr>
            <w:webHidden/>
          </w:rPr>
          <w:fldChar w:fldCharType="end"/>
        </w:r>
      </w:hyperlink>
    </w:p>
    <w:p w14:paraId="318CAA61" w14:textId="125196EB" w:rsidR="00A802CF" w:rsidRDefault="00697BB9">
      <w:pPr>
        <w:pStyle w:val="Spistreci2"/>
        <w:rPr>
          <w:rFonts w:asciiTheme="minorHAnsi" w:hAnsiTheme="minorHAnsi" w:cstheme="minorBidi"/>
          <w:b w:val="0"/>
          <w:bCs w:val="0"/>
          <w:sz w:val="22"/>
          <w:szCs w:val="22"/>
          <w:lang w:val="pl-PL" w:eastAsia="pl-PL"/>
        </w:rPr>
      </w:pPr>
      <w:hyperlink w:anchor="_Toc165533734" w:history="1">
        <w:r w:rsidR="00A802CF" w:rsidRPr="00630A3D">
          <w:rPr>
            <w:rStyle w:val="Hipercze"/>
          </w:rPr>
          <w:t>2. Komplementarność finansowania</w:t>
        </w:r>
        <w:r w:rsidR="00A802CF">
          <w:rPr>
            <w:webHidden/>
          </w:rPr>
          <w:tab/>
        </w:r>
        <w:r w:rsidR="00A802CF">
          <w:rPr>
            <w:webHidden/>
          </w:rPr>
          <w:fldChar w:fldCharType="begin"/>
        </w:r>
        <w:r w:rsidR="00A802CF">
          <w:rPr>
            <w:webHidden/>
          </w:rPr>
          <w:instrText xml:space="preserve"> PAGEREF _Toc165533734 \h </w:instrText>
        </w:r>
        <w:r w:rsidR="00A802CF">
          <w:rPr>
            <w:webHidden/>
          </w:rPr>
        </w:r>
        <w:r w:rsidR="00A802CF">
          <w:rPr>
            <w:webHidden/>
          </w:rPr>
          <w:fldChar w:fldCharType="separate"/>
        </w:r>
        <w:r w:rsidR="00A802CF">
          <w:rPr>
            <w:webHidden/>
          </w:rPr>
          <w:t>199</w:t>
        </w:r>
        <w:r w:rsidR="00A802CF">
          <w:rPr>
            <w:webHidden/>
          </w:rPr>
          <w:fldChar w:fldCharType="end"/>
        </w:r>
      </w:hyperlink>
    </w:p>
    <w:p w14:paraId="7C712586" w14:textId="0CCF6B76" w:rsidR="00A802CF" w:rsidRDefault="00697BB9">
      <w:pPr>
        <w:pStyle w:val="Spistreci2"/>
        <w:rPr>
          <w:rFonts w:asciiTheme="minorHAnsi" w:hAnsiTheme="minorHAnsi" w:cstheme="minorBidi"/>
          <w:b w:val="0"/>
          <w:bCs w:val="0"/>
          <w:sz w:val="22"/>
          <w:szCs w:val="22"/>
          <w:lang w:val="pl-PL" w:eastAsia="pl-PL"/>
        </w:rPr>
      </w:pPr>
      <w:hyperlink w:anchor="_Toc165533735" w:history="1">
        <w:r w:rsidR="00A802CF" w:rsidRPr="00630A3D">
          <w:rPr>
            <w:rStyle w:val="Hipercze"/>
          </w:rPr>
          <w:t>3. Skuteczne wdrażanie</w:t>
        </w:r>
        <w:r w:rsidR="00A802CF">
          <w:rPr>
            <w:webHidden/>
          </w:rPr>
          <w:tab/>
        </w:r>
        <w:r w:rsidR="00A802CF">
          <w:rPr>
            <w:webHidden/>
          </w:rPr>
          <w:fldChar w:fldCharType="begin"/>
        </w:r>
        <w:r w:rsidR="00A802CF">
          <w:rPr>
            <w:webHidden/>
          </w:rPr>
          <w:instrText xml:space="preserve"> PAGEREF _Toc165533735 \h </w:instrText>
        </w:r>
        <w:r w:rsidR="00A802CF">
          <w:rPr>
            <w:webHidden/>
          </w:rPr>
        </w:r>
        <w:r w:rsidR="00A802CF">
          <w:rPr>
            <w:webHidden/>
          </w:rPr>
          <w:fldChar w:fldCharType="separate"/>
        </w:r>
        <w:r w:rsidR="00A802CF">
          <w:rPr>
            <w:webHidden/>
          </w:rPr>
          <w:t>199</w:t>
        </w:r>
        <w:r w:rsidR="00A802CF">
          <w:rPr>
            <w:webHidden/>
          </w:rPr>
          <w:fldChar w:fldCharType="end"/>
        </w:r>
      </w:hyperlink>
    </w:p>
    <w:p w14:paraId="1BB9812A" w14:textId="5819CACD" w:rsidR="00A802CF" w:rsidRDefault="00697BB9">
      <w:pPr>
        <w:pStyle w:val="Spistreci2"/>
        <w:rPr>
          <w:rFonts w:asciiTheme="minorHAnsi" w:hAnsiTheme="minorHAnsi" w:cstheme="minorBidi"/>
          <w:b w:val="0"/>
          <w:bCs w:val="0"/>
          <w:sz w:val="22"/>
          <w:szCs w:val="22"/>
          <w:lang w:val="pl-PL" w:eastAsia="pl-PL"/>
        </w:rPr>
      </w:pPr>
      <w:hyperlink w:anchor="_Toc165533736" w:history="1">
        <w:r w:rsidR="00A802CF" w:rsidRPr="00630A3D">
          <w:rPr>
            <w:rStyle w:val="Hipercze"/>
          </w:rPr>
          <w:t>4. Proces konsultacji z zainteresowanymi stronami</w:t>
        </w:r>
        <w:r w:rsidR="00A802CF">
          <w:rPr>
            <w:webHidden/>
          </w:rPr>
          <w:tab/>
        </w:r>
        <w:r w:rsidR="00A802CF">
          <w:rPr>
            <w:webHidden/>
          </w:rPr>
          <w:fldChar w:fldCharType="begin"/>
        </w:r>
        <w:r w:rsidR="00A802CF">
          <w:rPr>
            <w:webHidden/>
          </w:rPr>
          <w:instrText xml:space="preserve"> PAGEREF _Toc165533736 \h </w:instrText>
        </w:r>
        <w:r w:rsidR="00A802CF">
          <w:rPr>
            <w:webHidden/>
          </w:rPr>
        </w:r>
        <w:r w:rsidR="00A802CF">
          <w:rPr>
            <w:webHidden/>
          </w:rPr>
          <w:fldChar w:fldCharType="separate"/>
        </w:r>
        <w:r w:rsidR="00A802CF">
          <w:rPr>
            <w:webHidden/>
          </w:rPr>
          <w:t>200</w:t>
        </w:r>
        <w:r w:rsidR="00A802CF">
          <w:rPr>
            <w:webHidden/>
          </w:rPr>
          <w:fldChar w:fldCharType="end"/>
        </w:r>
      </w:hyperlink>
    </w:p>
    <w:p w14:paraId="369CE8EC" w14:textId="2F0F8616" w:rsidR="00A802CF" w:rsidRDefault="00697BB9">
      <w:pPr>
        <w:pStyle w:val="Spistreci2"/>
        <w:rPr>
          <w:rFonts w:asciiTheme="minorHAnsi" w:hAnsiTheme="minorHAnsi" w:cstheme="minorBidi"/>
          <w:b w:val="0"/>
          <w:bCs w:val="0"/>
          <w:sz w:val="22"/>
          <w:szCs w:val="22"/>
          <w:lang w:val="pl-PL" w:eastAsia="pl-PL"/>
        </w:rPr>
      </w:pPr>
      <w:hyperlink w:anchor="_Toc165533737" w:history="1">
        <w:r w:rsidR="00A802CF" w:rsidRPr="00630A3D">
          <w:rPr>
            <w:rStyle w:val="Hipercze"/>
          </w:rPr>
          <w:t>5. Kontrola i audyt</w:t>
        </w:r>
        <w:r w:rsidR="00A802CF">
          <w:rPr>
            <w:webHidden/>
          </w:rPr>
          <w:tab/>
        </w:r>
        <w:r w:rsidR="00A802CF">
          <w:rPr>
            <w:webHidden/>
          </w:rPr>
          <w:fldChar w:fldCharType="begin"/>
        </w:r>
        <w:r w:rsidR="00A802CF">
          <w:rPr>
            <w:webHidden/>
          </w:rPr>
          <w:instrText xml:space="preserve"> PAGEREF _Toc165533737 \h </w:instrText>
        </w:r>
        <w:r w:rsidR="00A802CF">
          <w:rPr>
            <w:webHidden/>
          </w:rPr>
        </w:r>
        <w:r w:rsidR="00A802CF">
          <w:rPr>
            <w:webHidden/>
          </w:rPr>
          <w:fldChar w:fldCharType="separate"/>
        </w:r>
        <w:r w:rsidR="00A802CF">
          <w:rPr>
            <w:webHidden/>
          </w:rPr>
          <w:t>201</w:t>
        </w:r>
        <w:r w:rsidR="00A802CF">
          <w:rPr>
            <w:webHidden/>
          </w:rPr>
          <w:fldChar w:fldCharType="end"/>
        </w:r>
      </w:hyperlink>
    </w:p>
    <w:p w14:paraId="3CA07635" w14:textId="2560CA48" w:rsidR="00A802CF" w:rsidRDefault="00697BB9">
      <w:pPr>
        <w:pStyle w:val="Spistreci2"/>
        <w:rPr>
          <w:rFonts w:asciiTheme="minorHAnsi" w:hAnsiTheme="minorHAnsi" w:cstheme="minorBidi"/>
          <w:b w:val="0"/>
          <w:bCs w:val="0"/>
          <w:sz w:val="22"/>
          <w:szCs w:val="22"/>
          <w:lang w:val="pl-PL" w:eastAsia="pl-PL"/>
        </w:rPr>
      </w:pPr>
      <w:hyperlink w:anchor="_Toc165533738" w:history="1">
        <w:r w:rsidR="00A802CF" w:rsidRPr="00630A3D">
          <w:rPr>
            <w:rStyle w:val="Hipercze"/>
          </w:rPr>
          <w:t>6. Komunikacja</w:t>
        </w:r>
        <w:r w:rsidR="00A802CF">
          <w:rPr>
            <w:webHidden/>
          </w:rPr>
          <w:tab/>
        </w:r>
        <w:r w:rsidR="00A802CF">
          <w:rPr>
            <w:webHidden/>
          </w:rPr>
          <w:fldChar w:fldCharType="begin"/>
        </w:r>
        <w:r w:rsidR="00A802CF">
          <w:rPr>
            <w:webHidden/>
          </w:rPr>
          <w:instrText xml:space="preserve"> PAGEREF _Toc165533738 \h </w:instrText>
        </w:r>
        <w:r w:rsidR="00A802CF">
          <w:rPr>
            <w:webHidden/>
          </w:rPr>
        </w:r>
        <w:r w:rsidR="00A802CF">
          <w:rPr>
            <w:webHidden/>
          </w:rPr>
          <w:fldChar w:fldCharType="separate"/>
        </w:r>
        <w:r w:rsidR="00A802CF">
          <w:rPr>
            <w:webHidden/>
          </w:rPr>
          <w:t>201</w:t>
        </w:r>
        <w:r w:rsidR="00A802CF">
          <w:rPr>
            <w:webHidden/>
          </w:rPr>
          <w:fldChar w:fldCharType="end"/>
        </w:r>
      </w:hyperlink>
    </w:p>
    <w:p w14:paraId="72E3AC3D" w14:textId="6F3BA80D" w:rsidR="00A802CF" w:rsidRDefault="00697BB9">
      <w:pPr>
        <w:pStyle w:val="Spistreci1"/>
        <w:rPr>
          <w:rFonts w:asciiTheme="minorHAnsi" w:hAnsiTheme="minorHAnsi" w:cstheme="minorBidi"/>
          <w:sz w:val="22"/>
          <w:szCs w:val="22"/>
          <w:lang w:val="pl-PL" w:eastAsia="pl-PL"/>
        </w:rPr>
      </w:pPr>
      <w:hyperlink w:anchor="_Toc165533739" w:history="1">
        <w:r w:rsidR="00A802CF" w:rsidRPr="00630A3D">
          <w:rPr>
            <w:rStyle w:val="Hipercze"/>
          </w:rPr>
          <w:t>Część 4: Ogólna spójność i wpływ planu</w:t>
        </w:r>
        <w:r w:rsidR="00A802CF">
          <w:rPr>
            <w:webHidden/>
          </w:rPr>
          <w:tab/>
        </w:r>
        <w:r w:rsidR="00A802CF">
          <w:rPr>
            <w:webHidden/>
          </w:rPr>
          <w:fldChar w:fldCharType="begin"/>
        </w:r>
        <w:r w:rsidR="00A802CF">
          <w:rPr>
            <w:webHidden/>
          </w:rPr>
          <w:instrText xml:space="preserve"> PAGEREF _Toc165533739 \h </w:instrText>
        </w:r>
        <w:r w:rsidR="00A802CF">
          <w:rPr>
            <w:webHidden/>
          </w:rPr>
        </w:r>
        <w:r w:rsidR="00A802CF">
          <w:rPr>
            <w:webHidden/>
          </w:rPr>
          <w:fldChar w:fldCharType="separate"/>
        </w:r>
        <w:r w:rsidR="00A802CF">
          <w:rPr>
            <w:webHidden/>
          </w:rPr>
          <w:t>202</w:t>
        </w:r>
        <w:r w:rsidR="00A802CF">
          <w:rPr>
            <w:webHidden/>
          </w:rPr>
          <w:fldChar w:fldCharType="end"/>
        </w:r>
      </w:hyperlink>
    </w:p>
    <w:p w14:paraId="235389F6" w14:textId="1AC49B92" w:rsidR="00A802CF" w:rsidRDefault="00697BB9">
      <w:pPr>
        <w:pStyle w:val="Spistreci2"/>
        <w:rPr>
          <w:rFonts w:asciiTheme="minorHAnsi" w:hAnsiTheme="minorHAnsi" w:cstheme="minorBidi"/>
          <w:b w:val="0"/>
          <w:bCs w:val="0"/>
          <w:sz w:val="22"/>
          <w:szCs w:val="22"/>
          <w:lang w:val="pl-PL" w:eastAsia="pl-PL"/>
        </w:rPr>
      </w:pPr>
      <w:hyperlink w:anchor="_Toc165533740" w:history="1">
        <w:r w:rsidR="00A802CF" w:rsidRPr="00630A3D">
          <w:rPr>
            <w:rStyle w:val="Hipercze"/>
          </w:rPr>
          <w:t>1. Spójność</w:t>
        </w:r>
        <w:r w:rsidR="00A802CF">
          <w:rPr>
            <w:webHidden/>
          </w:rPr>
          <w:tab/>
        </w:r>
        <w:r w:rsidR="00A802CF">
          <w:rPr>
            <w:webHidden/>
          </w:rPr>
          <w:fldChar w:fldCharType="begin"/>
        </w:r>
        <w:r w:rsidR="00A802CF">
          <w:rPr>
            <w:webHidden/>
          </w:rPr>
          <w:instrText xml:space="preserve"> PAGEREF _Toc165533740 \h </w:instrText>
        </w:r>
        <w:r w:rsidR="00A802CF">
          <w:rPr>
            <w:webHidden/>
          </w:rPr>
        </w:r>
        <w:r w:rsidR="00A802CF">
          <w:rPr>
            <w:webHidden/>
          </w:rPr>
          <w:fldChar w:fldCharType="separate"/>
        </w:r>
        <w:r w:rsidR="00A802CF">
          <w:rPr>
            <w:webHidden/>
          </w:rPr>
          <w:t>202</w:t>
        </w:r>
        <w:r w:rsidR="00A802CF">
          <w:rPr>
            <w:webHidden/>
          </w:rPr>
          <w:fldChar w:fldCharType="end"/>
        </w:r>
      </w:hyperlink>
    </w:p>
    <w:p w14:paraId="56E06820" w14:textId="6D8B5F32" w:rsidR="00A802CF" w:rsidRDefault="00697BB9">
      <w:pPr>
        <w:pStyle w:val="Spistreci2"/>
        <w:rPr>
          <w:rFonts w:asciiTheme="minorHAnsi" w:hAnsiTheme="minorHAnsi" w:cstheme="minorBidi"/>
          <w:b w:val="0"/>
          <w:bCs w:val="0"/>
          <w:sz w:val="22"/>
          <w:szCs w:val="22"/>
          <w:lang w:val="pl-PL" w:eastAsia="pl-PL"/>
        </w:rPr>
      </w:pPr>
      <w:hyperlink w:anchor="_Toc165533741" w:history="1">
        <w:r w:rsidR="00A802CF" w:rsidRPr="00630A3D">
          <w:rPr>
            <w:rStyle w:val="Hipercze"/>
          </w:rPr>
          <w:t>2. Równość płci i równe szanse dla wszystkich</w:t>
        </w:r>
        <w:r w:rsidR="00A802CF">
          <w:rPr>
            <w:webHidden/>
          </w:rPr>
          <w:tab/>
        </w:r>
        <w:r w:rsidR="00A802CF">
          <w:rPr>
            <w:webHidden/>
          </w:rPr>
          <w:fldChar w:fldCharType="begin"/>
        </w:r>
        <w:r w:rsidR="00A802CF">
          <w:rPr>
            <w:webHidden/>
          </w:rPr>
          <w:instrText xml:space="preserve"> PAGEREF _Toc165533741 \h </w:instrText>
        </w:r>
        <w:r w:rsidR="00A802CF">
          <w:rPr>
            <w:webHidden/>
          </w:rPr>
        </w:r>
        <w:r w:rsidR="00A802CF">
          <w:rPr>
            <w:webHidden/>
          </w:rPr>
          <w:fldChar w:fldCharType="separate"/>
        </w:r>
        <w:r w:rsidR="00A802CF">
          <w:rPr>
            <w:webHidden/>
          </w:rPr>
          <w:t>202</w:t>
        </w:r>
        <w:r w:rsidR="00A802CF">
          <w:rPr>
            <w:webHidden/>
          </w:rPr>
          <w:fldChar w:fldCharType="end"/>
        </w:r>
      </w:hyperlink>
    </w:p>
    <w:p w14:paraId="7A077195" w14:textId="0495E695" w:rsidR="00A802CF" w:rsidRDefault="00697BB9">
      <w:pPr>
        <w:pStyle w:val="Spistreci2"/>
        <w:rPr>
          <w:rFonts w:asciiTheme="minorHAnsi" w:hAnsiTheme="minorHAnsi" w:cstheme="minorBidi"/>
          <w:b w:val="0"/>
          <w:bCs w:val="0"/>
          <w:sz w:val="22"/>
          <w:szCs w:val="22"/>
          <w:lang w:val="pl-PL" w:eastAsia="pl-PL"/>
        </w:rPr>
      </w:pPr>
      <w:hyperlink w:anchor="_Toc165533742" w:history="1">
        <w:r w:rsidR="00A802CF" w:rsidRPr="00630A3D">
          <w:rPr>
            <w:rStyle w:val="Hipercze"/>
          </w:rPr>
          <w:t>3. Wzmocnienie odporności gospodarczej, społecznej i instytucjonalnej</w:t>
        </w:r>
        <w:r w:rsidR="00A802CF">
          <w:rPr>
            <w:webHidden/>
          </w:rPr>
          <w:tab/>
        </w:r>
        <w:r w:rsidR="00A802CF">
          <w:rPr>
            <w:webHidden/>
          </w:rPr>
          <w:fldChar w:fldCharType="begin"/>
        </w:r>
        <w:r w:rsidR="00A802CF">
          <w:rPr>
            <w:webHidden/>
          </w:rPr>
          <w:instrText xml:space="preserve"> PAGEREF _Toc165533742 \h </w:instrText>
        </w:r>
        <w:r w:rsidR="00A802CF">
          <w:rPr>
            <w:webHidden/>
          </w:rPr>
        </w:r>
        <w:r w:rsidR="00A802CF">
          <w:rPr>
            <w:webHidden/>
          </w:rPr>
          <w:fldChar w:fldCharType="separate"/>
        </w:r>
        <w:r w:rsidR="00A802CF">
          <w:rPr>
            <w:webHidden/>
          </w:rPr>
          <w:t>202</w:t>
        </w:r>
        <w:r w:rsidR="00A802CF">
          <w:rPr>
            <w:webHidden/>
          </w:rPr>
          <w:fldChar w:fldCharType="end"/>
        </w:r>
      </w:hyperlink>
    </w:p>
    <w:p w14:paraId="0A9D58CB" w14:textId="610AEF27" w:rsidR="00A802CF" w:rsidRDefault="00697BB9">
      <w:pPr>
        <w:pStyle w:val="Spistreci2"/>
        <w:rPr>
          <w:rFonts w:asciiTheme="minorHAnsi" w:hAnsiTheme="minorHAnsi" w:cstheme="minorBidi"/>
          <w:b w:val="0"/>
          <w:bCs w:val="0"/>
          <w:sz w:val="22"/>
          <w:szCs w:val="22"/>
          <w:lang w:val="pl-PL" w:eastAsia="pl-PL"/>
        </w:rPr>
      </w:pPr>
      <w:hyperlink w:anchor="_Toc165533743" w:history="1">
        <w:r w:rsidR="00A802CF" w:rsidRPr="00630A3D">
          <w:rPr>
            <w:rStyle w:val="Hipercze"/>
          </w:rPr>
          <w:t>4. Porównanie z bazowym poziomem inwestycji</w:t>
        </w:r>
        <w:r w:rsidR="00A802CF">
          <w:rPr>
            <w:webHidden/>
          </w:rPr>
          <w:tab/>
        </w:r>
        <w:r w:rsidR="00A802CF">
          <w:rPr>
            <w:webHidden/>
          </w:rPr>
          <w:fldChar w:fldCharType="begin"/>
        </w:r>
        <w:r w:rsidR="00A802CF">
          <w:rPr>
            <w:webHidden/>
          </w:rPr>
          <w:instrText xml:space="preserve"> PAGEREF _Toc165533743 \h </w:instrText>
        </w:r>
        <w:r w:rsidR="00A802CF">
          <w:rPr>
            <w:webHidden/>
          </w:rPr>
        </w:r>
        <w:r w:rsidR="00A802CF">
          <w:rPr>
            <w:webHidden/>
          </w:rPr>
          <w:fldChar w:fldCharType="separate"/>
        </w:r>
        <w:r w:rsidR="00A802CF">
          <w:rPr>
            <w:webHidden/>
          </w:rPr>
          <w:t>205</w:t>
        </w:r>
        <w:r w:rsidR="00A802CF">
          <w:rPr>
            <w:webHidden/>
          </w:rPr>
          <w:fldChar w:fldCharType="end"/>
        </w:r>
      </w:hyperlink>
    </w:p>
    <w:p w14:paraId="2CCA3E41" w14:textId="7B858FB8" w:rsidR="004F7F5E" w:rsidRPr="00E0193B" w:rsidRDefault="00EE5E0F" w:rsidP="00A802CF">
      <w:pPr>
        <w:tabs>
          <w:tab w:val="right" w:pos="9026"/>
        </w:tabs>
      </w:pPr>
      <w:r w:rsidRPr="00E0193B">
        <w:fldChar w:fldCharType="end"/>
      </w:r>
      <w:r w:rsidR="00A802CF">
        <w:tab/>
      </w:r>
    </w:p>
    <w:p w14:paraId="43D66B9F" w14:textId="77777777" w:rsidR="004F7F5E" w:rsidRPr="00E0193B" w:rsidRDefault="004F7F5E" w:rsidP="008A03B8"/>
    <w:p w14:paraId="3CE89C98" w14:textId="77777777" w:rsidR="003829F7" w:rsidRPr="00E0193B" w:rsidRDefault="003829F7" w:rsidP="008A03B8">
      <w:pPr>
        <w:rPr>
          <w:lang w:val="en-IE"/>
        </w:rPr>
      </w:pPr>
      <w:r w:rsidRPr="00E0193B">
        <w:br w:type="page"/>
      </w:r>
    </w:p>
    <w:p w14:paraId="0F1AD780" w14:textId="5DA9837C" w:rsidR="00677369" w:rsidRPr="00E0193B" w:rsidRDefault="004F7F5E" w:rsidP="004F7F5E">
      <w:pPr>
        <w:pStyle w:val="Nagwek1"/>
        <w:rPr>
          <w:sz w:val="24"/>
          <w:szCs w:val="24"/>
        </w:rPr>
      </w:pPr>
      <w:bookmarkStart w:id="3" w:name="_Toc103250176"/>
      <w:bookmarkStart w:id="4" w:name="_Toc165533726"/>
      <w:bookmarkStart w:id="5" w:name="_Toc44314788"/>
      <w:bookmarkStart w:id="6" w:name="_Toc49944546"/>
      <w:bookmarkStart w:id="7" w:name="_Toc61252476"/>
      <w:r w:rsidRPr="00E0193B">
        <w:rPr>
          <w:sz w:val="24"/>
          <w:szCs w:val="24"/>
        </w:rPr>
        <w:lastRenderedPageBreak/>
        <w:t xml:space="preserve">Część 1: </w:t>
      </w:r>
      <w:bookmarkEnd w:id="3"/>
      <w:r w:rsidRPr="00E0193B">
        <w:rPr>
          <w:sz w:val="24"/>
          <w:szCs w:val="24"/>
        </w:rPr>
        <w:t>Wprowadzenie do addendum</w:t>
      </w:r>
      <w:bookmarkEnd w:id="4"/>
    </w:p>
    <w:p w14:paraId="432C1B3F" w14:textId="0F3A9C06" w:rsidR="00677369" w:rsidRPr="00E0193B" w:rsidRDefault="00C30802" w:rsidP="00C30802">
      <w:pPr>
        <w:pStyle w:val="Nagwek2"/>
      </w:pPr>
      <w:bookmarkStart w:id="8" w:name="_Toc165533727"/>
      <w:r w:rsidRPr="00E0193B">
        <w:t xml:space="preserve">1. </w:t>
      </w:r>
      <w:r w:rsidR="00E909EF" w:rsidRPr="00E0193B">
        <w:t>Cel ogólny</w:t>
      </w:r>
      <w:bookmarkEnd w:id="8"/>
    </w:p>
    <w:p w14:paraId="5D2362ED" w14:textId="55B5C6D3" w:rsidR="007C481D" w:rsidRPr="00E0193B" w:rsidRDefault="007C481D" w:rsidP="007C481D">
      <w:pPr>
        <w:spacing w:line="240" w:lineRule="auto"/>
      </w:pPr>
      <w:r w:rsidRPr="00E0193B">
        <w:t>Krajowy Plan Odbudowy i Zwiększania Odporności (KPO) zgodnie z założeniami jest dokumentem programowym określającym cele związane z odbudową i tworzeniem odporności społeczno-gospodarczej Polski po kryzysie wywołanym pandemią COVID-19 oraz służące ich realizacji reformy strukturalne i inwestycje. W KPO zidentyfikowano wyzwania związane z odbudową i transformacją gospodarki polskiej i europejskiej w kierunku zwiększenia ich produktywności i odporności strukturalnej.</w:t>
      </w:r>
    </w:p>
    <w:p w14:paraId="1DDE7614" w14:textId="73C2A6AD" w:rsidR="007C481D" w:rsidRPr="00E0193B" w:rsidRDefault="4DA1E13F" w:rsidP="7B549BDF">
      <w:pPr>
        <w:spacing w:line="240" w:lineRule="auto"/>
      </w:pPr>
      <w:r w:rsidRPr="00E0193B">
        <w:t>Dotychczasowa r</w:t>
      </w:r>
      <w:r w:rsidR="08579F70" w:rsidRPr="00E0193B">
        <w:t xml:space="preserve">ealizacja KPO z uwagi na obiektywne okoliczności napotkała na poważne trudności. </w:t>
      </w:r>
      <w:r w:rsidR="72E63CC1" w:rsidRPr="00E0193B">
        <w:t xml:space="preserve">Od przeszło dwóch lat </w:t>
      </w:r>
      <w:r w:rsidR="25335EF6" w:rsidRPr="00E0193B">
        <w:t xml:space="preserve">trwa </w:t>
      </w:r>
      <w:r w:rsidR="6E3AD289" w:rsidRPr="00E0193B">
        <w:t>za wschodnią granicą Polski pełnoskalowy konflikt zbrojny wywołany przez Rosję</w:t>
      </w:r>
      <w:r w:rsidR="69F0796C" w:rsidRPr="00E0193B">
        <w:t>, któr</w:t>
      </w:r>
      <w:r w:rsidR="68412E31" w:rsidRPr="00E0193B">
        <w:t>y</w:t>
      </w:r>
      <w:r w:rsidR="69F0796C" w:rsidRPr="00E0193B">
        <w:t xml:space="preserve"> ma niewspółmierne konsekwencje dla gospodarki i bezpieczeństwa Polski oraz pozostałyc</w:t>
      </w:r>
      <w:r w:rsidR="3C06858B" w:rsidRPr="00E0193B">
        <w:t xml:space="preserve">h </w:t>
      </w:r>
      <w:r w:rsidR="69F0796C" w:rsidRPr="00E0193B">
        <w:t>krajów europejskich.</w:t>
      </w:r>
      <w:r w:rsidR="72E63CC1" w:rsidRPr="00E0193B">
        <w:t xml:space="preserve"> </w:t>
      </w:r>
      <w:r w:rsidR="08579F70" w:rsidRPr="00E0193B">
        <w:t xml:space="preserve">Wojna w Ukrainie </w:t>
      </w:r>
      <w:r w:rsidR="62F5A7D9" w:rsidRPr="00E0193B">
        <w:t>spowolniła</w:t>
      </w:r>
      <w:r w:rsidR="08579F70" w:rsidRPr="00E0193B">
        <w:t xml:space="preserve"> ożywienie gospodarcze i wymusiła głębokie przeorientowanie priorytetów polityki społeczno-gospodarczej, tj. skupienie się na kwestiach elementarnych, takich jak: wsparcie zaatakowanego przez Rosję sąsiada, przyjęcie </w:t>
      </w:r>
      <w:r w:rsidR="04BB884B" w:rsidRPr="00E0193B">
        <w:t xml:space="preserve">masowej fali </w:t>
      </w:r>
      <w:r w:rsidR="08579F70" w:rsidRPr="00E0193B">
        <w:t>uchodźców</w:t>
      </w:r>
      <w:r w:rsidR="00BC6219" w:rsidRPr="00E0193B">
        <w:t xml:space="preserve"> </w:t>
      </w:r>
      <w:r w:rsidR="08579F70" w:rsidRPr="00E0193B">
        <w:t>wojennych</w:t>
      </w:r>
      <w:r w:rsidR="76005890" w:rsidRPr="00E0193B">
        <w:t>,</w:t>
      </w:r>
      <w:r w:rsidR="2B2114C6" w:rsidRPr="00E0193B">
        <w:t xml:space="preserve"> </w:t>
      </w:r>
      <w:r w:rsidR="6E6216A7" w:rsidRPr="00E0193B">
        <w:rPr>
          <w:rFonts w:eastAsiaTheme="minorEastAsia"/>
        </w:rPr>
        <w:t xml:space="preserve">zapewnienie </w:t>
      </w:r>
      <w:r w:rsidR="2B2114C6" w:rsidRPr="00E0193B">
        <w:rPr>
          <w:rFonts w:eastAsiaTheme="minorEastAsia"/>
        </w:rPr>
        <w:t>ich</w:t>
      </w:r>
      <w:r w:rsidR="2B2114C6" w:rsidRPr="00E0193B">
        <w:t xml:space="preserve"> </w:t>
      </w:r>
      <w:r w:rsidR="03155D6F" w:rsidRPr="00E0193B">
        <w:rPr>
          <w:rFonts w:eastAsiaTheme="minorEastAsia"/>
        </w:rPr>
        <w:t>integracj</w:t>
      </w:r>
      <w:r w:rsidR="69F58CC3" w:rsidRPr="00E0193B">
        <w:rPr>
          <w:rFonts w:eastAsiaTheme="minorEastAsia"/>
        </w:rPr>
        <w:t>i</w:t>
      </w:r>
      <w:r w:rsidR="03155D6F" w:rsidRPr="00E0193B">
        <w:rPr>
          <w:rFonts w:eastAsiaTheme="minorEastAsia"/>
        </w:rPr>
        <w:t xml:space="preserve"> </w:t>
      </w:r>
      <w:r w:rsidR="5FDA58F4" w:rsidRPr="00E0193B">
        <w:rPr>
          <w:rFonts w:eastAsiaTheme="minorEastAsia"/>
        </w:rPr>
        <w:t>oraz</w:t>
      </w:r>
      <w:r w:rsidR="75C74B49" w:rsidRPr="00E0193B">
        <w:rPr>
          <w:rFonts w:eastAsiaTheme="minorEastAsia"/>
        </w:rPr>
        <w:t xml:space="preserve"> zaadaptowani</w:t>
      </w:r>
      <w:r w:rsidR="57F11666" w:rsidRPr="00E0193B">
        <w:rPr>
          <w:rFonts w:eastAsiaTheme="minorEastAsia"/>
        </w:rPr>
        <w:t>a</w:t>
      </w:r>
      <w:r w:rsidR="75C74B49" w:rsidRPr="00E0193B">
        <w:rPr>
          <w:rFonts w:eastAsiaTheme="minorEastAsia"/>
        </w:rPr>
        <w:t xml:space="preserve"> w nowych warunkach</w:t>
      </w:r>
      <w:r w:rsidR="08579F70" w:rsidRPr="00E0193B">
        <w:rPr>
          <w:rFonts w:eastAsiaTheme="minorEastAsia"/>
        </w:rPr>
        <w:t>,</w:t>
      </w:r>
      <w:r w:rsidR="08579F70" w:rsidRPr="00E0193B">
        <w:t xml:space="preserve"> zagwarantowanie dostaw surowców strategicznych, zapewnienie bezpieczeństwa energetycznego czy modernizacja </w:t>
      </w:r>
      <w:r w:rsidR="5BFD78FE" w:rsidRPr="00E0193B">
        <w:t xml:space="preserve">i wzmocnienie </w:t>
      </w:r>
      <w:r w:rsidR="08579F70" w:rsidRPr="00E0193B">
        <w:t>sił zbrojnych.</w:t>
      </w:r>
      <w:r w:rsidR="35368A5A" w:rsidRPr="00E0193B">
        <w:t xml:space="preserve"> </w:t>
      </w:r>
      <w:r w:rsidR="26908BDE" w:rsidRPr="00E0193B">
        <w:t>Spowodowało to m.in. odsunięcie</w:t>
      </w:r>
      <w:r w:rsidR="35368A5A" w:rsidRPr="00E0193B">
        <w:t xml:space="preserve"> w czasie realizacj</w:t>
      </w:r>
      <w:r w:rsidR="39AA85FB" w:rsidRPr="00E0193B">
        <w:t>i</w:t>
      </w:r>
      <w:r w:rsidR="35368A5A" w:rsidRPr="00E0193B">
        <w:t xml:space="preserve"> </w:t>
      </w:r>
      <w:r w:rsidR="5061D4F5" w:rsidRPr="00E0193B">
        <w:t>niektórych</w:t>
      </w:r>
      <w:r w:rsidR="43EA1670" w:rsidRPr="00E0193B">
        <w:t>, wcześniej zaplanowanych</w:t>
      </w:r>
      <w:r w:rsidR="5061D4F5" w:rsidRPr="00E0193B">
        <w:t xml:space="preserve"> </w:t>
      </w:r>
      <w:r w:rsidR="35368A5A" w:rsidRPr="00E0193B">
        <w:t>reform i inwestycji</w:t>
      </w:r>
      <w:r w:rsidR="101E304E" w:rsidRPr="00E0193B">
        <w:t>.</w:t>
      </w:r>
    </w:p>
    <w:p w14:paraId="46C1CD83" w14:textId="6AFBC7F7" w:rsidR="007C481D" w:rsidRPr="00E0193B" w:rsidRDefault="08579F70" w:rsidP="6D12AF4E">
      <w:pPr>
        <w:spacing w:line="240" w:lineRule="auto"/>
      </w:pPr>
      <w:r w:rsidRPr="00E0193B">
        <w:t>Rosyjska agresja na Ukrainę spotęgowała, obserwowany już wcześniej w wyniku ożywienia gospodarczego i rosyjskich interwencji na rynku gazu, wzrost cen surowców energetycznych. Priorytetowe stało się zapewnienie ciągłości dostaw surowców i dywersyfikacji kierunków ich importu. Podjęte działania miały na celu jak najszybsze nawiązanie współpracy z alternatywnymi dostawcami gazu, ropy i węgla, przy jednoczesnym ogranicz</w:t>
      </w:r>
      <w:r w:rsidR="48C10C9C" w:rsidRPr="00E0193B">
        <w:t>a</w:t>
      </w:r>
      <w:r w:rsidRPr="00E0193B">
        <w:t xml:space="preserve">niu zużycia energii i przyspieszeniu transformacji </w:t>
      </w:r>
      <w:r w:rsidR="02D68E17" w:rsidRPr="00E0193B">
        <w:t>w kierunku gospodarki niskoemisyjnej</w:t>
      </w:r>
      <w:r w:rsidRPr="00E0193B">
        <w:t xml:space="preserve">. </w:t>
      </w:r>
    </w:p>
    <w:p w14:paraId="75ABF827" w14:textId="44034D86" w:rsidR="007C481D" w:rsidRPr="00E0193B" w:rsidRDefault="237DDE93" w:rsidP="6D12AF4E">
      <w:pPr>
        <w:spacing w:line="240" w:lineRule="auto"/>
      </w:pPr>
      <w:r w:rsidRPr="00E0193B">
        <w:t>Z</w:t>
      </w:r>
      <w:r w:rsidR="08579F70" w:rsidRPr="00E0193B">
        <w:t xml:space="preserve">agrożenia </w:t>
      </w:r>
      <w:r w:rsidR="3E68DF16" w:rsidRPr="00E0193B">
        <w:t>związane z trwaj</w:t>
      </w:r>
      <w:r w:rsidR="64B36B70" w:rsidRPr="00E0193B">
        <w:t>ą</w:t>
      </w:r>
      <w:r w:rsidR="3E68DF16" w:rsidRPr="00E0193B">
        <w:t xml:space="preserve">cą wojną w Ukrainie </w:t>
      </w:r>
      <w:r w:rsidR="08579F70" w:rsidRPr="00E0193B">
        <w:t>nałożyły się</w:t>
      </w:r>
      <w:r w:rsidR="3887F6AA" w:rsidRPr="00E0193B">
        <w:t xml:space="preserve"> </w:t>
      </w:r>
      <w:r w:rsidR="097C2F51" w:rsidRPr="00E0193B">
        <w:t>na</w:t>
      </w:r>
      <w:r w:rsidR="08579F70" w:rsidRPr="00E0193B">
        <w:t xml:space="preserve"> </w:t>
      </w:r>
      <w:r w:rsidR="53FD675E" w:rsidRPr="00E0193B">
        <w:t xml:space="preserve">występujące </w:t>
      </w:r>
      <w:r w:rsidR="00BC6219" w:rsidRPr="00E0193B">
        <w:t>j</w:t>
      </w:r>
      <w:r w:rsidR="08579F70" w:rsidRPr="00E0193B">
        <w:t xml:space="preserve">uż wcześniej problemy utrudniające odbudowę gospodarki i je </w:t>
      </w:r>
      <w:r w:rsidR="0A657821" w:rsidRPr="00E0193B">
        <w:t xml:space="preserve">znacząco </w:t>
      </w:r>
      <w:r w:rsidR="08579F70" w:rsidRPr="00E0193B">
        <w:t>zintensyfikowały (m.in. presja inflacyjna; wzrost kosztów pracy;</w:t>
      </w:r>
      <w:r w:rsidR="00BC6219" w:rsidRPr="00E0193B">
        <w:t xml:space="preserve"> </w:t>
      </w:r>
      <w:r w:rsidR="08579F70" w:rsidRPr="00E0193B">
        <w:t xml:space="preserve">gwałtowny wzrost cen energii; spadek tempa wzrostu gospodarczego; wzrost ryzyka kursu walutowego; dodatkowe </w:t>
      </w:r>
      <w:r w:rsidR="4A8D021A" w:rsidRPr="00E0193B">
        <w:t>obciążenia</w:t>
      </w:r>
      <w:r w:rsidR="08579F70" w:rsidRPr="00E0193B">
        <w:t xml:space="preserve"> dla systemu finansów publicznych; obniżenie zdolności inwestycyjnych samorządów; zaburzenia działalności wielu branż i sektorów; zaburzenia łańcucha dostaw; zmniejszenie inwestycji podmiotów prywatnych). Wojna w Ukrainie przyniosła również nowe wyzwania w obszarze migracji oraz związane ze koniecznością poniesienia dodatkowych nakładów na ochronę zdrowia, </w:t>
      </w:r>
      <w:r w:rsidR="58CC4EFB" w:rsidRPr="00E0193B">
        <w:t xml:space="preserve">edukację, </w:t>
      </w:r>
      <w:r w:rsidR="08579F70" w:rsidRPr="00E0193B">
        <w:t>opiekę społeczną</w:t>
      </w:r>
      <w:r w:rsidR="1E98BB54" w:rsidRPr="00E0193B">
        <w:t>,</w:t>
      </w:r>
      <w:r w:rsidR="08579F70" w:rsidRPr="00E0193B">
        <w:t xml:space="preserve"> </w:t>
      </w:r>
      <w:r w:rsidR="091AA821" w:rsidRPr="00E0193B">
        <w:t xml:space="preserve">zapewnienie bezpieczeństwa wewnętrznego </w:t>
      </w:r>
      <w:r w:rsidR="08579F70" w:rsidRPr="00E0193B">
        <w:t xml:space="preserve">i siły zbrojne. </w:t>
      </w:r>
    </w:p>
    <w:p w14:paraId="1D742D2C" w14:textId="77777777" w:rsidR="0019245E" w:rsidRPr="00E0193B" w:rsidRDefault="57579136" w:rsidP="6D12AF4E">
      <w:pPr>
        <w:spacing w:line="240" w:lineRule="auto"/>
        <w:rPr>
          <w:rFonts w:eastAsiaTheme="minorEastAsia"/>
        </w:rPr>
      </w:pPr>
      <w:r w:rsidRPr="00E0193B">
        <w:t xml:space="preserve">Dodatkowo </w:t>
      </w:r>
      <w:r w:rsidR="08579F70" w:rsidRPr="00E0193B">
        <w:t>przyspieszone, częściowe otwarcie rynku UE na usługi i towary z Ukrainy spowodowało zakłócenia na rynku rolnym i w sektorze transportowym</w:t>
      </w:r>
      <w:r w:rsidR="34D6789B" w:rsidRPr="00E0193B">
        <w:t xml:space="preserve"> (na co nakładają się pozostające na wysokim poziomie ceny paliw)</w:t>
      </w:r>
      <w:r w:rsidR="00CFCA93" w:rsidRPr="00E0193B">
        <w:t>, w tym ze względu na wysokie ceny środków do produkcji rolniczej i działalności przetwórczej.</w:t>
      </w:r>
      <w:r w:rsidR="3887F6AA" w:rsidRPr="00E0193B">
        <w:t xml:space="preserve"> Wywołało to liczne protesty społeczne.</w:t>
      </w:r>
      <w:r w:rsidR="7E413285" w:rsidRPr="00E0193B">
        <w:t xml:space="preserve"> </w:t>
      </w:r>
      <w:r w:rsidR="2B87ED0B" w:rsidRPr="00E0193B">
        <w:t>Zaistniałe zjawiska wymagają zabezpieczenia interesu polskich rolników, w tym m.in. poprzez wsparcie rozwoju infrastruktury magazynowo-dystrybucyjnej, przetwórstwa rolno-spożywczego oraz infrastruktury gospodarstw rolnych, jako kluczowych dla zapewnienia bezpieczeństwa żywnościowe</w:t>
      </w:r>
      <w:r w:rsidR="2B87ED0B" w:rsidRPr="00E0193B">
        <w:rPr>
          <w:rFonts w:eastAsiaTheme="minorEastAsia"/>
        </w:rPr>
        <w:t>go</w:t>
      </w:r>
      <w:r w:rsidR="0EF356D5" w:rsidRPr="00E0193B">
        <w:rPr>
          <w:rFonts w:eastAsiaTheme="minorEastAsia"/>
        </w:rPr>
        <w:t>, w szczególności w zakresie przechowywania, logistyki i dystrybucji produktów rolnych i przetworzonych.</w:t>
      </w:r>
      <w:r w:rsidR="00BC6219" w:rsidRPr="00E0193B">
        <w:rPr>
          <w:rFonts w:eastAsiaTheme="minorEastAsia"/>
        </w:rPr>
        <w:t xml:space="preserve"> </w:t>
      </w:r>
    </w:p>
    <w:p w14:paraId="2D97254B" w14:textId="744FD963" w:rsidR="007C481D" w:rsidRPr="00E0193B" w:rsidRDefault="57EA79B7" w:rsidP="6D12AF4E">
      <w:pPr>
        <w:spacing w:line="240" w:lineRule="auto"/>
      </w:pPr>
      <w:r w:rsidRPr="00E0193B">
        <w:t xml:space="preserve">Zapewnienie stabilnych i perspektywicznych ram dalszego rozwoju polskiej gospodarki wymaga przeprowadzenia </w:t>
      </w:r>
      <w:r w:rsidRPr="00E0193B">
        <w:rPr>
          <w:b/>
          <w:bCs/>
        </w:rPr>
        <w:t>wielodziedzinowej transformacji</w:t>
      </w:r>
      <w:r w:rsidRPr="00E0193B">
        <w:t>, obejmującej w szczególności zieloną transformację gospodarki, uwzględniającą interesy wszystkich grup i sektorów oraz aspekt bezpieczeństwa energetycznego; szeroko rozumianą transformację technologiczną</w:t>
      </w:r>
      <w:r w:rsidR="14E3ABCD" w:rsidRPr="00E0193B">
        <w:t>, w tym</w:t>
      </w:r>
      <w:r w:rsidRPr="00E0193B">
        <w:t xml:space="preserve"> coraz szersze wykorzystanie rozwiązań i kompetencji cyfrowych; </w:t>
      </w:r>
      <w:r w:rsidR="00AF119C" w:rsidRPr="00E0193B">
        <w:t>zmian</w:t>
      </w:r>
      <w:r w:rsidRPr="00E0193B">
        <w:t xml:space="preserve"> w systemie ochrony zdrowia (</w:t>
      </w:r>
      <w:r w:rsidR="00AF119C" w:rsidRPr="00E0193B">
        <w:t>na rzecz</w:t>
      </w:r>
      <w:r w:rsidRPr="00E0193B">
        <w:t xml:space="preserve"> efektywności funkcjonowania systemu oraz </w:t>
      </w:r>
      <w:r w:rsidR="00AF119C" w:rsidRPr="00E0193B">
        <w:t xml:space="preserve">poprawy </w:t>
      </w:r>
      <w:r w:rsidRPr="00E0193B">
        <w:t xml:space="preserve">dostępności i jakości świadczeń zdrowotnych). Ze względu jednak na specyficzny punkt startowy oraz bieżącą sytuację, </w:t>
      </w:r>
      <w:r w:rsidRPr="00E0193B">
        <w:rPr>
          <w:b/>
          <w:bCs/>
        </w:rPr>
        <w:t>skala wyzwań, jak też obciążenia finansowe dla budżetu państwa i samorządów, pozostają ogromne i wymagają rozłożenia w czasie</w:t>
      </w:r>
      <w:r w:rsidRPr="00E0193B">
        <w:t xml:space="preserve">. </w:t>
      </w:r>
    </w:p>
    <w:p w14:paraId="01E0E466" w14:textId="16840C9D" w:rsidR="007C481D" w:rsidRPr="00E0193B" w:rsidRDefault="08579F70" w:rsidP="6D12AF4E">
      <w:pPr>
        <w:spacing w:line="240" w:lineRule="auto"/>
      </w:pPr>
      <w:r w:rsidRPr="00E0193B">
        <w:t xml:space="preserve">W 2023 r. </w:t>
      </w:r>
      <w:r w:rsidR="13DA9EEF" w:rsidRPr="00E0193B">
        <w:t>i pierwszym kw</w:t>
      </w:r>
      <w:r w:rsidR="259DE02A" w:rsidRPr="00E0193B">
        <w:t>.</w:t>
      </w:r>
      <w:r w:rsidR="13DA9EEF" w:rsidRPr="00E0193B">
        <w:t xml:space="preserve"> 2024 r. </w:t>
      </w:r>
      <w:r w:rsidRPr="00E0193B">
        <w:t xml:space="preserve">koniunktura w otoczeniu polskiej gospodarki pozostawała osłabiona, a negatywnie na jej sytuację wpływały nadal m.in. skutki wcześniejszego wzrostu cen surowców, a także podwyższony poziom niepewności wśród przedsiębiorców i gospodarstw domowych. Tempo wzrostu PKB w 2023 r. (0,2%) </w:t>
      </w:r>
      <w:r w:rsidRPr="00E0193B">
        <w:lastRenderedPageBreak/>
        <w:t>okazało się najniższe – nie licząc wywołanego przez pandemię COVID-19 spadku PKB w 2020 r. od kilku dziesięcioleci.</w:t>
      </w:r>
    </w:p>
    <w:p w14:paraId="2BA6CD3C" w14:textId="2041FDF6" w:rsidR="007C481D" w:rsidRPr="00E0193B" w:rsidRDefault="007C481D" w:rsidP="007C481D">
      <w:pPr>
        <w:spacing w:line="240" w:lineRule="auto"/>
      </w:pPr>
      <w:r w:rsidRPr="00E0193B">
        <w:t>Od kwietnia 2021 r. tempo wzrostu cen towarów i usług konsumpcyjnych (r/r) nieprzerwanie wykraczało poza poziom wahań dopuszczalnych w ramach celu inflacyjnego NBP (wynoszący 2,5% r/r, przy przedziale odchyleń od tego celu o +/-1 pkt proc.), a od marca 2022 r. do sierpnia 2023 r. kształtowało się na poziomie „dwucyfrowym”. W lutym 2023 r. w Polsce odnotowano najwyższe od grudnia 1996 r. tempo wzrostu cen towarów i usług konsumpcyjnych, które wyniosło 18,4% r/r (tj. względem lutego 2022 r.). Kolejne miesiące 2023 r. przyniosły stopniowe spowolnienie inflacji, która w grudniu 2023 r. obniży</w:t>
      </w:r>
      <w:r w:rsidR="0019245E" w:rsidRPr="00E0193B">
        <w:t>ła</w:t>
      </w:r>
      <w:r w:rsidRPr="00E0193B">
        <w:t xml:space="preserve"> się do pułapu 6,2%.</w:t>
      </w:r>
    </w:p>
    <w:p w14:paraId="4B01891C" w14:textId="34634D6E" w:rsidR="007C481D" w:rsidRPr="00E0193B" w:rsidRDefault="5F8D3D1C" w:rsidP="007C481D">
      <w:pPr>
        <w:spacing w:line="240" w:lineRule="auto"/>
      </w:pPr>
      <w:r w:rsidRPr="00E0193B">
        <w:t xml:space="preserve">Według danych Eurostat </w:t>
      </w:r>
      <w:r w:rsidR="4BFC5A53" w:rsidRPr="00E0193B">
        <w:t>zharmonizowany wskaźnik cen towarów i usług konsumpcyjnych (HICP) wzrósł w Polsce od stycznia 2021 r. do grudnia 2023 r. o 3</w:t>
      </w:r>
      <w:r w:rsidR="274F37BD" w:rsidRPr="00E0193B">
        <w:t>1</w:t>
      </w:r>
      <w:r w:rsidR="0202F821" w:rsidRPr="00E0193B">
        <w:t>,3</w:t>
      </w:r>
      <w:r w:rsidR="4BFC5A53" w:rsidRPr="00E0193B">
        <w:t xml:space="preserve">%, </w:t>
      </w:r>
      <w:r w:rsidR="76CF6F09" w:rsidRPr="00E0193B">
        <w:t>podczas gdy dynamika</w:t>
      </w:r>
      <w:r w:rsidR="4BFC5A53" w:rsidRPr="00E0193B">
        <w:t xml:space="preserve"> </w:t>
      </w:r>
      <w:r w:rsidRPr="00E0193B">
        <w:t>koszt</w:t>
      </w:r>
      <w:r w:rsidR="76185A3E" w:rsidRPr="00E0193B">
        <w:t xml:space="preserve">ów pracy była jeszcze wyższa </w:t>
      </w:r>
      <w:r w:rsidR="00BC6219" w:rsidRPr="00E0193B">
        <w:t>–</w:t>
      </w:r>
      <w:r w:rsidR="76185A3E" w:rsidRPr="00E0193B">
        <w:t xml:space="preserve"> w IV kw. 2023 r. wzrost o </w:t>
      </w:r>
      <w:r w:rsidR="75A2E1F2" w:rsidRPr="00E0193B">
        <w:t>ok.</w:t>
      </w:r>
      <w:r w:rsidR="76185A3E" w:rsidRPr="00E0193B">
        <w:t xml:space="preserve"> 34% względem I kw. 2021 r.</w:t>
      </w:r>
      <w:r w:rsidR="6D742CAE" w:rsidRPr="00E0193B">
        <w:t xml:space="preserve"> </w:t>
      </w:r>
      <w:r w:rsidR="4260D87F" w:rsidRPr="00E0193B">
        <w:t>Mimo stopniowego normowania się sytuacji na rynku energii</w:t>
      </w:r>
      <w:r w:rsidR="26F79EC8" w:rsidRPr="00E0193B">
        <w:t>,</w:t>
      </w:r>
      <w:r w:rsidR="4260D87F" w:rsidRPr="00E0193B">
        <w:t xml:space="preserve"> wysokie koszty usług i niektórych materiałów wciąż mają negatywny wpływ na terminową i zgodną z wcześniejszymi założeniami realizację założonych wartości wskaźników zawartych w KPO inwestycji. </w:t>
      </w:r>
    </w:p>
    <w:p w14:paraId="391C48C6" w14:textId="1EB89C16" w:rsidR="007C481D" w:rsidRPr="00E0193B" w:rsidRDefault="0019245E" w:rsidP="007C481D">
      <w:pPr>
        <w:spacing w:line="240" w:lineRule="auto"/>
      </w:pPr>
      <w:r w:rsidRPr="00E0193B">
        <w:t>Ponadto, n</w:t>
      </w:r>
      <w:r w:rsidR="59A53ACF" w:rsidRPr="00E0193B">
        <w:t>ależy podkreślić, że z</w:t>
      </w:r>
      <w:r w:rsidR="19B07A7F" w:rsidRPr="00E0193B">
        <w:t xml:space="preserve">miany w aktach prawnych, </w:t>
      </w:r>
      <w:r w:rsidR="57555B47" w:rsidRPr="00E0193B">
        <w:t>które są efektem realizacji reform</w:t>
      </w:r>
      <w:r w:rsidR="2BE2821E" w:rsidRPr="00E0193B">
        <w:t xml:space="preserve"> zawartych w KPO</w:t>
      </w:r>
      <w:r w:rsidR="5B543249" w:rsidRPr="00E0193B">
        <w:t>,</w:t>
      </w:r>
      <w:r w:rsidR="57555B47" w:rsidRPr="00E0193B">
        <w:t xml:space="preserve"> niosą za sobą </w:t>
      </w:r>
      <w:r w:rsidR="572DBC60" w:rsidRPr="00E0193B">
        <w:t xml:space="preserve">znaczne </w:t>
      </w:r>
      <w:r w:rsidR="57555B47" w:rsidRPr="00E0193B">
        <w:t xml:space="preserve">skutki finansowe, wykraczające </w:t>
      </w:r>
      <w:r w:rsidR="3A46C1B2" w:rsidRPr="00E0193B">
        <w:t xml:space="preserve">dalece </w:t>
      </w:r>
      <w:r w:rsidR="57555B47" w:rsidRPr="00E0193B">
        <w:t>poza ramy finansowania oraz okres realizacji KPO</w:t>
      </w:r>
      <w:r w:rsidR="763AC937" w:rsidRPr="00E0193B">
        <w:t xml:space="preserve">, co znacząco </w:t>
      </w:r>
      <w:r w:rsidR="1813884D" w:rsidRPr="00E0193B">
        <w:t xml:space="preserve">będzie </w:t>
      </w:r>
      <w:r w:rsidR="763AC937" w:rsidRPr="00E0193B">
        <w:t>wpływa</w:t>
      </w:r>
      <w:r w:rsidR="1C0A01BE" w:rsidRPr="00E0193B">
        <w:t>ć</w:t>
      </w:r>
      <w:r w:rsidR="763AC937" w:rsidRPr="00E0193B">
        <w:t xml:space="preserve"> na obciążenie budżetu państwa w</w:t>
      </w:r>
      <w:r w:rsidR="26FAC938" w:rsidRPr="00E0193B">
        <w:t xml:space="preserve"> dłu</w:t>
      </w:r>
      <w:r w:rsidR="11057280" w:rsidRPr="00E0193B">
        <w:t>ż</w:t>
      </w:r>
      <w:r w:rsidR="26FAC938" w:rsidRPr="00E0193B">
        <w:t>szej perspektywie</w:t>
      </w:r>
      <w:r w:rsidR="0A90F198" w:rsidRPr="00E0193B">
        <w:t xml:space="preserve"> czasowej</w:t>
      </w:r>
      <w:r w:rsidR="763AC937" w:rsidRPr="00E0193B">
        <w:t>.</w:t>
      </w:r>
    </w:p>
    <w:p w14:paraId="0D209379" w14:textId="2B48CA0A" w:rsidR="007C481D" w:rsidRPr="00E0193B" w:rsidRDefault="4260D87F" w:rsidP="007C481D">
      <w:pPr>
        <w:spacing w:line="240" w:lineRule="auto"/>
        <w:rPr>
          <w:color w:val="000000" w:themeColor="text1"/>
        </w:rPr>
      </w:pPr>
      <w:r w:rsidRPr="00E0193B">
        <w:t>Sytuacja finansów publicznych w 2023 r. była trudna – deficyt budżetu państwa był nominalnie wyższy od odnotowanego w 2020 r.</w:t>
      </w:r>
      <w:r w:rsidRPr="00E0193B">
        <w:rPr>
          <w:color w:val="000000" w:themeColor="text1"/>
        </w:rPr>
        <w:t xml:space="preserve"> (kiedy to środki publiczne w dużym stopniu pomogły złagodzić negatywny wpływ globalnego kryzysu na polską gospodarkę jednocześnie przekładając się na wzrost deficyt budżetu państwa do blisko 85 mld zł). Po spadku do 26,4 mld zł w 2020 r.  oraz do ok. 12,6 mld zł w 2022 r., w 2023 r. deficyt budżetu państwa wyniósł wg szacunkowych danych 85,6 mld zł. Wynik sektora instytucji rządowych i samorządowych wg metodologii ESA2010 w 2020 r. wyniósł -6,9% PKB, w 2021 -1,8% PK</w:t>
      </w:r>
      <w:r w:rsidR="4DBF9EB2" w:rsidRPr="00E0193B">
        <w:rPr>
          <w:color w:val="000000" w:themeColor="text1"/>
        </w:rPr>
        <w:t>B</w:t>
      </w:r>
      <w:r w:rsidRPr="00E0193B">
        <w:rPr>
          <w:color w:val="000000" w:themeColor="text1"/>
        </w:rPr>
        <w:t>, w 2022 r. -3,</w:t>
      </w:r>
      <w:r w:rsidR="3C71FC01" w:rsidRPr="00E0193B">
        <w:rPr>
          <w:color w:val="000000" w:themeColor="text1"/>
        </w:rPr>
        <w:t>5</w:t>
      </w:r>
      <w:r w:rsidRPr="00E0193B">
        <w:rPr>
          <w:color w:val="000000" w:themeColor="text1"/>
        </w:rPr>
        <w:t>% PKB, w 2023</w:t>
      </w:r>
      <w:r w:rsidR="007C481D" w:rsidRPr="00E0193B">
        <w:rPr>
          <w:color w:val="000000" w:themeColor="text1"/>
          <w:vertAlign w:val="superscript"/>
        </w:rPr>
        <w:footnoteReference w:id="2"/>
      </w:r>
      <w:r w:rsidRPr="00E0193B">
        <w:rPr>
          <w:color w:val="000000" w:themeColor="text1"/>
        </w:rPr>
        <w:t xml:space="preserve"> r. wyni</w:t>
      </w:r>
      <w:r w:rsidR="6613C1F8" w:rsidRPr="00E0193B">
        <w:rPr>
          <w:color w:val="000000" w:themeColor="text1"/>
        </w:rPr>
        <w:t xml:space="preserve">ósł -5,1% PKB. </w:t>
      </w:r>
    </w:p>
    <w:p w14:paraId="778B2D95" w14:textId="10387F17" w:rsidR="00C6424A" w:rsidRPr="00E0193B" w:rsidRDefault="3E8E2FB4" w:rsidP="7B549BDF">
      <w:r w:rsidRPr="00E0193B">
        <w:t>Na potrzebę przyspieszania dekarbonizacji gospodarki</w:t>
      </w:r>
      <w:r w:rsidR="00BC6219" w:rsidRPr="00E0193B">
        <w:t xml:space="preserve"> </w:t>
      </w:r>
      <w:r w:rsidRPr="00E0193B">
        <w:t xml:space="preserve">nakładają się wyzwania związane z zagwarantowaniem bezpieczeństwa energetycznego, zachowania konkurencyjności gospodarki i ochrony odbiorców wrażliwych. Wprowadzanie w tak krótkim, jak przyjęto w KPO, terminie </w:t>
      </w:r>
      <w:r w:rsidR="657D9BCA" w:rsidRPr="00E0193B">
        <w:t xml:space="preserve">i niemal równocześnie </w:t>
      </w:r>
      <w:r w:rsidRPr="00E0193B">
        <w:t xml:space="preserve">kolejnych obciążeń dla samorządów i </w:t>
      </w:r>
      <w:r w:rsidR="5A98C469" w:rsidRPr="00E0193B">
        <w:t>społeczeństwa</w:t>
      </w:r>
      <w:r w:rsidRPr="00E0193B">
        <w:t xml:space="preserve"> związanych z wdrażaniem elektromobilności z uwagi na potrzebę przeorientowania priorytetów rozwoju wydaje się zbyt ambitne.</w:t>
      </w:r>
    </w:p>
    <w:p w14:paraId="238FABDD" w14:textId="4FB64913" w:rsidR="00CA0F92" w:rsidRPr="00E0193B" w:rsidRDefault="5F69BF14" w:rsidP="00CA0F92">
      <w:r w:rsidRPr="00E0193B">
        <w:t>Rozpoczęcie pobierania</w:t>
      </w:r>
      <w:r w:rsidR="69F7302B" w:rsidRPr="00E0193B">
        <w:t xml:space="preserve"> podatku od posiadania pojazdów emisyjnych wyznaczone na 2026 r, zbieg</w:t>
      </w:r>
      <w:r w:rsidRPr="00E0193B">
        <w:t>łoby</w:t>
      </w:r>
      <w:r w:rsidR="69F7302B" w:rsidRPr="00E0193B">
        <w:t xml:space="preserve"> się w czasie z objęciem systemem ETS sektora transportu od 2027 r. Kumulacja obciążeń</w:t>
      </w:r>
      <w:r w:rsidR="258C7278" w:rsidRPr="00E0193B">
        <w:t xml:space="preserve"> </w:t>
      </w:r>
      <w:r w:rsidR="07D0110E" w:rsidRPr="00E0193B">
        <w:t xml:space="preserve">dla </w:t>
      </w:r>
      <w:r w:rsidR="258C7278" w:rsidRPr="00E0193B">
        <w:t>społeczeństwa</w:t>
      </w:r>
      <w:r w:rsidR="75B1C31E" w:rsidRPr="00E0193B">
        <w:t>, na co wpłynąłby także</w:t>
      </w:r>
      <w:r w:rsidR="15C77681" w:rsidRPr="00E0193B">
        <w:t xml:space="preserve"> –</w:t>
      </w:r>
      <w:r w:rsidR="75B1C31E" w:rsidRPr="00E0193B">
        <w:t xml:space="preserve"> w ocenie Polski</w:t>
      </w:r>
      <w:r w:rsidR="15C77681" w:rsidRPr="00E0193B">
        <w:t xml:space="preserve"> –</w:t>
      </w:r>
      <w:r w:rsidR="75B1C31E" w:rsidRPr="00E0193B">
        <w:t xml:space="preserve"> zbyt wcześnie wprowadzony obowiązek tworzenia stref transportu niskoemisyjnego </w:t>
      </w:r>
      <w:r w:rsidR="15C77681" w:rsidRPr="00E0193B">
        <w:t>(</w:t>
      </w:r>
      <w:r w:rsidR="75B1C31E" w:rsidRPr="00E0193B">
        <w:t>od I kw. 2025 r.</w:t>
      </w:r>
      <w:r w:rsidR="15C77681" w:rsidRPr="00E0193B">
        <w:t>)</w:t>
      </w:r>
      <w:r w:rsidR="75B1C31E" w:rsidRPr="00E0193B">
        <w:t xml:space="preserve"> w dużych miastach</w:t>
      </w:r>
      <w:r w:rsidR="69F7302B" w:rsidRPr="00E0193B">
        <w:t xml:space="preserve"> </w:t>
      </w:r>
      <w:r w:rsidR="40359FD9" w:rsidRPr="00E0193B">
        <w:t>może być</w:t>
      </w:r>
      <w:r w:rsidR="69F7302B" w:rsidRPr="00E0193B">
        <w:t xml:space="preserve"> trudna do udźwignięcia </w:t>
      </w:r>
      <w:r w:rsidR="19518122" w:rsidRPr="00E0193B">
        <w:t>i budzi</w:t>
      </w:r>
      <w:r w:rsidR="40359FD9" w:rsidRPr="00E0193B">
        <w:t>ć</w:t>
      </w:r>
      <w:r w:rsidR="19518122" w:rsidRPr="00E0193B">
        <w:t xml:space="preserve"> opór</w:t>
      </w:r>
      <w:r w:rsidR="69F7302B" w:rsidRPr="00E0193B">
        <w:t xml:space="preserve"> </w:t>
      </w:r>
      <w:r w:rsidR="65D99D26" w:rsidRPr="00E0193B">
        <w:t>społeczny</w:t>
      </w:r>
      <w:r w:rsidR="69F7302B" w:rsidRPr="00E0193B">
        <w:t xml:space="preserve">. Ponadto </w:t>
      </w:r>
      <w:r w:rsidRPr="00E0193B">
        <w:t xml:space="preserve">opodatkowanie pojazdów spalinowych </w:t>
      </w:r>
      <w:r w:rsidR="69F7302B" w:rsidRPr="00E0193B">
        <w:t xml:space="preserve"> wraz z wprowadzeniem systemu ETS</w:t>
      </w:r>
      <w:r w:rsidR="5834630C" w:rsidRPr="00E0193B">
        <w:t xml:space="preserve"> </w:t>
      </w:r>
      <w:r w:rsidR="69F7302B" w:rsidRPr="00E0193B">
        <w:t>dla transportu oznacza</w:t>
      </w:r>
      <w:r w:rsidRPr="00E0193B">
        <w:t>łoby</w:t>
      </w:r>
      <w:r w:rsidR="69F7302B" w:rsidRPr="00E0193B">
        <w:t xml:space="preserve"> obciążenie emisji dwukrotnie, co wydaje się rozwiązaniem nieprawidłowym</w:t>
      </w:r>
      <w:r w:rsidR="45D596BC" w:rsidRPr="00E0193B">
        <w:t>,</w:t>
      </w:r>
      <w:r w:rsidR="69F7302B" w:rsidRPr="00E0193B">
        <w:t xml:space="preserve"> nadwymiarowym</w:t>
      </w:r>
      <w:r w:rsidR="3F12310C" w:rsidRPr="00E0193B">
        <w:t xml:space="preserve"> i trudnym do pogodzenia w polskim społeczeństwie</w:t>
      </w:r>
      <w:r w:rsidR="69F7302B" w:rsidRPr="00E0193B">
        <w:t>.</w:t>
      </w:r>
    </w:p>
    <w:p w14:paraId="231A92A8" w14:textId="7F3B897B" w:rsidR="007C481D" w:rsidRPr="00E0193B" w:rsidRDefault="6FBDD27D">
      <w:pPr>
        <w:spacing w:line="240" w:lineRule="auto"/>
      </w:pPr>
      <w:r w:rsidRPr="00E0193B">
        <w:t>Kolejn</w:t>
      </w:r>
      <w:r w:rsidR="4CDD4003" w:rsidRPr="00E0193B">
        <w:t>ą</w:t>
      </w:r>
      <w:r w:rsidR="4D0D6ACD" w:rsidRPr="00E0193B">
        <w:t xml:space="preserve"> kwestią utrudniającą realizację wskaźników KPO jest </w:t>
      </w:r>
      <w:r w:rsidR="62F2C9AE" w:rsidRPr="00E0193B">
        <w:t xml:space="preserve">relatywnie słabsza </w:t>
      </w:r>
      <w:r w:rsidR="4D0D6ACD" w:rsidRPr="00E0193B">
        <w:t xml:space="preserve">kondycja finansowa JST. </w:t>
      </w:r>
      <w:r w:rsidR="00031F69" w:rsidRPr="00E0193B">
        <w:t>S</w:t>
      </w:r>
      <w:r w:rsidR="4D0D6ACD" w:rsidRPr="00E0193B">
        <w:t>amorządy mierzą się obecnie z wieloma wyzwaniami, dodatkowo negatywnie odczuwa</w:t>
      </w:r>
      <w:r w:rsidR="145034DF" w:rsidRPr="00E0193B">
        <w:t>ły</w:t>
      </w:r>
      <w:r w:rsidR="4D0D6ACD" w:rsidRPr="00E0193B">
        <w:t xml:space="preserve"> presję zwiększenia inwestycji</w:t>
      </w:r>
      <w:r w:rsidR="0039B125" w:rsidRPr="00E0193B">
        <w:t xml:space="preserve"> </w:t>
      </w:r>
      <w:r w:rsidR="00BC6219" w:rsidRPr="00E0193B">
        <w:t>–</w:t>
      </w:r>
      <w:r w:rsidR="6009A635" w:rsidRPr="00E0193B">
        <w:t xml:space="preserve"> w</w:t>
      </w:r>
      <w:r w:rsidR="080BB91A" w:rsidRPr="00E0193B">
        <w:t xml:space="preserve"> </w:t>
      </w:r>
      <w:r w:rsidR="21216FEA" w:rsidRPr="00E0193B">
        <w:t xml:space="preserve">2023 r. </w:t>
      </w:r>
      <w:r w:rsidR="7EE0C9ED" w:rsidRPr="00E0193B">
        <w:t xml:space="preserve">wydatki majątkowe samorządów </w:t>
      </w:r>
      <w:r w:rsidR="21216FEA" w:rsidRPr="00E0193B">
        <w:t>osiągnęły historyczne najwyższ</w:t>
      </w:r>
      <w:r w:rsidR="0D7645F9" w:rsidRPr="00E0193B">
        <w:t>ą wartość 87,7 mld zł (64,9 mld zł w roku 2022)</w:t>
      </w:r>
      <w:r w:rsidR="4D0D6ACD" w:rsidRPr="00E0193B">
        <w:t xml:space="preserve">. </w:t>
      </w:r>
      <w:r w:rsidR="2414EF3B" w:rsidRPr="00E0193B">
        <w:t xml:space="preserve">Potencjał do dalszego zwiększania </w:t>
      </w:r>
      <w:r w:rsidR="76BFF040" w:rsidRPr="00E0193B">
        <w:t xml:space="preserve">aktywności </w:t>
      </w:r>
      <w:r w:rsidR="2414EF3B" w:rsidRPr="00E0193B">
        <w:t>inwestyc</w:t>
      </w:r>
      <w:r w:rsidR="39675EB9" w:rsidRPr="00E0193B">
        <w:t>yjnej</w:t>
      </w:r>
      <w:r w:rsidR="2414EF3B" w:rsidRPr="00E0193B">
        <w:t xml:space="preserve"> ograniczać mogą spadające zdolności do ich finansowania</w:t>
      </w:r>
      <w:r w:rsidR="40114849" w:rsidRPr="00E0193B">
        <w:t xml:space="preserve"> </w:t>
      </w:r>
      <w:r w:rsidR="00BC6219" w:rsidRPr="00E0193B">
        <w:t>–</w:t>
      </w:r>
      <w:r w:rsidR="60965DCA" w:rsidRPr="00E0193B">
        <w:t xml:space="preserve"> </w:t>
      </w:r>
      <w:r w:rsidR="4559357C" w:rsidRPr="00E0193B">
        <w:t>w</w:t>
      </w:r>
      <w:r w:rsidR="367D36B5" w:rsidRPr="00E0193B">
        <w:t xml:space="preserve"> 2023 r. </w:t>
      </w:r>
      <w:r w:rsidR="2B5D2616" w:rsidRPr="00E0193B">
        <w:t xml:space="preserve">nadwyżka operacyjna </w:t>
      </w:r>
      <w:r w:rsidR="7DF0A720" w:rsidRPr="00E0193B">
        <w:t xml:space="preserve">JST </w:t>
      </w:r>
      <w:r w:rsidR="2B5D2616" w:rsidRPr="00E0193B">
        <w:t xml:space="preserve">spadła </w:t>
      </w:r>
      <w:r w:rsidR="79E1BE15" w:rsidRPr="00E0193B">
        <w:t xml:space="preserve">o </w:t>
      </w:r>
      <w:r w:rsidR="1E8D7DF4" w:rsidRPr="00E0193B">
        <w:t>ponad 35%</w:t>
      </w:r>
      <w:r w:rsidR="4D0D6ACD" w:rsidRPr="00E0193B">
        <w:t xml:space="preserve"> w porównaniu do poziomu notowanego </w:t>
      </w:r>
      <w:r w:rsidR="1EE052B8" w:rsidRPr="00E0193B">
        <w:t xml:space="preserve">w </w:t>
      </w:r>
      <w:r w:rsidR="4D0D6ACD" w:rsidRPr="00E0193B">
        <w:t>2022 r. – to kontynuacja trendu.</w:t>
      </w:r>
      <w:r w:rsidR="28620E6D" w:rsidRPr="00E0193B">
        <w:t xml:space="preserve"> W relacji do dochodów ogółem nadwyżka operacyjna </w:t>
      </w:r>
      <w:r w:rsidR="7FD0E34B" w:rsidRPr="00E0193B">
        <w:t xml:space="preserve">samorządów </w:t>
      </w:r>
      <w:r w:rsidR="28620E6D" w:rsidRPr="00E0193B">
        <w:t xml:space="preserve">wyniosła w 2023 r. 4,7%, podczas gdy średnia dla okresu 2018-2022 (5 lat) </w:t>
      </w:r>
      <w:r w:rsidR="3E94C069" w:rsidRPr="00E0193B">
        <w:t xml:space="preserve">kształtowała się na poziomie </w:t>
      </w:r>
      <w:r w:rsidR="28620E6D" w:rsidRPr="00E0193B">
        <w:t>8,7%</w:t>
      </w:r>
      <w:r w:rsidR="0453741D" w:rsidRPr="00E0193B">
        <w:t>.</w:t>
      </w:r>
      <w:r w:rsidR="203CCF50" w:rsidRPr="00E0193B">
        <w:t xml:space="preserve"> </w:t>
      </w:r>
      <w:r w:rsidR="05F52D71" w:rsidRPr="00E0193B">
        <w:t xml:space="preserve">Wyniki te były po części pochodną </w:t>
      </w:r>
      <w:r w:rsidR="302F4C8E" w:rsidRPr="00E0193B">
        <w:t>postępującego wzrostu</w:t>
      </w:r>
      <w:r w:rsidR="4D0D6ACD" w:rsidRPr="00E0193B">
        <w:t xml:space="preserve"> kosztów obsługi zadłużenia</w:t>
      </w:r>
      <w:r w:rsidR="0D9AB9C7" w:rsidRPr="00E0193B">
        <w:t xml:space="preserve">, które w roku 2023 r. wyniosły ok 6,1 mld zł względem 4,3 mld zł w roku 2022 oraz 1,2 mld zł w roku 2021. </w:t>
      </w:r>
      <w:r w:rsidR="6ADE68AF" w:rsidRPr="00E0193B">
        <w:t xml:space="preserve">Z jednej strony wynik ten jest </w:t>
      </w:r>
      <w:r w:rsidR="3A6A9321" w:rsidRPr="00E0193B">
        <w:lastRenderedPageBreak/>
        <w:t>efektem r</w:t>
      </w:r>
      <w:r w:rsidR="6ADE68AF" w:rsidRPr="00E0193B">
        <w:t xml:space="preserve">ekordowych wydatków inwestycyjnych, z drugiej natomiast – sytuacji rynkowej, tj. utrzymujących się na relatywnie wysokim poziomie stóp procentowych. </w:t>
      </w:r>
    </w:p>
    <w:p w14:paraId="010B56C4" w14:textId="4B92877C" w:rsidR="269F11E2" w:rsidRPr="00E0193B" w:rsidRDefault="7DA9F3C7" w:rsidP="00BC6219">
      <w:pPr>
        <w:spacing w:line="240" w:lineRule="auto"/>
      </w:pPr>
      <w:r w:rsidRPr="00E0193B">
        <w:t>C</w:t>
      </w:r>
      <w:r w:rsidR="4D0D6ACD" w:rsidRPr="00E0193B">
        <w:t>zęść inwestycji, które realizują samorządy jest wymuszona ambitnymi zobowiązaniami klimatycznymi. Dotyczy to chociażby inwestycji w nisko- i zeroemisyjny transport publiczny.</w:t>
      </w:r>
      <w:r w:rsidR="505C96C1" w:rsidRPr="00E0193B">
        <w:t xml:space="preserve"> Wprowadzenie zobowiąza</w:t>
      </w:r>
      <w:r w:rsidR="6DF97DCF" w:rsidRPr="00E0193B">
        <w:t>ń</w:t>
      </w:r>
      <w:r w:rsidR="505C96C1" w:rsidRPr="00E0193B">
        <w:t xml:space="preserve"> </w:t>
      </w:r>
      <w:r w:rsidR="214729C4" w:rsidRPr="00E0193B">
        <w:t xml:space="preserve">w zakresie </w:t>
      </w:r>
      <w:r w:rsidR="4E77A3AE" w:rsidRPr="00E0193B">
        <w:t>wy</w:t>
      </w:r>
      <w:r w:rsidR="214729C4" w:rsidRPr="00E0193B">
        <w:t>miany taboru</w:t>
      </w:r>
      <w:r w:rsidR="505C96C1" w:rsidRPr="00E0193B">
        <w:t xml:space="preserve"> </w:t>
      </w:r>
      <w:r w:rsidR="0E2EE9D9" w:rsidRPr="00E0193B">
        <w:t xml:space="preserve">w </w:t>
      </w:r>
      <w:r w:rsidR="505C96C1" w:rsidRPr="00E0193B">
        <w:t>polskich miast</w:t>
      </w:r>
      <w:r w:rsidR="76F743C1" w:rsidRPr="00E0193B">
        <w:t>ach</w:t>
      </w:r>
      <w:r w:rsidR="505C96C1" w:rsidRPr="00E0193B">
        <w:t xml:space="preserve"> wymaga rozłożenia </w:t>
      </w:r>
      <w:r w:rsidR="4DD776C3" w:rsidRPr="00E0193B">
        <w:t xml:space="preserve">inwestycji </w:t>
      </w:r>
      <w:r w:rsidR="505C96C1" w:rsidRPr="00E0193B">
        <w:t>w czasie i uzgodnień z samorządowcami.</w:t>
      </w:r>
      <w:r w:rsidR="6B281BC8" w:rsidRPr="00E0193B">
        <w:t xml:space="preserve"> </w:t>
      </w:r>
      <w:r w:rsidR="7CAB7F10" w:rsidRPr="00E0193B">
        <w:t xml:space="preserve">Potrzebny jest również czas na przygotowanie odpowiednich programów wsparcia, bowiem </w:t>
      </w:r>
      <w:r w:rsidR="5A845CF1" w:rsidRPr="00E0193B">
        <w:t>miasta</w:t>
      </w:r>
      <w:r w:rsidR="7CAB7F10" w:rsidRPr="00E0193B">
        <w:t xml:space="preserve"> nie udźwigną tak dużych kosztów bez wsparcia państwa. Na proces wymiany taboru negatywnie </w:t>
      </w:r>
      <w:r w:rsidR="167E7D47" w:rsidRPr="00E0193B">
        <w:t>w</w:t>
      </w:r>
      <w:r w:rsidR="29737DA1" w:rsidRPr="00E0193B">
        <w:t>p</w:t>
      </w:r>
      <w:r w:rsidR="167E7D47" w:rsidRPr="00E0193B">
        <w:t>ływają</w:t>
      </w:r>
      <w:r w:rsidR="06F52D6C" w:rsidRPr="00E0193B">
        <w:t xml:space="preserve"> także</w:t>
      </w:r>
      <w:r w:rsidR="7CAB7F10" w:rsidRPr="00E0193B">
        <w:t xml:space="preserve"> wzrastające ceny baterii do autobusów elektrycznych.</w:t>
      </w:r>
    </w:p>
    <w:p w14:paraId="5B59B966" w14:textId="77777777" w:rsidR="00AF119C" w:rsidRPr="00E0193B" w:rsidRDefault="3F60AA1E" w:rsidP="00BC6219">
      <w:pPr>
        <w:spacing w:after="120"/>
        <w:ind w:left="-20" w:right="-20"/>
        <w:rPr>
          <w:rFonts w:eastAsiaTheme="minorEastAsia"/>
          <w:color w:val="000000" w:themeColor="text1"/>
        </w:rPr>
      </w:pPr>
      <w:r w:rsidRPr="00E0193B">
        <w:rPr>
          <w:color w:val="000000" w:themeColor="text1"/>
        </w:rPr>
        <w:t xml:space="preserve">Ostatnie 4 lata bardzo poważnie doświadczyły </w:t>
      </w:r>
      <w:r w:rsidR="252F6646" w:rsidRPr="00E0193B">
        <w:rPr>
          <w:color w:val="000000" w:themeColor="text1"/>
        </w:rPr>
        <w:t xml:space="preserve">również </w:t>
      </w:r>
      <w:r w:rsidRPr="00E0193B">
        <w:rPr>
          <w:color w:val="000000" w:themeColor="text1"/>
        </w:rPr>
        <w:t>polski system ochrony zdrowia.</w:t>
      </w:r>
      <w:r w:rsidR="70923EC6" w:rsidRPr="00E0193B">
        <w:rPr>
          <w:color w:val="000000" w:themeColor="text1"/>
        </w:rPr>
        <w:t xml:space="preserve"> </w:t>
      </w:r>
      <w:r w:rsidRPr="00E0193B">
        <w:rPr>
          <w:color w:val="000000" w:themeColor="text1"/>
        </w:rPr>
        <w:t xml:space="preserve">Wybuch pandemii COVID-19 w 2020 r. i wojny w Ukrainie w 2022 r. w istotny sposób wpłynęły na </w:t>
      </w:r>
      <w:r w:rsidR="0BA407C9" w:rsidRPr="00E0193B">
        <w:rPr>
          <w:color w:val="000000" w:themeColor="text1"/>
        </w:rPr>
        <w:t xml:space="preserve">stan i </w:t>
      </w:r>
      <w:r w:rsidRPr="00E0193B">
        <w:rPr>
          <w:color w:val="000000" w:themeColor="text1"/>
        </w:rPr>
        <w:t xml:space="preserve">funkcjonowanie polskiego systemu ochrony zdrowia, w tym obszaru szpitalnictwa. </w:t>
      </w:r>
      <w:r w:rsidR="70FEF6B2" w:rsidRPr="00E0193B">
        <w:rPr>
          <w:rFonts w:eastAsiaTheme="minorEastAsia"/>
          <w:color w:val="000000" w:themeColor="text1"/>
        </w:rPr>
        <w:t>Masowe migracje, w tym migracje pacjentów</w:t>
      </w:r>
      <w:r w:rsidR="079A28F9" w:rsidRPr="00E0193B">
        <w:rPr>
          <w:rFonts w:eastAsiaTheme="minorEastAsia"/>
          <w:color w:val="000000" w:themeColor="text1"/>
        </w:rPr>
        <w:t>,</w:t>
      </w:r>
      <w:r w:rsidR="70FEF6B2" w:rsidRPr="00E0193B">
        <w:rPr>
          <w:rFonts w:eastAsiaTheme="minorEastAsia"/>
          <w:color w:val="000000" w:themeColor="text1"/>
        </w:rPr>
        <w:t xml:space="preserve"> stanowi</w:t>
      </w:r>
      <w:r w:rsidR="2D078905" w:rsidRPr="00E0193B">
        <w:rPr>
          <w:rFonts w:eastAsiaTheme="minorEastAsia"/>
          <w:color w:val="000000" w:themeColor="text1"/>
        </w:rPr>
        <w:t>ły</w:t>
      </w:r>
      <w:r w:rsidR="70FEF6B2" w:rsidRPr="00E0193B">
        <w:rPr>
          <w:rFonts w:eastAsiaTheme="minorEastAsia"/>
          <w:color w:val="000000" w:themeColor="text1"/>
        </w:rPr>
        <w:t xml:space="preserve"> istotne wyzwanie dla </w:t>
      </w:r>
      <w:r w:rsidR="5F47F13A" w:rsidRPr="00E0193B">
        <w:rPr>
          <w:rFonts w:eastAsiaTheme="minorEastAsia"/>
          <w:color w:val="000000" w:themeColor="text1"/>
        </w:rPr>
        <w:t>nadwyr</w:t>
      </w:r>
      <w:r w:rsidR="3ECCA6B0" w:rsidRPr="00E0193B">
        <w:rPr>
          <w:rFonts w:eastAsiaTheme="minorEastAsia"/>
          <w:color w:val="000000" w:themeColor="text1"/>
        </w:rPr>
        <w:t>ę</w:t>
      </w:r>
      <w:r w:rsidR="5F47F13A" w:rsidRPr="00E0193B">
        <w:rPr>
          <w:rFonts w:eastAsiaTheme="minorEastAsia"/>
          <w:color w:val="000000" w:themeColor="text1"/>
        </w:rPr>
        <w:t xml:space="preserve">żonego </w:t>
      </w:r>
      <w:r w:rsidR="759BDC59" w:rsidRPr="00E0193B">
        <w:rPr>
          <w:rFonts w:eastAsiaTheme="minorEastAsia"/>
          <w:color w:val="000000" w:themeColor="text1"/>
        </w:rPr>
        <w:t xml:space="preserve">już w wyniku pandemii COVID-19 </w:t>
      </w:r>
      <w:r w:rsidR="70FEF6B2" w:rsidRPr="00E0193B">
        <w:rPr>
          <w:rFonts w:eastAsiaTheme="minorEastAsia"/>
          <w:color w:val="000000" w:themeColor="text1"/>
        </w:rPr>
        <w:t>polskiego sektora ochrony zdrowia</w:t>
      </w:r>
      <w:r w:rsidR="7591F781" w:rsidRPr="00E0193B">
        <w:rPr>
          <w:rFonts w:eastAsiaTheme="minorEastAsia"/>
          <w:color w:val="000000" w:themeColor="text1"/>
        </w:rPr>
        <w:t xml:space="preserve">, w </w:t>
      </w:r>
      <w:r w:rsidR="40949D01" w:rsidRPr="00E0193B">
        <w:rPr>
          <w:rFonts w:eastAsiaTheme="minorEastAsia"/>
          <w:color w:val="000000" w:themeColor="text1"/>
        </w:rPr>
        <w:t>szczególności</w:t>
      </w:r>
      <w:r w:rsidR="7591F781" w:rsidRPr="00E0193B">
        <w:rPr>
          <w:rFonts w:eastAsiaTheme="minorEastAsia"/>
          <w:color w:val="000000" w:themeColor="text1"/>
        </w:rPr>
        <w:t xml:space="preserve"> jego ograniczonych zasobów kadrowych</w:t>
      </w:r>
      <w:r w:rsidR="70FEF6B2" w:rsidRPr="00E0193B">
        <w:rPr>
          <w:rFonts w:eastAsiaTheme="minorEastAsia"/>
          <w:color w:val="000000" w:themeColor="text1"/>
        </w:rPr>
        <w:t xml:space="preserve">. </w:t>
      </w:r>
    </w:p>
    <w:p w14:paraId="4D9C32F0" w14:textId="77777777" w:rsidR="001C57B7" w:rsidRPr="00ED5265" w:rsidRDefault="001C57B7" w:rsidP="001C57B7">
      <w:pPr>
        <w:spacing w:after="120"/>
        <w:ind w:left="-20" w:right="-20"/>
        <w:rPr>
          <w:rFonts w:eastAsia="Calibri"/>
          <w:color w:val="000000" w:themeColor="text1"/>
        </w:rPr>
      </w:pPr>
      <w:r w:rsidRPr="00ED5265">
        <w:rPr>
          <w:color w:val="000000" w:themeColor="text1"/>
        </w:rPr>
        <w:t xml:space="preserve">Zapewnienie odpowiedniej efektywności, dostępności i jakości udzielanych świadczeń zdrowotnych w dalszym ciągu wymaga podjęcia kompleksowych działań </w:t>
      </w:r>
      <w:r w:rsidRPr="00AF119C">
        <w:rPr>
          <w:color w:val="000000" w:themeColor="text1"/>
        </w:rPr>
        <w:t>obejmujących wdrożenie koniecznych reform na rzecz efektywności funkcjonowania systemu ochrony zdrowia,  jak również popraw</w:t>
      </w:r>
      <w:r>
        <w:rPr>
          <w:color w:val="000000" w:themeColor="text1"/>
        </w:rPr>
        <w:t>ę</w:t>
      </w:r>
      <w:r w:rsidRPr="00AF119C">
        <w:rPr>
          <w:color w:val="000000" w:themeColor="text1"/>
        </w:rPr>
        <w:t xml:space="preserve"> dostępu i jakości oferowanych świadczeń, </w:t>
      </w:r>
      <w:r w:rsidRPr="00ED5265">
        <w:rPr>
          <w:color w:val="000000" w:themeColor="text1"/>
        </w:rPr>
        <w:t xml:space="preserve">które powinny zostać wsparte inwestycjami </w:t>
      </w:r>
      <w:r w:rsidRPr="00AF119C">
        <w:rPr>
          <w:color w:val="000000" w:themeColor="text1"/>
        </w:rPr>
        <w:t>w infrastrukturę i sprzęt medyczny w podmi</w:t>
      </w:r>
      <w:r>
        <w:rPr>
          <w:color w:val="000000" w:themeColor="text1"/>
        </w:rPr>
        <w:t>o</w:t>
      </w:r>
      <w:r w:rsidRPr="00AF119C">
        <w:rPr>
          <w:color w:val="000000" w:themeColor="text1"/>
        </w:rPr>
        <w:t>tach leczniczych</w:t>
      </w:r>
      <w:r w:rsidRPr="00ED5265">
        <w:rPr>
          <w:color w:val="000000" w:themeColor="text1"/>
        </w:rPr>
        <w:t xml:space="preserve"> celem zapewnienia jak najlepszej opieki pacjentom. W</w:t>
      </w:r>
      <w:r w:rsidRPr="00ED5265">
        <w:t xml:space="preserve">prowadzenie zakładanych w KPO zmian ustawowych wymaga jednak czasu i przeprowadzenia szerokiego procesu konsultacji z </w:t>
      </w:r>
      <w:r>
        <w:t xml:space="preserve">organizacjami </w:t>
      </w:r>
      <w:r w:rsidRPr="00AF119C">
        <w:t>medycznymi interesariuszami systemu,</w:t>
      </w:r>
      <w:r w:rsidRPr="00ED5265">
        <w:t xml:space="preserve"> aby uzyskały konsensus społeczny i przyniosły wymierne efekty. </w:t>
      </w:r>
    </w:p>
    <w:p w14:paraId="3F4436C8" w14:textId="782E68D4" w:rsidR="00035F4A" w:rsidRPr="00E0193B" w:rsidRDefault="08579F70" w:rsidP="00035F4A">
      <w:pPr>
        <w:spacing w:line="240" w:lineRule="auto"/>
      </w:pPr>
      <w:r w:rsidRPr="00E0193B">
        <w:rPr>
          <w:b/>
          <w:bCs/>
        </w:rPr>
        <w:t>Głównym celem proponowanych zmian KPO jest zapewnienie możliwości dalszej</w:t>
      </w:r>
      <w:r w:rsidR="398BCE5D" w:rsidRPr="00E0193B">
        <w:rPr>
          <w:b/>
          <w:bCs/>
        </w:rPr>
        <w:t>, efektywnej</w:t>
      </w:r>
      <w:r w:rsidRPr="00E0193B">
        <w:rPr>
          <w:b/>
          <w:bCs/>
        </w:rPr>
        <w:t xml:space="preserve"> realizacji celów KPO poprzez dostosowanie zobowiązań w zakresie realizacji wskaźników i kamieni milowych do realnych możliwości wdrożeniowych w związku z pojawiającymi się </w:t>
      </w:r>
      <w:r w:rsidR="74015309" w:rsidRPr="00E0193B">
        <w:rPr>
          <w:b/>
          <w:bCs/>
        </w:rPr>
        <w:t>nowymi</w:t>
      </w:r>
      <w:r w:rsidR="00797856" w:rsidRPr="00E0193B">
        <w:rPr>
          <w:b/>
          <w:bCs/>
        </w:rPr>
        <w:t xml:space="preserve"> </w:t>
      </w:r>
      <w:r w:rsidRPr="00E0193B">
        <w:rPr>
          <w:b/>
          <w:bCs/>
        </w:rPr>
        <w:t>wyzwaniami społeczno-gospodarczymi i zagrożeniami</w:t>
      </w:r>
      <w:r w:rsidRPr="00E0193B">
        <w:t>.</w:t>
      </w:r>
      <w:r w:rsidR="7080CB49" w:rsidRPr="00E0193B">
        <w:t xml:space="preserve"> Założeniem dla rewizji KPO jest jej ograniczenie do absolutnie niezbędnych zmian oraz</w:t>
      </w:r>
      <w:r w:rsidR="6E6E75DE" w:rsidRPr="00E0193B">
        <w:t>, co do zasady,</w:t>
      </w:r>
      <w:r w:rsidR="7080CB49" w:rsidRPr="00E0193B">
        <w:t xml:space="preserve"> zachowanie reform i inwestycji szczególnie ważnych</w:t>
      </w:r>
      <w:r w:rsidR="4A383D41" w:rsidRPr="00E0193B">
        <w:t xml:space="preserve"> rozwojowo i </w:t>
      </w:r>
      <w:r w:rsidR="7080CB49" w:rsidRPr="00E0193B">
        <w:t>społecznie.</w:t>
      </w:r>
      <w:r w:rsidR="6E6E75DE" w:rsidRPr="00E0193B">
        <w:t xml:space="preserve"> </w:t>
      </w:r>
    </w:p>
    <w:p w14:paraId="55C31B31" w14:textId="1E89438F" w:rsidR="00797856" w:rsidRPr="00E0193B" w:rsidRDefault="08579F70" w:rsidP="007C481D">
      <w:pPr>
        <w:spacing w:line="240" w:lineRule="auto"/>
      </w:pPr>
      <w:r w:rsidRPr="00E0193B">
        <w:t>Mając na uwadze powyższe</w:t>
      </w:r>
      <w:r w:rsidR="4707767F" w:rsidRPr="00E0193B">
        <w:t>,</w:t>
      </w:r>
      <w:r w:rsidRPr="00E0193B">
        <w:t xml:space="preserve"> zaproponowano w szczególności zmiany polegające na przesunięciach terminów realizacji</w:t>
      </w:r>
      <w:r w:rsidR="6CCB16A5" w:rsidRPr="00E0193B">
        <w:t>,</w:t>
      </w:r>
      <w:r w:rsidRPr="00E0193B">
        <w:t xml:space="preserve"> zmianach opisów kamieni milowych</w:t>
      </w:r>
      <w:r w:rsidR="42F57F64" w:rsidRPr="00E0193B">
        <w:t>,</w:t>
      </w:r>
      <w:r w:rsidR="00BC6219" w:rsidRPr="00E0193B">
        <w:t xml:space="preserve"> </w:t>
      </w:r>
      <w:r w:rsidR="46D521ED" w:rsidRPr="00E0193B">
        <w:t xml:space="preserve">inwestycji i </w:t>
      </w:r>
      <w:r w:rsidRPr="00E0193B">
        <w:t>wskaźników</w:t>
      </w:r>
      <w:r w:rsidR="54A1B459" w:rsidRPr="00E0193B">
        <w:t xml:space="preserve"> </w:t>
      </w:r>
      <w:r w:rsidR="00BC6219" w:rsidRPr="00E0193B">
        <w:t xml:space="preserve">do nich </w:t>
      </w:r>
      <w:r w:rsidR="54A1B459" w:rsidRPr="00E0193B">
        <w:t xml:space="preserve">przypisanych </w:t>
      </w:r>
      <w:r w:rsidRPr="00E0193B">
        <w:t>oraz zmianach wartości docelowych wskaźników. Ponadto zgłoszono usunięcie jednego z kamieni milowych.</w:t>
      </w:r>
      <w:r w:rsidR="6214176F" w:rsidRPr="00E0193B">
        <w:t xml:space="preserve"> Powyższe zmiany obejmują </w:t>
      </w:r>
      <w:r w:rsidR="00E0193B">
        <w:t>6</w:t>
      </w:r>
      <w:r w:rsidR="6214176F" w:rsidRPr="00E0193B">
        <w:t xml:space="preserve"> z 7 komponentów, za wyjątkiem komponentu F Poprawa jakości instytucji i warunków realizacji Krajowego Planu Odbudowy i Zwiększania Odporności. Rewizją zostało objętych 11 z 55 reform (8 z części grantowej i 3 z części pożyczkowej) oraz 22 z 56 inwestycji (14 z części grantowej i 8 z części pożyczkowej KPO).</w:t>
      </w:r>
      <w:r w:rsidR="6CAEAB52" w:rsidRPr="00E0193B">
        <w:t xml:space="preserve"> </w:t>
      </w:r>
    </w:p>
    <w:p w14:paraId="7A852502" w14:textId="35C61912" w:rsidR="007C481D" w:rsidRPr="00E0193B" w:rsidRDefault="6CAEAB52" w:rsidP="007C481D">
      <w:pPr>
        <w:spacing w:line="240" w:lineRule="auto"/>
      </w:pPr>
      <w:r w:rsidRPr="00E0193B">
        <w:t xml:space="preserve">Proponowane modyfikacje co do zasady nie </w:t>
      </w:r>
      <w:r w:rsidR="2FF586A0" w:rsidRPr="00E0193B">
        <w:t xml:space="preserve">naruszają przyjętych założeń realizacji KPO. </w:t>
      </w:r>
      <w:r w:rsidR="62F605D0" w:rsidRPr="00E0193B">
        <w:t>Z</w:t>
      </w:r>
      <w:r w:rsidR="2FF586A0" w:rsidRPr="00E0193B">
        <w:t>miany wynikają z aktual</w:t>
      </w:r>
      <w:r w:rsidR="700568FC" w:rsidRPr="00E0193B">
        <w:t>nej</w:t>
      </w:r>
      <w:r w:rsidR="2DD5F632" w:rsidRPr="00E0193B">
        <w:t>,</w:t>
      </w:r>
      <w:r w:rsidR="6EBD1E98" w:rsidRPr="00E0193B">
        <w:t xml:space="preserve"> </w:t>
      </w:r>
      <w:r w:rsidR="700568FC" w:rsidRPr="00E0193B">
        <w:t xml:space="preserve">sytuacji </w:t>
      </w:r>
      <w:r w:rsidR="00797856" w:rsidRPr="00E0193B">
        <w:t>społeczno-</w:t>
      </w:r>
      <w:r w:rsidR="700568FC" w:rsidRPr="00E0193B">
        <w:t>gospodarczej</w:t>
      </w:r>
      <w:r w:rsidR="4D860701" w:rsidRPr="00E0193B">
        <w:t xml:space="preserve">, w szczególności utrwalających się problemów oraz pojawiających się nowych zagrożeń, </w:t>
      </w:r>
      <w:r w:rsidR="4C9D76D5" w:rsidRPr="00E0193B">
        <w:t xml:space="preserve">spowodowanych </w:t>
      </w:r>
      <w:r w:rsidR="4D860701" w:rsidRPr="00E0193B">
        <w:t xml:space="preserve">m.in. </w:t>
      </w:r>
      <w:r w:rsidR="698A898C" w:rsidRPr="00E0193B">
        <w:t>t</w:t>
      </w:r>
      <w:r w:rsidR="34B71900" w:rsidRPr="00E0193B">
        <w:t>rwając</w:t>
      </w:r>
      <w:r w:rsidR="37C53A0A" w:rsidRPr="00E0193B">
        <w:t xml:space="preserve">ym </w:t>
      </w:r>
      <w:r w:rsidR="0FAB48EB" w:rsidRPr="00E0193B">
        <w:t>konfliktem zbrojnym za polską granicą, napływem migrantów</w:t>
      </w:r>
      <w:r w:rsidR="022A1BE2" w:rsidRPr="00E0193B">
        <w:t xml:space="preserve"> z Ukrainy</w:t>
      </w:r>
      <w:r w:rsidR="0FAB48EB" w:rsidRPr="00E0193B">
        <w:t>, inflacją czy zaburzeniami na rynkach rolnych.</w:t>
      </w:r>
      <w:r w:rsidR="00797856" w:rsidRPr="00E0193B">
        <w:t xml:space="preserve"> </w:t>
      </w:r>
    </w:p>
    <w:p w14:paraId="48FADEC5" w14:textId="27774BB7" w:rsidR="00AF119C" w:rsidRPr="00E0193B" w:rsidRDefault="30CF4663" w:rsidP="00AF119C">
      <w:pPr>
        <w:spacing w:line="240" w:lineRule="auto"/>
        <w:rPr>
          <w:rFonts w:eastAsiaTheme="minorEastAsia"/>
        </w:rPr>
      </w:pPr>
      <w:r w:rsidRPr="00E0193B">
        <w:t xml:space="preserve">W kwestiach finansowych planuje się przesunięcie inwestycji </w:t>
      </w:r>
      <w:r w:rsidR="4F77EF8E" w:rsidRPr="00E0193B">
        <w:t xml:space="preserve">E1.1.1 </w:t>
      </w:r>
      <w:r w:rsidR="1A9896CA" w:rsidRPr="00E0193B">
        <w:t xml:space="preserve">dotyczącej wsparcia dla gospodarki niskoemisyjnej </w:t>
      </w:r>
      <w:r w:rsidR="4F77EF8E" w:rsidRPr="00E0193B">
        <w:t xml:space="preserve">do części pożyczkowej. Środki uwolnione w części dotacyjnej zostaną przeznaczone na zwiększenie budżetu </w:t>
      </w:r>
      <w:r w:rsidR="0F2496A1" w:rsidRPr="00E0193B">
        <w:t xml:space="preserve">oraz wartości wskaźników </w:t>
      </w:r>
      <w:r w:rsidR="4F77EF8E" w:rsidRPr="00E0193B">
        <w:t>dw</w:t>
      </w:r>
      <w:r w:rsidR="52E2CE71" w:rsidRPr="00E0193B">
        <w:t xml:space="preserve">óch inwestycji, tj. </w:t>
      </w:r>
      <w:r w:rsidR="4BD81200" w:rsidRPr="00E0193B">
        <w:rPr>
          <w:rFonts w:eastAsiaTheme="minorEastAsia"/>
        </w:rPr>
        <w:t>A1.4.1 o 600 mln euro na działania związane z modernizacją infrastruktury i wyposażenia w celu zwiększenia odporności na przyszłe kryzysy i wzmocnienia wzorców zrównoważonej produkcji, skrócenia łańcuchów dostaw i wspierania technologii w zakresie rolnictwa 4.0</w:t>
      </w:r>
      <w:r w:rsidR="4614C68D" w:rsidRPr="00E0193B">
        <w:rPr>
          <w:rFonts w:eastAsiaTheme="minorEastAsia"/>
        </w:rPr>
        <w:t xml:space="preserve"> oraz</w:t>
      </w:r>
      <w:r w:rsidR="4BD81200" w:rsidRPr="00E0193B">
        <w:rPr>
          <w:rFonts w:eastAsiaTheme="minorEastAsia"/>
        </w:rPr>
        <w:t xml:space="preserve"> na </w:t>
      </w:r>
      <w:r w:rsidR="58FE8B01" w:rsidRPr="00E0193B">
        <w:rPr>
          <w:rFonts w:eastAsiaTheme="minorEastAsia"/>
        </w:rPr>
        <w:t xml:space="preserve">nowe </w:t>
      </w:r>
      <w:r w:rsidR="4BD81200" w:rsidRPr="00E0193B">
        <w:rPr>
          <w:rFonts w:eastAsiaTheme="minorEastAsia"/>
        </w:rPr>
        <w:t>działania związane z unowocześnieniem bazy dydaktycznej i demonstracyjnej na potrzeby edukacji w zakresie rolnictwa 4.0</w:t>
      </w:r>
      <w:r w:rsidR="4EB34AFD" w:rsidRPr="00E0193B">
        <w:rPr>
          <w:rFonts w:eastAsiaTheme="minorEastAsia"/>
        </w:rPr>
        <w:t>, inwestycji</w:t>
      </w:r>
      <w:r w:rsidR="23BE0E82" w:rsidRPr="00E0193B">
        <w:rPr>
          <w:rFonts w:eastAsiaTheme="minorEastAsia"/>
        </w:rPr>
        <w:t xml:space="preserve"> </w:t>
      </w:r>
      <w:r w:rsidR="5A5978A8" w:rsidRPr="00E0193B">
        <w:rPr>
          <w:rFonts w:eastAsiaTheme="minorEastAsia"/>
        </w:rPr>
        <w:t xml:space="preserve">B1.1.2 </w:t>
      </w:r>
      <w:r w:rsidR="23BE0E82" w:rsidRPr="00E0193B">
        <w:rPr>
          <w:rFonts w:eastAsiaTheme="minorEastAsia"/>
        </w:rPr>
        <w:t>o 140 mln euro w części dotyczącej poprawy efektywności energetycznej w budynkach wielorodzinnych</w:t>
      </w:r>
      <w:r w:rsidR="00E0193B">
        <w:rPr>
          <w:rFonts w:eastAsiaTheme="minorEastAsia"/>
        </w:rPr>
        <w:t>, a także nowej inwestycji E1.1.1 dotyczącej wsparcia zakupu, wynajmu i leasingu samochodów elektrycznych o wartości 373 750 tys. euro</w:t>
      </w:r>
      <w:r w:rsidR="00F557D5" w:rsidRPr="00E0193B">
        <w:rPr>
          <w:rFonts w:eastAsiaTheme="minorEastAsia"/>
        </w:rPr>
        <w:t xml:space="preserve">. </w:t>
      </w:r>
      <w:r w:rsidR="00AF119C" w:rsidRPr="00E0193B">
        <w:rPr>
          <w:rFonts w:eastAsiaTheme="minorEastAsia"/>
        </w:rPr>
        <w:t xml:space="preserve">Przewiduje się zmniejszenie budżetu inwestycji A2.6.1 bez uszczerbku na zakres ww. inwestycji, jak również przeniesienie inwestycji D1.2.1 dotyczącej opieki długoterminowej do części grantowej z jednoczesnym zwiększeniem budżetu inwestycji do 300 mln EUR przy jednoczesnym zmniejszeniu wartości </w:t>
      </w:r>
      <w:r w:rsidR="00AF119C" w:rsidRPr="00E0193B">
        <w:rPr>
          <w:rFonts w:eastAsiaTheme="minorEastAsia"/>
        </w:rPr>
        <w:lastRenderedPageBreak/>
        <w:t>inwestycji D1.1.1 dotyczącej infrastruktury lub wyposażenia centrów opieki wysokospecjalistycznej i innych podmiotów leczniczych. Z uwagi na brak możliwości realizacji inwestycji D3.2.1 dotyczącej API w zakresie i na warunkach wskazanych w planie, planuje się rezygnację tej inwestycji w KPO.</w:t>
      </w:r>
    </w:p>
    <w:p w14:paraId="09E46557" w14:textId="4DABFA51" w:rsidR="3E7705AC" w:rsidRPr="00E0193B" w:rsidRDefault="6E203D35" w:rsidP="7B549BDF">
      <w:pPr>
        <w:spacing w:line="240" w:lineRule="auto"/>
        <w:rPr>
          <w:rFonts w:eastAsiaTheme="minorEastAsia"/>
        </w:rPr>
      </w:pPr>
      <w:r w:rsidRPr="00E0193B">
        <w:t xml:space="preserve">Główne zmiany w reformach </w:t>
      </w:r>
      <w:r w:rsidRPr="00FB7F70">
        <w:t xml:space="preserve">dotyczą </w:t>
      </w:r>
      <w:r w:rsidR="00BD4683" w:rsidRPr="00FB7F70">
        <w:t>zmiany</w:t>
      </w:r>
      <w:r w:rsidR="0C687FBB" w:rsidRPr="00FB7F70">
        <w:t xml:space="preserve"> </w:t>
      </w:r>
      <w:r w:rsidR="00FD14FD" w:rsidRPr="00FB7F70">
        <w:t>sposobu realizacji</w:t>
      </w:r>
      <w:r w:rsidR="00FD14FD">
        <w:t xml:space="preserve"> kamienia </w:t>
      </w:r>
      <w:r w:rsidR="0C687FBB" w:rsidRPr="00E0193B">
        <w:t xml:space="preserve">milowego </w:t>
      </w:r>
      <w:r w:rsidR="191BF2EF" w:rsidRPr="00E0193B">
        <w:t xml:space="preserve">E4G </w:t>
      </w:r>
      <w:r w:rsidR="0C687FBB" w:rsidRPr="00E0193B">
        <w:t>dotyczącego wprowadzenia podatku od posiadania pojazdów związanych z emisjami zgodne z zasadą „zanieczyszczający płaci”</w:t>
      </w:r>
      <w:r w:rsidR="44902175" w:rsidRPr="00E0193B">
        <w:t xml:space="preserve"> (reforma E1.1)</w:t>
      </w:r>
      <w:r w:rsidR="0C687FBB" w:rsidRPr="00E0193B">
        <w:t xml:space="preserve">, a także zmian </w:t>
      </w:r>
      <w:r w:rsidRPr="00E0193B">
        <w:t xml:space="preserve">opisów </w:t>
      </w:r>
      <w:r w:rsidR="570AB046" w:rsidRPr="00E0193B">
        <w:t xml:space="preserve">i terminów </w:t>
      </w:r>
      <w:r w:rsidRPr="00E0193B">
        <w:t xml:space="preserve">realizacji kamieni milowych w obszarze rozwoju opieki długoterminowej </w:t>
      </w:r>
      <w:r w:rsidR="0018134F" w:rsidRPr="00E0193B">
        <w:t>(A4.6 – wejście w życie do końca 2 kwartału 2026 r. aktu lub aktów prawnych, które zapewnią realizację reformy systemu opieki długoterminowej w Polsce zgodnie z możliwymi do realizacji rekomendacjami opracowanymi przez ekspertów Banku Światowego),</w:t>
      </w:r>
      <w:r w:rsidRPr="00E0193B">
        <w:t xml:space="preserve"> modernizacji i poprawy efektywności </w:t>
      </w:r>
      <w:r w:rsidR="00236E57" w:rsidRPr="00E0193B">
        <w:t xml:space="preserve">podmiotów leczniczych świadczących opiekę szpitalną </w:t>
      </w:r>
      <w:r w:rsidRPr="00E0193B">
        <w:t xml:space="preserve">(D1.1 </w:t>
      </w:r>
      <w:r w:rsidR="006E4C86" w:rsidRPr="00E0193B">
        <w:t>–</w:t>
      </w:r>
      <w:r w:rsidRPr="00E0193B">
        <w:t xml:space="preserve"> zmiany dotyczące optymalizacji procesów przeprowadzanych w ramach reformy w kontekście poprawy jakości i dostępu do świadczeń zdrowotnych), autobusów niskoemisyjnych i zeroemisyjnych (E1.1 </w:t>
      </w:r>
      <w:r w:rsidR="006E4C86" w:rsidRPr="00E0193B">
        <w:t>–</w:t>
      </w:r>
      <w:r w:rsidRPr="00E0193B">
        <w:t xml:space="preserve"> wprowadzenie od 2026 r. obowiązku zakupu przez operatorów oraz organizatorów publicznego transportu zbiorowego w miastach powyżej 100 tys. mieszkańców </w:t>
      </w:r>
      <w:r w:rsidR="00510C94">
        <w:t>100</w:t>
      </w:r>
      <w:r w:rsidRPr="00E0193B">
        <w:t>% autobusów zeroemisyjnych</w:t>
      </w:r>
      <w:r w:rsidR="71FABD83" w:rsidRPr="00E0193B">
        <w:t xml:space="preserve"> oraz wprowadzenie obowiązku zawierania umów </w:t>
      </w:r>
      <w:r w:rsidR="611EDA19" w:rsidRPr="00E0193B">
        <w:t>dotyczących transportu publicznego tylko z podmiotami posiadającymi autobusy zeroemisyjne</w:t>
      </w:r>
      <w:r w:rsidRPr="00E0193B">
        <w:t>)</w:t>
      </w:r>
      <w:r w:rsidRPr="00E0193B">
        <w:rPr>
          <w:rFonts w:eastAsiaTheme="minorEastAsia"/>
        </w:rPr>
        <w:t xml:space="preserve"> czy </w:t>
      </w:r>
      <w:r w:rsidR="5C1023ED" w:rsidRPr="00E0193B">
        <w:rPr>
          <w:rFonts w:eastAsiaTheme="minorEastAsia"/>
        </w:rPr>
        <w:t xml:space="preserve">usunięcie wymogu określania standardów dla międzynarodowego taboru kolejowego </w:t>
      </w:r>
      <w:r w:rsidR="157305B5" w:rsidRPr="00E0193B">
        <w:rPr>
          <w:rFonts w:eastAsiaTheme="minorEastAsia"/>
        </w:rPr>
        <w:t xml:space="preserve">w reformie </w:t>
      </w:r>
      <w:r w:rsidRPr="00E0193B">
        <w:rPr>
          <w:rFonts w:eastAsiaTheme="minorEastAsia"/>
        </w:rPr>
        <w:t>E2.3</w:t>
      </w:r>
      <w:r w:rsidR="1D3BD56D" w:rsidRPr="00E0193B">
        <w:rPr>
          <w:rFonts w:eastAsiaTheme="minorEastAsia"/>
        </w:rPr>
        <w:t xml:space="preserve"> </w:t>
      </w:r>
      <w:r w:rsidR="006E4C86" w:rsidRPr="00E0193B">
        <w:rPr>
          <w:rFonts w:eastAsiaTheme="minorEastAsia"/>
        </w:rPr>
        <w:t>–</w:t>
      </w:r>
      <w:r w:rsidR="1D3BD56D" w:rsidRPr="00E0193B">
        <w:rPr>
          <w:rFonts w:eastAsiaTheme="minorEastAsia"/>
        </w:rPr>
        <w:t xml:space="preserve"> kamieniu milowym E6L.</w:t>
      </w:r>
      <w:r w:rsidR="00236E57" w:rsidRPr="00E0193B">
        <w:rPr>
          <w:rFonts w:eastAsiaTheme="minorEastAsia"/>
        </w:rPr>
        <w:t xml:space="preserve"> Z uwagi na powiązanie reform z inwestycją, rezygnacji z inwestycji D3.2.1 towarzyszy odstąpienie od realizacji w ramach KPO reformy D3.2.</w:t>
      </w:r>
    </w:p>
    <w:p w14:paraId="1A76CB4D" w14:textId="43EE2330" w:rsidR="264684E9" w:rsidRPr="00E0193B" w:rsidRDefault="3A8283B5" w:rsidP="6D12AF4E">
      <w:pPr>
        <w:spacing w:line="240" w:lineRule="auto"/>
      </w:pPr>
      <w:r w:rsidRPr="00E0193B">
        <w:rPr>
          <w:rFonts w:eastAsiaTheme="minorEastAsia"/>
        </w:rPr>
        <w:t xml:space="preserve">Zmiany w inwestycjach </w:t>
      </w:r>
      <w:r w:rsidR="4D75720F" w:rsidRPr="00E0193B">
        <w:rPr>
          <w:rFonts w:eastAsiaTheme="minorEastAsia"/>
        </w:rPr>
        <w:t>dotyczą</w:t>
      </w:r>
      <w:r w:rsidRPr="00E0193B">
        <w:rPr>
          <w:rFonts w:eastAsiaTheme="minorEastAsia"/>
        </w:rPr>
        <w:t xml:space="preserve"> </w:t>
      </w:r>
      <w:r w:rsidR="01D204B8" w:rsidRPr="00E0193B">
        <w:rPr>
          <w:rFonts w:eastAsiaTheme="minorEastAsia"/>
        </w:rPr>
        <w:t xml:space="preserve">wysokości budżetu, </w:t>
      </w:r>
      <w:r w:rsidRPr="00E0193B">
        <w:rPr>
          <w:rFonts w:eastAsiaTheme="minorEastAsia"/>
        </w:rPr>
        <w:t>zakresu</w:t>
      </w:r>
      <w:r w:rsidR="45C8AF11" w:rsidRPr="00E0193B">
        <w:rPr>
          <w:rFonts w:eastAsiaTheme="minorEastAsia"/>
        </w:rPr>
        <w:t xml:space="preserve">, </w:t>
      </w:r>
      <w:r w:rsidRPr="00E0193B">
        <w:rPr>
          <w:rFonts w:eastAsiaTheme="minorEastAsia"/>
        </w:rPr>
        <w:t>opisu</w:t>
      </w:r>
      <w:r w:rsidR="47E4EE72" w:rsidRPr="00E0193B">
        <w:rPr>
          <w:rFonts w:eastAsiaTheme="minorEastAsia"/>
        </w:rPr>
        <w:t xml:space="preserve"> oraz wartości docelowej</w:t>
      </w:r>
      <w:r w:rsidRPr="00E0193B">
        <w:rPr>
          <w:rFonts w:eastAsiaTheme="minorEastAsia"/>
        </w:rPr>
        <w:t xml:space="preserve"> wskaźników</w:t>
      </w:r>
      <w:r w:rsidR="3CA43F77" w:rsidRPr="00E0193B">
        <w:rPr>
          <w:rFonts w:eastAsiaTheme="minorEastAsia"/>
        </w:rPr>
        <w:t xml:space="preserve">, </w:t>
      </w:r>
      <w:r w:rsidR="753C1F60" w:rsidRPr="00E0193B">
        <w:rPr>
          <w:rFonts w:eastAsiaTheme="minorEastAsia"/>
        </w:rPr>
        <w:t xml:space="preserve">a także przesunięcia terminu realizacji inwestycji. </w:t>
      </w:r>
      <w:r w:rsidR="423DD83E" w:rsidRPr="00E0193B">
        <w:rPr>
          <w:rFonts w:eastAsiaTheme="minorEastAsia"/>
        </w:rPr>
        <w:t xml:space="preserve">Poza zmianami budżetu </w:t>
      </w:r>
      <w:r w:rsidR="4A503937" w:rsidRPr="00E0193B">
        <w:rPr>
          <w:rFonts w:eastAsiaTheme="minorEastAsia"/>
        </w:rPr>
        <w:t xml:space="preserve">w </w:t>
      </w:r>
      <w:r w:rsidR="423DD83E" w:rsidRPr="00E0193B">
        <w:rPr>
          <w:rFonts w:eastAsiaTheme="minorEastAsia"/>
        </w:rPr>
        <w:t>kilku inwestycj</w:t>
      </w:r>
      <w:r w:rsidR="1B74E583" w:rsidRPr="00E0193B">
        <w:rPr>
          <w:rFonts w:eastAsiaTheme="minorEastAsia"/>
        </w:rPr>
        <w:t>ach</w:t>
      </w:r>
      <w:r w:rsidR="423DD83E" w:rsidRPr="00E0193B">
        <w:rPr>
          <w:rFonts w:eastAsiaTheme="minorEastAsia"/>
        </w:rPr>
        <w:t xml:space="preserve">, które zostały opisane powyżej, </w:t>
      </w:r>
      <w:r w:rsidR="608D8BF7" w:rsidRPr="00E0193B">
        <w:rPr>
          <w:rFonts w:eastAsiaTheme="minorEastAsia"/>
        </w:rPr>
        <w:t>do głównych modyfikacji należy zaliczyć</w:t>
      </w:r>
      <w:r w:rsidR="5B248FA4" w:rsidRPr="00E0193B">
        <w:t xml:space="preserve"> m.in. rozszerzenie zakresu inwestycji dot. infrastruktury terminalowej </w:t>
      </w:r>
      <w:r w:rsidR="5B248FA4" w:rsidRPr="00E0193B">
        <w:rPr>
          <w:i/>
          <w:iCs/>
        </w:rPr>
        <w:t>offshore</w:t>
      </w:r>
      <w:r w:rsidR="1605B070" w:rsidRPr="00E0193B">
        <w:rPr>
          <w:i/>
          <w:iCs/>
        </w:rPr>
        <w:t>,</w:t>
      </w:r>
      <w:r w:rsidR="2022F83F" w:rsidRPr="00E0193B">
        <w:rPr>
          <w:i/>
          <w:iCs/>
        </w:rPr>
        <w:t xml:space="preserve"> </w:t>
      </w:r>
      <w:r w:rsidR="2022F83F" w:rsidRPr="00E0193B">
        <w:t xml:space="preserve">zmniejszenie wartości wskaźników w inwestycji dot. badań w zakresie nauk medycznych i nauk o zdrowiu, </w:t>
      </w:r>
      <w:r w:rsidR="2FC97326" w:rsidRPr="00E0193B">
        <w:t xml:space="preserve">zmiany zakresu wskaźników w inwestycji dot. gospodarki niskoemisyjnej, </w:t>
      </w:r>
      <w:r w:rsidR="55F51C25" w:rsidRPr="00E0193B">
        <w:t xml:space="preserve">modyfikacje opisu </w:t>
      </w:r>
      <w:r w:rsidR="0DDF662C" w:rsidRPr="00E0193B">
        <w:t xml:space="preserve">inwestycji, zmianę wartości wskaźników </w:t>
      </w:r>
      <w:r w:rsidR="55F51C25" w:rsidRPr="00E0193B">
        <w:t xml:space="preserve">oraz dodanie nowego wskaźnika w inwestycji dot. linii kolejowych, </w:t>
      </w:r>
      <w:r w:rsidR="11F3B5EE" w:rsidRPr="00E0193B">
        <w:t xml:space="preserve">modyfikację opisu i </w:t>
      </w:r>
      <w:r w:rsidR="734B6484" w:rsidRPr="00E0193B">
        <w:t xml:space="preserve">obniżenie wartości wskaźników w inwestycjach </w:t>
      </w:r>
      <w:r w:rsidR="3311C92E" w:rsidRPr="00E0193B">
        <w:t xml:space="preserve">dot. taboru kolejowego oraz </w:t>
      </w:r>
      <w:r w:rsidR="35FD97A6" w:rsidRPr="00E0193B">
        <w:t xml:space="preserve">obniżenie wskaźnika w </w:t>
      </w:r>
      <w:r w:rsidR="3311C92E" w:rsidRPr="00E0193B">
        <w:t>projekt</w:t>
      </w:r>
      <w:r w:rsidR="24770071" w:rsidRPr="00E0193B">
        <w:t>ach</w:t>
      </w:r>
      <w:r w:rsidR="3311C92E" w:rsidRPr="00E0193B">
        <w:t xml:space="preserve"> intermodalnych,</w:t>
      </w:r>
      <w:r w:rsidR="2CF708CC" w:rsidRPr="00E0193B">
        <w:t xml:space="preserve"> </w:t>
      </w:r>
      <w:r w:rsidR="5D939A9F" w:rsidRPr="00E0193B">
        <w:t>zmniejszenie wartości wskaźnika w inwestycji dot. wspierania sektora kultury</w:t>
      </w:r>
      <w:r w:rsidR="00E0193B">
        <w:t xml:space="preserve">. Usunieta została inwestycja D3.2.1 dotycząca </w:t>
      </w:r>
      <w:r w:rsidR="74DAEEC1" w:rsidRPr="00E0193B">
        <w:t>s</w:t>
      </w:r>
      <w:r w:rsidR="28009144" w:rsidRPr="00E0193B">
        <w:t>ektora leków i wyrobów medycznych.</w:t>
      </w:r>
    </w:p>
    <w:p w14:paraId="60E9C439" w14:textId="3E5BFBBC" w:rsidR="007C481D" w:rsidRPr="00E0193B" w:rsidRDefault="007C481D" w:rsidP="007C481D">
      <w:pPr>
        <w:spacing w:line="240" w:lineRule="auto"/>
      </w:pPr>
      <w:r w:rsidRPr="00E0193B">
        <w:t xml:space="preserve">Zmieniony KPO w dalszym ciągu będzie stanowił kompleksową i odpowiednio wyważoną reakcję na sytuację gospodarczą i społeczną oraz przyczyni się do realizacji wszystkich sześciu filarów RRF, tj. a) zielona transformacja; b) transformacja cyfrowa; c) inteligentny, zrównoważony wzrost gospodarczy sprzyjający włączeniu społecznemu, w tym spójność gospodarcza, miejsca pracy, produktywność, konkurencyjność, badania naukowe, rozwój i innowacje, a także dobrze funkcjonujący rynek wewnętrzny z silnymi MŚP; d) spójność społeczna i terytorialna; e) opieka zdrowotna oraz odporność gospodarcza, społeczna i instytucjonalna, w celu między innymi zwiększenia gotowości na sytuacje kryzysowe i zdolności reagowania kryzysowego; oraz f) polityki na rzecz następnego pokolenia, dzieci i młodzieży, takie jak edukacja i umiejętności. Zdecydowana większość wyzwań rozwojowych Polski, a także zakres reform i inwestycji realizowanych w powyższych filarach pozostają bez zmian w stosunku do informacji zawartych w pierwotnym KPO. </w:t>
      </w:r>
    </w:p>
    <w:p w14:paraId="035BF20B" w14:textId="6DB92B03" w:rsidR="00613F94" w:rsidRPr="00E0193B" w:rsidRDefault="34A29EBE">
      <w:r w:rsidRPr="00E0193B">
        <w:t xml:space="preserve">Proponowane zmiany </w:t>
      </w:r>
      <w:r w:rsidR="1FC0FCC7" w:rsidRPr="00E0193B">
        <w:t xml:space="preserve">i uzupełnienia pierwotnego </w:t>
      </w:r>
      <w:r w:rsidRPr="00E0193B">
        <w:t>KPO</w:t>
      </w:r>
      <w:r w:rsidR="73A34F0A" w:rsidRPr="00E0193B">
        <w:t xml:space="preserve"> oraz zmienionego Decyzją Wykonawczą Rady UE z dnia 8 grudnia 2023 r</w:t>
      </w:r>
      <w:r w:rsidR="1BCDD4D9" w:rsidRPr="00E0193B">
        <w:t>.</w:t>
      </w:r>
      <w:r w:rsidRPr="00E0193B">
        <w:t xml:space="preserve"> nie wpływają negatywnie na realizację wyzwań określonych w zaleceniach dla Polski z 2019</w:t>
      </w:r>
      <w:r w:rsidR="23FBFCCE" w:rsidRPr="00E0193B">
        <w:t xml:space="preserve"> i</w:t>
      </w:r>
      <w:r w:rsidRPr="00E0193B">
        <w:t xml:space="preserve"> 2020</w:t>
      </w:r>
      <w:r w:rsidR="23FBFCCE" w:rsidRPr="00E0193B">
        <w:t xml:space="preserve"> r</w:t>
      </w:r>
      <w:r w:rsidR="5FE7ABF8" w:rsidRPr="00E0193B">
        <w:t xml:space="preserve">. Powiązania reform i inwestycji z semestrem europejskim, opisane KPO nadal pozostają aktualne. </w:t>
      </w:r>
      <w:r w:rsidR="111BAA2C" w:rsidRPr="00E0193B">
        <w:t>Z</w:t>
      </w:r>
      <w:r w:rsidR="3F191F2C" w:rsidRPr="00E0193B">
        <w:t xml:space="preserve">akres reform oraz inwestycji wpisuje się również w </w:t>
      </w:r>
      <w:r w:rsidR="1AEE24E6" w:rsidRPr="00E0193B">
        <w:t>większość Zaleceń Rady</w:t>
      </w:r>
      <w:r w:rsidR="3F191F2C" w:rsidRPr="00E0193B">
        <w:t xml:space="preserve"> z 2022</w:t>
      </w:r>
      <w:r w:rsidR="4664216F" w:rsidRPr="00E0193B">
        <w:t xml:space="preserve"> i 2023</w:t>
      </w:r>
      <w:r w:rsidR="3F191F2C" w:rsidRPr="00E0193B">
        <w:t xml:space="preserve"> r.</w:t>
      </w:r>
      <w:r w:rsidR="31C88BBF" w:rsidRPr="00E0193B">
        <w:t>, co zostało szczegółowo opisane w addendum KPO z 2023 r.</w:t>
      </w:r>
      <w:r w:rsidR="111BAA2C" w:rsidRPr="00E0193B">
        <w:t xml:space="preserve"> </w:t>
      </w:r>
      <w:r w:rsidR="22A3ADAB" w:rsidRPr="00E0193B">
        <w:t>W aktualne</w:t>
      </w:r>
      <w:r w:rsidR="6E1AC94B" w:rsidRPr="00E0193B">
        <w:t>j</w:t>
      </w:r>
      <w:r w:rsidR="22A3ADAB" w:rsidRPr="00E0193B">
        <w:t xml:space="preserve"> rewizji p</w:t>
      </w:r>
      <w:r w:rsidR="3A7A531B" w:rsidRPr="00E0193B">
        <w:t>lanowan</w:t>
      </w:r>
      <w:r w:rsidR="006938CF" w:rsidRPr="00E0193B">
        <w:t>a</w:t>
      </w:r>
      <w:r w:rsidR="3A7A531B" w:rsidRPr="00E0193B">
        <w:t xml:space="preserve"> </w:t>
      </w:r>
      <w:r w:rsidR="3A7A531B" w:rsidRPr="00FB7F70">
        <w:t>jest</w:t>
      </w:r>
      <w:r w:rsidR="4B14BE43" w:rsidRPr="00FB7F70">
        <w:t xml:space="preserve"> </w:t>
      </w:r>
      <w:r w:rsidR="00DD5233" w:rsidRPr="00FB7F70">
        <w:t>zmiana</w:t>
      </w:r>
      <w:r w:rsidR="00FD14FD" w:rsidRPr="00FB7F70">
        <w:t xml:space="preserve"> sposobu realizacji</w:t>
      </w:r>
      <w:r w:rsidR="006938CF" w:rsidRPr="00FB7F70">
        <w:t xml:space="preserve"> </w:t>
      </w:r>
      <w:r w:rsidR="3A7A531B" w:rsidRPr="00FB7F70">
        <w:t xml:space="preserve">kamienia milowego w ramach reformy </w:t>
      </w:r>
      <w:r w:rsidR="3A7A531B" w:rsidRPr="00FB7F70">
        <w:rPr>
          <w:i/>
          <w:iCs/>
        </w:rPr>
        <w:t>E1.1.</w:t>
      </w:r>
      <w:r w:rsidR="734F42A5" w:rsidRPr="00FB7F70">
        <w:rPr>
          <w:i/>
          <w:iCs/>
        </w:rPr>
        <w:t xml:space="preserve"> Wzrost wyk</w:t>
      </w:r>
      <w:r w:rsidR="734F42A5" w:rsidRPr="00E0193B">
        <w:rPr>
          <w:i/>
          <w:iCs/>
        </w:rPr>
        <w:t>orzystania transportu przyjaznego dla środowiska</w:t>
      </w:r>
      <w:r w:rsidR="734F42A5" w:rsidRPr="00E0193B">
        <w:t xml:space="preserve">, dotyczącego wejścia w życie aktu prawnego wprowadzającego </w:t>
      </w:r>
      <w:r w:rsidR="1A19B08C" w:rsidRPr="00E0193B">
        <w:t>podatek</w:t>
      </w:r>
      <w:r w:rsidR="734F42A5" w:rsidRPr="00E0193B">
        <w:t xml:space="preserve"> od posiadania pojazdów związanych z emisjami zgodne z zasadą „zanieczyszczający płaci”.</w:t>
      </w:r>
      <w:r w:rsidR="3A7A531B" w:rsidRPr="00E0193B">
        <w:t xml:space="preserve"> </w:t>
      </w:r>
      <w:r w:rsidR="1DAA20B7" w:rsidRPr="00E0193B">
        <w:t xml:space="preserve">Należy jednak zaznaczyć, że </w:t>
      </w:r>
      <w:r w:rsidR="7670F879" w:rsidRPr="00E0193B">
        <w:t xml:space="preserve">realizowane są </w:t>
      </w:r>
      <w:r w:rsidR="1DAA20B7" w:rsidRPr="00E0193B">
        <w:t>pozostałe elementy reformy i związane z nimi kamienie milowe, przyczyniające się do realizacji CSR</w:t>
      </w:r>
      <w:r w:rsidR="187E42E3" w:rsidRPr="00E0193B">
        <w:t xml:space="preserve"> 6 z 2022 oraz CSR 4 z 2023 r</w:t>
      </w:r>
      <w:r w:rsidR="03D9AA85" w:rsidRPr="00E0193B">
        <w:t>.</w:t>
      </w:r>
      <w:r w:rsidR="77526466" w:rsidRPr="00E0193B">
        <w:t xml:space="preserve"> </w:t>
      </w:r>
      <w:r w:rsidR="5B3DC0D1" w:rsidRPr="00E0193B">
        <w:t>C</w:t>
      </w:r>
      <w:r w:rsidR="1A617689" w:rsidRPr="00E0193B">
        <w:t>el</w:t>
      </w:r>
      <w:r w:rsidR="45420B34" w:rsidRPr="00E0193B">
        <w:t xml:space="preserve"> reformy zostanie osiągnięty</w:t>
      </w:r>
      <w:r w:rsidR="1A617689" w:rsidRPr="00E0193B">
        <w:t xml:space="preserve"> </w:t>
      </w:r>
      <w:r w:rsidR="16215594" w:rsidRPr="00E0193B">
        <w:t>przede wszystkim</w:t>
      </w:r>
      <w:r w:rsidR="45420B34" w:rsidRPr="00E0193B">
        <w:t xml:space="preserve"> dzięki nałożeniu na regionalne i lokalne organy pu</w:t>
      </w:r>
      <w:r w:rsidR="45420B34" w:rsidRPr="00E0193B">
        <w:lastRenderedPageBreak/>
        <w:t>bliczne obowiązku zakupu tylko niskoemisyjnych i zeroemisyjnych autobusów w miastach powyżej 100 000 mieszkańców</w:t>
      </w:r>
      <w:r w:rsidR="34E0C31D" w:rsidRPr="00E0193B">
        <w:t xml:space="preserve">, </w:t>
      </w:r>
      <w:r w:rsidR="3232A1F4" w:rsidRPr="00E0193B">
        <w:t xml:space="preserve">a </w:t>
      </w:r>
      <w:r w:rsidR="34E0C31D" w:rsidRPr="00E0193B">
        <w:t xml:space="preserve">także poprzez </w:t>
      </w:r>
      <w:r w:rsidR="45420B34" w:rsidRPr="00E0193B">
        <w:t>zachęca</w:t>
      </w:r>
      <w:r w:rsidR="053B4A4E" w:rsidRPr="00E0193B">
        <w:t xml:space="preserve">nie </w:t>
      </w:r>
      <w:r w:rsidR="45420B34" w:rsidRPr="00E0193B">
        <w:t>do korzystania z transportu przyjaznego dla środowiska za pomocą zestawu działań wspierających władze lokalne w opracowywaniu i wdrażaniu planów zrównoważonej mobilności miejskiej</w:t>
      </w:r>
      <w:r w:rsidR="3930A848" w:rsidRPr="00E0193B">
        <w:t>.</w:t>
      </w:r>
      <w:r w:rsidR="54E16355" w:rsidRPr="00E0193B">
        <w:t xml:space="preserve"> W realizacji pozostaje również kamień milowy dotyczący </w:t>
      </w:r>
      <w:r w:rsidR="6E3AB53C" w:rsidRPr="00E0193B">
        <w:t>wprowadzenia opłaty rejestracyjnej od posiadania pojazdów związanych z emisjami zgodne z zasadą „zanieczyszczający płaci”.</w:t>
      </w:r>
      <w:r w:rsidR="3930A848" w:rsidRPr="00E0193B">
        <w:t xml:space="preserve"> </w:t>
      </w:r>
      <w:r w:rsidR="79196A65" w:rsidRPr="00E0193B">
        <w:t>W</w:t>
      </w:r>
      <w:r w:rsidR="6EEB4D7E" w:rsidRPr="00E0193B">
        <w:t xml:space="preserve">arto </w:t>
      </w:r>
      <w:r w:rsidR="16DC44DC" w:rsidRPr="00E0193B">
        <w:t xml:space="preserve">również </w:t>
      </w:r>
      <w:r w:rsidR="6EEB4D7E" w:rsidRPr="00E0193B">
        <w:t>odnotować</w:t>
      </w:r>
      <w:r w:rsidR="17163BBF" w:rsidRPr="00E0193B">
        <w:t xml:space="preserve"> zwiększenie budżetu oraz</w:t>
      </w:r>
      <w:r w:rsidR="79196A65" w:rsidRPr="00E0193B">
        <w:t xml:space="preserve"> </w:t>
      </w:r>
      <w:r w:rsidR="2EC33CBC" w:rsidRPr="00E0193B">
        <w:t xml:space="preserve">ponad dwukrotne </w:t>
      </w:r>
      <w:r w:rsidR="7A19BEBA" w:rsidRPr="00E0193B">
        <w:t>zwiększenie wartości wskaźnika</w:t>
      </w:r>
      <w:r w:rsidR="17A6DC49" w:rsidRPr="00E0193B">
        <w:t xml:space="preserve"> </w:t>
      </w:r>
      <w:r w:rsidR="5DEEFBB3" w:rsidRPr="00E0193B">
        <w:t xml:space="preserve">w inwestycji </w:t>
      </w:r>
      <w:r w:rsidR="17A6DC49" w:rsidRPr="00E0193B">
        <w:t>dotyczące</w:t>
      </w:r>
      <w:r w:rsidR="5832CD8C" w:rsidRPr="00E0193B">
        <w:t>j</w:t>
      </w:r>
      <w:r w:rsidR="17A6DC49" w:rsidRPr="00E0193B">
        <w:t xml:space="preserve"> t</w:t>
      </w:r>
      <w:r w:rsidR="2EC33CBC" w:rsidRPr="00E0193B">
        <w:t>ermomodernizacj</w:t>
      </w:r>
      <w:r w:rsidR="636CE3B3" w:rsidRPr="00E0193B">
        <w:t>i</w:t>
      </w:r>
      <w:r w:rsidR="2EC33CBC" w:rsidRPr="00E0193B">
        <w:t xml:space="preserve"> i instalacj</w:t>
      </w:r>
      <w:r w:rsidR="4D16335F" w:rsidRPr="00E0193B">
        <w:t>i</w:t>
      </w:r>
      <w:r w:rsidR="2EC33CBC" w:rsidRPr="00E0193B">
        <w:t xml:space="preserve"> odnawialnych źródeł energii w budynkach mieszkalnych (budynki jedno- i wielorodzinne)</w:t>
      </w:r>
      <w:r w:rsidR="5311C8D4" w:rsidRPr="00E0193B">
        <w:t>, co pozytywnie wpłynie na realizację ww. CSR-ów.</w:t>
      </w:r>
      <w:r w:rsidR="0DD05027" w:rsidRPr="00E0193B">
        <w:t xml:space="preserve"> </w:t>
      </w:r>
    </w:p>
    <w:p w14:paraId="3C00ED14" w14:textId="65C3AFDF" w:rsidR="332071F2" w:rsidRPr="00E0193B" w:rsidRDefault="449AA89F" w:rsidP="7B549BDF">
      <w:pPr>
        <w:rPr>
          <w:rFonts w:eastAsiaTheme="minorEastAsia"/>
        </w:rPr>
      </w:pPr>
      <w:r w:rsidRPr="00E0193B">
        <w:t>Dodatkowo, p</w:t>
      </w:r>
      <w:r w:rsidR="0DD05027" w:rsidRPr="00E0193B">
        <w:t xml:space="preserve">roponowane zmiany opisów realizacji kamieni milowych w reformach </w:t>
      </w:r>
      <w:r w:rsidR="16B32E23" w:rsidRPr="00E0193B">
        <w:t xml:space="preserve">opisanych powyżej </w:t>
      </w:r>
      <w:r w:rsidR="76D27C19" w:rsidRPr="00E0193B">
        <w:rPr>
          <w:rFonts w:eastAsiaTheme="minorEastAsia"/>
        </w:rPr>
        <w:t xml:space="preserve"> nie wpływają negatywnie na realizację wybranych Zaleceń, w szczególności </w:t>
      </w:r>
      <w:r w:rsidR="4570F4AE" w:rsidRPr="00E0193B">
        <w:rPr>
          <w:rFonts w:eastAsiaTheme="minorEastAsia"/>
        </w:rPr>
        <w:t xml:space="preserve">CSR 3 2022, CSR 4 2022, </w:t>
      </w:r>
      <w:r w:rsidR="734D18E1" w:rsidRPr="00E0193B">
        <w:rPr>
          <w:rFonts w:eastAsiaTheme="minorEastAsia"/>
        </w:rPr>
        <w:t>CSR 6 2022 oraz CSR 4 2023.</w:t>
      </w:r>
      <w:r w:rsidR="34B53F3D" w:rsidRPr="00E0193B">
        <w:rPr>
          <w:rFonts w:eastAsiaTheme="minorEastAsia"/>
        </w:rPr>
        <w:t xml:space="preserve"> </w:t>
      </w:r>
      <w:r w:rsidR="43AEE79A" w:rsidRPr="00E0193B">
        <w:rPr>
          <w:rFonts w:eastAsiaTheme="minorEastAsia"/>
        </w:rPr>
        <w:t>B</w:t>
      </w:r>
      <w:r w:rsidR="7760EDA8" w:rsidRPr="00E0193B">
        <w:rPr>
          <w:rFonts w:eastAsiaTheme="minorEastAsia"/>
        </w:rPr>
        <w:t xml:space="preserve">ez uszczerbku na realizację </w:t>
      </w:r>
      <w:r w:rsidR="7E3A4212" w:rsidRPr="00E0193B">
        <w:rPr>
          <w:rFonts w:eastAsiaTheme="minorEastAsia"/>
        </w:rPr>
        <w:t>Zaleceń Rady UE</w:t>
      </w:r>
      <w:r w:rsidR="6764F991" w:rsidRPr="00E0193B">
        <w:rPr>
          <w:rFonts w:eastAsiaTheme="minorEastAsia"/>
        </w:rPr>
        <w:t xml:space="preserve"> pozostają również proponowane zmiany opisu realizacji oraz wartości wskaźników w wybranych inwestycjach, które zostały szczegółowo opisanie w rozdziale 2.</w:t>
      </w:r>
    </w:p>
    <w:p w14:paraId="7AFA1D0D" w14:textId="55CDA34F" w:rsidR="00CD6D59" w:rsidRPr="00E0193B" w:rsidRDefault="00C30802" w:rsidP="00C30802">
      <w:pPr>
        <w:pStyle w:val="Nagwek2"/>
      </w:pPr>
      <w:bookmarkStart w:id="9" w:name="_Toc165533728"/>
      <w:r w:rsidRPr="00E0193B">
        <w:t xml:space="preserve">2. </w:t>
      </w:r>
      <w:r w:rsidR="00E909EF" w:rsidRPr="00E0193B">
        <w:t>Uzasadnienie do addendum</w:t>
      </w:r>
      <w:bookmarkEnd w:id="9"/>
    </w:p>
    <w:p w14:paraId="54EF66B7" w14:textId="123C18D1" w:rsidR="00FD3F88" w:rsidRPr="00E0193B" w:rsidRDefault="00FD3F88" w:rsidP="00D94758">
      <w:bookmarkStart w:id="10" w:name="_Toc49944550"/>
      <w:bookmarkStart w:id="11" w:name="_Toc61252481"/>
      <w:bookmarkStart w:id="12" w:name="_Toc103250195"/>
      <w:bookmarkStart w:id="13" w:name="_Toc44314791"/>
      <w:bookmarkEnd w:id="5"/>
      <w:bookmarkEnd w:id="6"/>
      <w:bookmarkEnd w:id="7"/>
      <w:r w:rsidRPr="00E0193B">
        <w:t>Addendum zostało przygotowane w oparciu o następujące podstawy prawne:</w:t>
      </w:r>
    </w:p>
    <w:p w14:paraId="7CA590F9" w14:textId="596CEABB" w:rsidR="00FD3F88" w:rsidRPr="00E0193B" w:rsidRDefault="00FD3F88" w:rsidP="00A1213F">
      <w:pPr>
        <w:pStyle w:val="Akapitzlist"/>
        <w:numPr>
          <w:ilvl w:val="0"/>
          <w:numId w:val="4"/>
        </w:numPr>
        <w:ind w:left="426" w:hanging="426"/>
      </w:pPr>
      <w:r w:rsidRPr="00E0193B">
        <w:t>art. 21 ust. 1 rozporządzenia 2021/241 dotyczący możliwości zmiany decyzji wykonawczej Rady UE zatwierdzającej KPO ze względu na obiektywne okoliczności uniemożliwiające realizację poszczególnych kamieni milowych i wskaźników.</w:t>
      </w:r>
    </w:p>
    <w:p w14:paraId="016D4AD2" w14:textId="23C075F8" w:rsidR="00F0028D" w:rsidRPr="00E0193B" w:rsidRDefault="00F0028D" w:rsidP="00CE6566">
      <w:pPr>
        <w:pStyle w:val="HeadingRRF"/>
        <w:ind w:left="0" w:firstLine="0"/>
        <w:rPr>
          <w:rFonts w:eastAsiaTheme="minorEastAsia"/>
          <w:sz w:val="24"/>
          <w:szCs w:val="24"/>
        </w:rPr>
      </w:pPr>
    </w:p>
    <w:p w14:paraId="78331FC9" w14:textId="53C36BA3" w:rsidR="008A03B8" w:rsidRPr="00E0193B" w:rsidRDefault="004F7F5E" w:rsidP="00AB0256">
      <w:pPr>
        <w:pStyle w:val="Nagwek1"/>
        <w:rPr>
          <w:sz w:val="24"/>
          <w:szCs w:val="24"/>
        </w:rPr>
      </w:pPr>
      <w:bookmarkStart w:id="14" w:name="_Toc165533729"/>
      <w:r w:rsidRPr="00E0193B">
        <w:rPr>
          <w:sz w:val="24"/>
          <w:szCs w:val="24"/>
        </w:rPr>
        <w:t>Część 2:</w:t>
      </w:r>
      <w:r w:rsidR="3B035661" w:rsidRPr="00E0193B">
        <w:rPr>
          <w:sz w:val="24"/>
          <w:szCs w:val="24"/>
        </w:rPr>
        <w:t xml:space="preserve"> </w:t>
      </w:r>
      <w:bookmarkEnd w:id="10"/>
      <w:bookmarkEnd w:id="11"/>
      <w:bookmarkEnd w:id="12"/>
      <w:r w:rsidRPr="00E0193B">
        <w:rPr>
          <w:sz w:val="24"/>
          <w:szCs w:val="24"/>
        </w:rPr>
        <w:t>Opis zmienionych reform i inwestycji</w:t>
      </w:r>
      <w:bookmarkEnd w:id="14"/>
      <w:r w:rsidR="0094175F" w:rsidRPr="00E0193B">
        <w:rPr>
          <w:sz w:val="24"/>
          <w:szCs w:val="24"/>
        </w:rPr>
        <w:t xml:space="preserve"> </w:t>
      </w:r>
      <w:bookmarkEnd w:id="13"/>
    </w:p>
    <w:p w14:paraId="32CE96E2" w14:textId="7EF981DC" w:rsidR="002522AD" w:rsidRPr="00E0193B" w:rsidRDefault="002522AD" w:rsidP="00A1213F">
      <w:pPr>
        <w:pStyle w:val="Nagwek2"/>
        <w:numPr>
          <w:ilvl w:val="0"/>
          <w:numId w:val="27"/>
        </w:numPr>
      </w:pPr>
      <w:bookmarkStart w:id="15" w:name="_Toc165533730"/>
      <w:r w:rsidRPr="00E0193B">
        <w:t>Całkowicie nowe inwestycje</w:t>
      </w:r>
      <w:bookmarkEnd w:id="15"/>
      <w:r w:rsidRPr="00E0193B">
        <w:t xml:space="preserve"> </w:t>
      </w:r>
    </w:p>
    <w:p w14:paraId="3A7F2BC0" w14:textId="77777777" w:rsidR="002522AD" w:rsidRPr="00E0193B" w:rsidRDefault="002522AD" w:rsidP="002522AD">
      <w:bookmarkStart w:id="16" w:name="_Hlk141192570"/>
      <w:r w:rsidRPr="00E0193B">
        <w:t>Inwestycja</w:t>
      </w:r>
    </w:p>
    <w:p w14:paraId="3BBE41D0" w14:textId="762DA30D" w:rsidR="002522AD" w:rsidRPr="009449A7" w:rsidRDefault="002522AD" w:rsidP="002522AD">
      <w:pPr>
        <w:rPr>
          <w:b/>
          <w:bCs/>
        </w:rPr>
      </w:pPr>
      <w:r w:rsidRPr="009449A7">
        <w:rPr>
          <w:b/>
          <w:bCs/>
        </w:rPr>
        <w:t>E1.1.1 Utworzenie instrumentu finansowego dla wsparcia nabycia pojazdów zeroemisyjnych przez osoby fizyczne.</w:t>
      </w:r>
      <w:bookmarkEnd w:id="16"/>
    </w:p>
    <w:p w14:paraId="0CEF92F8" w14:textId="77777777" w:rsidR="002522AD" w:rsidRPr="00E0193B" w:rsidRDefault="002522AD" w:rsidP="002522AD">
      <w:pPr>
        <w:rPr>
          <w:b/>
          <w:bCs/>
        </w:rPr>
      </w:pPr>
      <w:r w:rsidRPr="00E0193B">
        <w:rPr>
          <w:b/>
          <w:bCs/>
        </w:rPr>
        <w:t>Wyzwania:</w:t>
      </w:r>
    </w:p>
    <w:p w14:paraId="5DE5F5BB" w14:textId="77777777" w:rsidR="002522AD" w:rsidRPr="00E0193B" w:rsidRDefault="002522AD" w:rsidP="002522AD">
      <w:r w:rsidRPr="00E0193B">
        <w:t xml:space="preserve">Jednym z głównych wyzwań dekarbonizacji transportu i popularyzacji technologii zeroemisyjnych w transporcie wśród osób fizycznych jest cena nabycia pojazdu elektrycznego lub wodorowego. Obecne ceny zarówno nowych jak i używanych pojazdów przekraczaj możliwości finansowe polskich obywateli. Jeśli w przypadku pojazdów nowych nabywcami są głownie przedsiębiorcy – ok. 75% pierwszych rejestracji w kraju dla nowych pojazdów dokonywane jest przez przedsiębiorców, to w przypadku pojazdów używanych które stanowią większość pierwszych rejestracji zdecydowanej większości dokonują osoby fizyczne. </w:t>
      </w:r>
    </w:p>
    <w:p w14:paraId="5A10E544" w14:textId="77777777" w:rsidR="002522AD" w:rsidRPr="00E0193B" w:rsidRDefault="002522AD" w:rsidP="002522AD">
      <w:r w:rsidRPr="00E0193B">
        <w:t xml:space="preserve">Większość pojazdów rejestrowanych w Polsce pochodzi z importu z innych krajów UE. Rosnące ceny pojazdów zarówno spalinowych, jak i elektrycznych przekładają się na wiek importowanych, a następnie rejestrowanych pojazdów. W 2023 r. średni wiek importowanego do Polski pojazdu osobowego wyniósł 13 lat. </w:t>
      </w:r>
    </w:p>
    <w:p w14:paraId="553855D7" w14:textId="77777777" w:rsidR="002522AD" w:rsidRPr="00E0193B" w:rsidRDefault="002522AD" w:rsidP="002522AD">
      <w:r w:rsidRPr="00E0193B">
        <w:t xml:space="preserve">Z powyższych danych wynika, że rozpowszechnienie napędów zeroemisyjnych wśród osób fizycznych jest utrudnione, a bez pomocy państwa wręcz niemożliwe przy obecnych pozioma cen takich pojazdów. Jednocześnie bez osiągnięcia odpowiedniego poziomu masowości technologii wśród osób fizycznych, ogromnym wyzwaniem będzie obniżenie emisji pochodzących z transportu. </w:t>
      </w:r>
    </w:p>
    <w:p w14:paraId="6D4207C6" w14:textId="77777777" w:rsidR="002522AD" w:rsidRPr="00E0193B" w:rsidRDefault="002522AD" w:rsidP="002522AD">
      <w:pPr>
        <w:rPr>
          <w:b/>
          <w:bCs/>
        </w:rPr>
      </w:pPr>
      <w:r w:rsidRPr="00E0193B">
        <w:rPr>
          <w:b/>
          <w:bCs/>
        </w:rPr>
        <w:t>Cel:</w:t>
      </w:r>
    </w:p>
    <w:p w14:paraId="19311BA3" w14:textId="77777777" w:rsidR="002522AD" w:rsidRPr="00E0193B" w:rsidRDefault="002522AD" w:rsidP="002522AD">
      <w:r w:rsidRPr="00E0193B">
        <w:t xml:space="preserve">W ramach inwestycji planuje się utworzenie instrumentu finansowego, który za pomocą wsparcia w formie dotacji dla osób fizycznych umożliwi nabycie – kupno, leasing, wynajem długoterminowy – nowych i używanych pojazdów zeroemisyjnych. Pozwoli to na zwiększenie dostępności pojazdów zeroemisyjnych wśród osób fizycznych, co przełoży się na popularyzacje technologii i zwiększenie liczby takich pojazdów w Polsce. </w:t>
      </w:r>
    </w:p>
    <w:p w14:paraId="0BFDF47D" w14:textId="77777777" w:rsidR="002522AD" w:rsidRPr="00E0193B" w:rsidRDefault="002522AD" w:rsidP="002522AD">
      <w:pPr>
        <w:rPr>
          <w:b/>
          <w:bCs/>
        </w:rPr>
      </w:pPr>
      <w:r w:rsidRPr="00E0193B">
        <w:rPr>
          <w:b/>
          <w:bCs/>
        </w:rPr>
        <w:lastRenderedPageBreak/>
        <w:t>Charakterystyka:</w:t>
      </w:r>
    </w:p>
    <w:p w14:paraId="289922B3" w14:textId="77777777" w:rsidR="002522AD" w:rsidRPr="00E0193B" w:rsidRDefault="002522AD" w:rsidP="002522AD">
      <w:r w:rsidRPr="00E0193B">
        <w:t xml:space="preserve">Inwestycja obejmuje instrument finansowy w postaci dotacji na zakup, leasing, wynajem długoterminowy pojazdów zeroemisyjnych. W przypadku pojazdów nowych instrument będzie umożliwiał wsparcie leasingu i wynajmu długoterminowego. </w:t>
      </w:r>
    </w:p>
    <w:p w14:paraId="15D4E4DA" w14:textId="77777777" w:rsidR="002522AD" w:rsidRPr="00E0193B" w:rsidRDefault="002522AD" w:rsidP="002522AD">
      <w:r w:rsidRPr="00E0193B">
        <w:t xml:space="preserve">Instrument, dzięki proponowanemu wsparciu, pozwoli aby osoby, które rozważają nabycie/leasing/wynajem pojazdu wybrały używane pojazdy elektryczne. Wprowadzenie możliwości pokrycia kosztów opłaty wstępnej w przypadku leasingu/wynajmu lub dotacji przy zakupie doprowadzi do sytuacji kiedy ceny obu tych grup pojazdów się wyrównają. Zlikwiduje to podstawową barierę dla obywateli i zwiększy dostępność ekologicznych pojazdów. </w:t>
      </w:r>
    </w:p>
    <w:p w14:paraId="235C3F09" w14:textId="703DACE5" w:rsidR="002522AD" w:rsidRPr="00E0193B" w:rsidRDefault="002522AD" w:rsidP="002522AD">
      <w:r w:rsidRPr="00E0193B">
        <w:t>Wsparcie udzielane będzie w formie dotacji dla osób fizycznych. Wysokość wsparcia nie będzie mogła przekroczyć wielkości opłaty wstępnej w przypadku leasingu czy wynajmu długoterminowego. W przypadku dotacji do zakupu używanego pojazdu zeroemisyjnego wsparcie pokrywać będzie część ceny. Założeniem jest</w:t>
      </w:r>
      <w:r w:rsidR="00FB7F70">
        <w:t>,</w:t>
      </w:r>
      <w:r w:rsidRPr="00E0193B">
        <w:t xml:space="preserve"> że wsparci</w:t>
      </w:r>
      <w:r w:rsidR="00AC0844">
        <w:t>e</w:t>
      </w:r>
      <w:r w:rsidRPr="00E0193B">
        <w:t xml:space="preserve"> będzie ni</w:t>
      </w:r>
      <w:r w:rsidR="00AC0844">
        <w:t>e</w:t>
      </w:r>
      <w:r w:rsidRPr="00E0193B">
        <w:t xml:space="preserve"> wyższe niż 40 tys. zł dla jednej osoby fizycznej. </w:t>
      </w:r>
    </w:p>
    <w:p w14:paraId="24EB0CD2" w14:textId="77777777" w:rsidR="002522AD" w:rsidRPr="00E0193B" w:rsidRDefault="002522AD" w:rsidP="002522AD">
      <w:r w:rsidRPr="00E0193B">
        <w:t xml:space="preserve">W celu promocji ograniczania liczby emisyjnych pojazdów na drogach przewiduje się podwyższenia wsparcia o 10% jeśli wraz z wnioskiem zostanie złożone zaświadczenie o zezłomowaniu pojazdu spalinowego, który był posiadany od co najmniej 3 lat przez wnioskodawcę. </w:t>
      </w:r>
    </w:p>
    <w:p w14:paraId="685791E1" w14:textId="77777777" w:rsidR="002522AD" w:rsidRPr="00E0193B" w:rsidRDefault="002522AD" w:rsidP="002522AD">
      <w:r w:rsidRPr="00E0193B">
        <w:t xml:space="preserve">W celu zachęcenia i umożliwienia nabycia pojazdów przez osoby mniej zamożne wsparcie będzie zwiększone o kolejne 10% jeśli dochód wnioskodawcy za rok poprzedzający złożenie wniosku był niższy niż 135 tys. zł. </w:t>
      </w:r>
    </w:p>
    <w:p w14:paraId="02844A6C" w14:textId="77777777" w:rsidR="002522AD" w:rsidRPr="00E0193B" w:rsidRDefault="002522AD" w:rsidP="002522AD">
      <w:r w:rsidRPr="00E0193B">
        <w:t xml:space="preserve">W celu ograniczenia wsparcia najdroższych pojazdów zeroemisyjnych wprowadzony zostanie limit cenowy. W przypadku pojazdów nowych będzie to 225 tys zł, a w przypadku pojazdów używanych 150 tys zł. Jednocześnie pojazd używany nie może być starszy niż 4 lata. </w:t>
      </w:r>
    </w:p>
    <w:p w14:paraId="2827B101" w14:textId="77777777" w:rsidR="002522AD" w:rsidRPr="00E0193B" w:rsidRDefault="002522AD" w:rsidP="002522AD">
      <w:r w:rsidRPr="00E0193B">
        <w:t xml:space="preserve">Jednocześnie aby zwiększać liczbę pojazdów zeroemisyjnych w Polsce z wsparcia wykluczone będą pojazdy wsparte środkami publicznymi w ramach innych programów realizowanych przez polski rząd. </w:t>
      </w:r>
    </w:p>
    <w:p w14:paraId="15BE4DCF" w14:textId="77777777" w:rsidR="002522AD" w:rsidRPr="00E0193B" w:rsidRDefault="002522AD" w:rsidP="002522AD">
      <w:pPr>
        <w:rPr>
          <w:b/>
          <w:bCs/>
        </w:rPr>
      </w:pPr>
      <w:r w:rsidRPr="00E0193B">
        <w:rPr>
          <w:b/>
          <w:bCs/>
        </w:rPr>
        <w:t>Wdrażanie:</w:t>
      </w:r>
    </w:p>
    <w:p w14:paraId="40BBAB88" w14:textId="77777777" w:rsidR="002522AD" w:rsidRPr="00E0193B" w:rsidRDefault="002522AD" w:rsidP="002522AD">
      <w:r w:rsidRPr="00E0193B">
        <w:t xml:space="preserve">Instrument wdrażany będzie przez Narodowy Fundusz Ochrony Środowiska i Gospodarki Wodnej. </w:t>
      </w:r>
    </w:p>
    <w:p w14:paraId="7AB0561F" w14:textId="77777777" w:rsidR="002522AD" w:rsidRPr="00E0193B" w:rsidRDefault="002522AD" w:rsidP="002522AD">
      <w:r w:rsidRPr="00E0193B">
        <w:t xml:space="preserve">Podmiotem odpowiedzialnym za wdrożenie inwestycji jest minister właściwy do spraw energii. </w:t>
      </w:r>
    </w:p>
    <w:p w14:paraId="59E4DBAC" w14:textId="77777777" w:rsidR="002522AD" w:rsidRPr="00E0193B" w:rsidRDefault="002522AD" w:rsidP="002522AD">
      <w:r w:rsidRPr="00E0193B">
        <w:t xml:space="preserve">Instytucje, które będą wdrażać inwestycję dysponują wkładem rzeczowym niezbędnym do zarządzania programem w postaci doświadczonych ekspertów i zaplecza legislacyjno-prawnego. </w:t>
      </w:r>
    </w:p>
    <w:p w14:paraId="3BCC2B6D" w14:textId="77777777" w:rsidR="002522AD" w:rsidRPr="00E0193B" w:rsidRDefault="002522AD" w:rsidP="002522AD">
      <w:r w:rsidRPr="00E0193B">
        <w:t xml:space="preserve">Program wdrażany będzie w formule programu priorytetowego, tak jak inne działania realizowane przez Narodowy Fundusz Ochrony Środowiska i Gospodarki Wodnej. </w:t>
      </w:r>
    </w:p>
    <w:p w14:paraId="22AADB8D" w14:textId="77777777" w:rsidR="002522AD" w:rsidRPr="00E0193B" w:rsidRDefault="002522AD" w:rsidP="002522AD">
      <w:r w:rsidRPr="00E0193B">
        <w:t>Wsparcie udzielane będzie przy zachowaniu za zasady „Nie wyrządzaj znaczących szkód” (DNSH) określonej w Wytycznych technicznych DNSH (2021/C58/01). W szczególności polityka inwestycyjna wyklucza spółki skupiające się głównie w następujących sektorach: (i) produkcja energii w oparciu o paliwa kopalne i działalność z nią powiązana; (ii) gałęzie przemysłu energochłonne i/lub emitujące dużą ilość CO2; (iii) produkcja, wynajem lub sprzedaż pojazdów zanieczyszczających środowisko; (iv) zbieranie, przetwarzanie i unieszkodliwianie odpadów, (v) przetwarzanie paliwa jądrowego, wytwarzanie energii jądrowej. Ponadto polityka inwestycyjna wymaga zgodności z odpowiednimi przepisami unijnymi i krajowymi dotyczącymi ochrony środowiska beneficjentów końcowych Instrumentu.</w:t>
      </w:r>
    </w:p>
    <w:p w14:paraId="0FB579BB" w14:textId="77777777" w:rsidR="002522AD" w:rsidRPr="00E0193B" w:rsidRDefault="002522AD" w:rsidP="002522AD">
      <w:pPr>
        <w:rPr>
          <w:b/>
          <w:bCs/>
        </w:rPr>
      </w:pPr>
      <w:r w:rsidRPr="00E0193B">
        <w:rPr>
          <w:b/>
          <w:bCs/>
        </w:rPr>
        <w:t xml:space="preserve">Populacja docelowa: </w:t>
      </w:r>
    </w:p>
    <w:p w14:paraId="400BB5AD" w14:textId="77777777" w:rsidR="002522AD" w:rsidRPr="00E0193B" w:rsidRDefault="002522AD" w:rsidP="002522AD">
      <w:r w:rsidRPr="00E0193B">
        <w:t xml:space="preserve">Wsparcie zostanie skierowane do osób fizycznych. </w:t>
      </w:r>
    </w:p>
    <w:p w14:paraId="1C459746" w14:textId="77777777" w:rsidR="002522AD" w:rsidRPr="00E0193B" w:rsidRDefault="002522AD" w:rsidP="002522AD">
      <w:pPr>
        <w:rPr>
          <w:b/>
          <w:bCs/>
        </w:rPr>
      </w:pPr>
      <w:r w:rsidRPr="00E0193B">
        <w:rPr>
          <w:b/>
          <w:bCs/>
        </w:rPr>
        <w:t xml:space="preserve">Pomoc publiczna:  </w:t>
      </w:r>
    </w:p>
    <w:p w14:paraId="34C921B6" w14:textId="77777777" w:rsidR="002522AD" w:rsidRPr="00E0193B" w:rsidRDefault="002522AD" w:rsidP="002522AD">
      <w:r w:rsidRPr="00E0193B">
        <w:lastRenderedPageBreak/>
        <w:t xml:space="preserve">Mając na uwadze populację docelową nie występuje pomoc publiczna. </w:t>
      </w:r>
    </w:p>
    <w:p w14:paraId="231F0F52" w14:textId="77777777" w:rsidR="002522AD" w:rsidRPr="00E0193B" w:rsidRDefault="002522AD" w:rsidP="002522AD">
      <w:pPr>
        <w:rPr>
          <w:b/>
          <w:bCs/>
        </w:rPr>
      </w:pPr>
      <w:r w:rsidRPr="00E0193B">
        <w:rPr>
          <w:b/>
        </w:rPr>
        <w:t>Zakres czasowy:</w:t>
      </w:r>
      <w:r w:rsidRPr="00E0193B">
        <w:rPr>
          <w:bCs/>
        </w:rPr>
        <w:t xml:space="preserve">  </w:t>
      </w:r>
      <w:r w:rsidRPr="00E0193B">
        <w:t>IV kw. 2024 r.  – II kw. 2026 r.</w:t>
      </w:r>
    </w:p>
    <w:p w14:paraId="799B8C36" w14:textId="3525B9E4" w:rsidR="002522AD" w:rsidRPr="00E0193B" w:rsidRDefault="002522AD" w:rsidP="002522AD">
      <w:pPr>
        <w:rPr>
          <w:bCs/>
        </w:rPr>
      </w:pPr>
      <w:r w:rsidRPr="00E0193B">
        <w:rPr>
          <w:b/>
          <w:bCs/>
        </w:rPr>
        <w:t>Koszty/koszt jednostkowy/sposób szacowania:</w:t>
      </w:r>
      <w:r w:rsidRPr="00E0193B">
        <w:t xml:space="preserve"> 373</w:t>
      </w:r>
      <w:r w:rsidR="00CB563D" w:rsidRPr="00E0193B">
        <w:t> 750 000</w:t>
      </w:r>
      <w:r w:rsidRPr="00E0193B">
        <w:t xml:space="preserve"> euro</w:t>
      </w:r>
    </w:p>
    <w:p w14:paraId="5F5EE223" w14:textId="76152B8D" w:rsidR="002522AD" w:rsidRPr="00E0193B" w:rsidRDefault="002522AD" w:rsidP="002522AD">
      <w:r w:rsidRPr="00E0193B">
        <w:t xml:space="preserve">Przy maksymalnym rozważanym poziomie wsparcia tj. 40 tys. złotych przy zakładanym budżecie </w:t>
      </w:r>
      <w:r w:rsidR="0052453D" w:rsidRPr="00E0193B">
        <w:t>373</w:t>
      </w:r>
      <w:r w:rsidR="00CB563D" w:rsidRPr="00E0193B">
        <w:t xml:space="preserve"> 750</w:t>
      </w:r>
      <w:r w:rsidRPr="00E0193B">
        <w:t xml:space="preserve"> </w:t>
      </w:r>
      <w:r w:rsidR="00CB563D" w:rsidRPr="00E0193B">
        <w:t>000</w:t>
      </w:r>
      <w:r w:rsidRPr="00E0193B">
        <w:t xml:space="preserve"> </w:t>
      </w:r>
      <w:r w:rsidR="00D35471" w:rsidRPr="00E0193B">
        <w:t>euro</w:t>
      </w:r>
      <w:r w:rsidRPr="00E0193B">
        <w:t xml:space="preserve"> możliwe będzie </w:t>
      </w:r>
      <w:r w:rsidR="009449A7">
        <w:t xml:space="preserve">zawarcie </w:t>
      </w:r>
      <w:r w:rsidRPr="00E0193B">
        <w:t xml:space="preserve">ok. </w:t>
      </w:r>
      <w:r w:rsidR="00D239AE" w:rsidRPr="00E0193B">
        <w:t>4</w:t>
      </w:r>
      <w:r w:rsidR="009449A7">
        <w:t>0</w:t>
      </w:r>
      <w:r w:rsidRPr="00E0193B">
        <w:t xml:space="preserve"> tys. </w:t>
      </w:r>
      <w:r w:rsidR="009449A7">
        <w:t>umów</w:t>
      </w:r>
      <w:r w:rsidRPr="00E0193B">
        <w:t xml:space="preserve">. </w:t>
      </w:r>
    </w:p>
    <w:p w14:paraId="56162F8E" w14:textId="77777777" w:rsidR="002522AD" w:rsidRPr="00E0193B" w:rsidRDefault="002522AD" w:rsidP="002522AD">
      <w:pPr>
        <w:rPr>
          <w:b/>
          <w:bCs/>
          <w:i/>
        </w:rPr>
      </w:pPr>
      <w:r w:rsidRPr="00E0193B">
        <w:rPr>
          <w:b/>
          <w:bCs/>
        </w:rPr>
        <w:t>Demarkacja innymi źródłami finansowania:</w:t>
      </w:r>
      <w:r w:rsidRPr="00E0193B">
        <w:rPr>
          <w:b/>
          <w:bCs/>
          <w:i/>
        </w:rPr>
        <w:t xml:space="preserve"> </w:t>
      </w:r>
    </w:p>
    <w:p w14:paraId="2C2B486F" w14:textId="77777777" w:rsidR="002522AD" w:rsidRPr="00E0193B" w:rsidRDefault="002522AD" w:rsidP="002522AD">
      <w:r w:rsidRPr="00E0193B">
        <w:t xml:space="preserve">Ze środków Krajowego Planu Odbudowy i Zwiększenia Odporności będzie udzielane finansowanie w formie dotacji na zakup, leasing, wynajem długoterminowy pojazdów zeroemisyjnych dla osób fizycznych. W przypadku pojazdów nowych wsparcie udzielane będzie na leasing i wynajem długoterminowy. W przypadku pojazdów używanych wsparcie udzielane będzie na leasing i wynajem długoterminowy oraz zakup takich pojazdów.  </w:t>
      </w:r>
    </w:p>
    <w:p w14:paraId="138688BE" w14:textId="77777777" w:rsidR="002522AD" w:rsidRPr="00E0193B" w:rsidRDefault="002522AD" w:rsidP="002522AD">
      <w:pPr>
        <w:rPr>
          <w:b/>
          <w:bCs/>
        </w:rPr>
      </w:pPr>
      <w:r w:rsidRPr="00E0193B">
        <w:rPr>
          <w:b/>
          <w:bCs/>
        </w:rPr>
        <w:t xml:space="preserve">Wskaźniki: </w:t>
      </w:r>
    </w:p>
    <w:p w14:paraId="2B38A044" w14:textId="77777777" w:rsidR="002522AD" w:rsidRPr="00E0193B" w:rsidRDefault="002522AD" w:rsidP="002522AD">
      <w:r w:rsidRPr="00E0193B">
        <w:t xml:space="preserve">- Uruchomienie przez NFOŚiGW naboru dla osób fizycznych na wsparcie zakupu, wynajmu, leasingu nowych i używanych pojazdów zeroemisyjnych – IV kwartał 2024 r. </w:t>
      </w:r>
    </w:p>
    <w:p w14:paraId="77929634" w14:textId="14B7C71E" w:rsidR="002522AD" w:rsidRPr="00E0193B" w:rsidRDefault="002522AD" w:rsidP="002522AD">
      <w:r w:rsidRPr="00E0193B">
        <w:t xml:space="preserve">- Podpisanie </w:t>
      </w:r>
      <w:r w:rsidR="009449A7">
        <w:t>40</w:t>
      </w:r>
      <w:r w:rsidRPr="00E0193B">
        <w:t xml:space="preserve"> tys. umów z osobami fizycznymi na wsparcie zakupu/wynajmu/leasingu nowych i używanych pojazdów zeroemisyjnych - II kw. 2026 r.</w:t>
      </w:r>
    </w:p>
    <w:p w14:paraId="00ABFD08" w14:textId="6BE2E6D2" w:rsidR="00FA1C1B" w:rsidRDefault="00FA1C1B" w:rsidP="002522AD"/>
    <w:p w14:paraId="7ABDE5F8" w14:textId="622C59A5" w:rsidR="00E0193B" w:rsidRDefault="00E0193B" w:rsidP="002522AD"/>
    <w:p w14:paraId="5A780733" w14:textId="404039D4" w:rsidR="00E0193B" w:rsidRDefault="00E0193B" w:rsidP="002522AD"/>
    <w:p w14:paraId="7AF761CA" w14:textId="3D783CAB" w:rsidR="00E0193B" w:rsidRDefault="00E0193B" w:rsidP="002522AD"/>
    <w:p w14:paraId="48BC3C12" w14:textId="77777777" w:rsidR="00E0193B" w:rsidRPr="00E0193B" w:rsidRDefault="00E0193B" w:rsidP="002522AD"/>
    <w:p w14:paraId="617B6032" w14:textId="78408155" w:rsidR="00AE74A4" w:rsidRPr="00E0193B" w:rsidRDefault="00E909EF" w:rsidP="00A1213F">
      <w:pPr>
        <w:pStyle w:val="Nagwek2"/>
        <w:numPr>
          <w:ilvl w:val="0"/>
          <w:numId w:val="27"/>
        </w:numPr>
        <w:rPr>
          <w:iCs/>
        </w:rPr>
      </w:pPr>
      <w:bookmarkStart w:id="17" w:name="_Toc165533731"/>
      <w:r w:rsidRPr="00E0193B">
        <w:t>Zmienione komponenty:</w:t>
      </w:r>
      <w:bookmarkEnd w:id="17"/>
      <w:r w:rsidRPr="00E0193B">
        <w:t xml:space="preserve"> </w:t>
      </w:r>
      <w:bookmarkStart w:id="18" w:name="_Toc49944554"/>
      <w:bookmarkStart w:id="19" w:name="_Toc61252484"/>
    </w:p>
    <w:p w14:paraId="778C07ED" w14:textId="41DDE64C" w:rsidR="00EB6F14" w:rsidRPr="00E0193B" w:rsidRDefault="0052453D" w:rsidP="00EB6F14">
      <w:pPr>
        <w:spacing w:after="120" w:line="240" w:lineRule="auto"/>
        <w:rPr>
          <w:b/>
          <w:bCs/>
        </w:rPr>
      </w:pPr>
      <w:bookmarkStart w:id="20" w:name="_Toc49944562"/>
      <w:bookmarkStart w:id="21" w:name="_Toc61252492"/>
      <w:bookmarkStart w:id="22" w:name="_Toc103250207"/>
      <w:bookmarkEnd w:id="18"/>
      <w:bookmarkEnd w:id="19"/>
      <w:r w:rsidRPr="00E0193B">
        <w:rPr>
          <w:b/>
          <w:bCs/>
        </w:rPr>
        <w:t>C</w:t>
      </w:r>
      <w:r w:rsidR="00EB6F14" w:rsidRPr="00E0193B">
        <w:rPr>
          <w:b/>
          <w:bCs/>
        </w:rPr>
        <w:t>zęść dotacyjna</w:t>
      </w:r>
    </w:p>
    <w:p w14:paraId="15B47C2E" w14:textId="160B0EAD" w:rsidR="00D94758" w:rsidRDefault="00EB6F14" w:rsidP="00E0193B">
      <w:pPr>
        <w:spacing w:after="120" w:line="240" w:lineRule="auto"/>
        <w:rPr>
          <w:b/>
          <w:bCs/>
          <w:color w:val="000000" w:themeColor="text1"/>
        </w:rPr>
      </w:pPr>
      <w:r w:rsidRPr="00E0193B">
        <w:rPr>
          <w:b/>
          <w:bCs/>
          <w:color w:val="000000" w:themeColor="text1"/>
        </w:rPr>
        <w:t>Komponent A – Odporność i konkurencyjność gospodarki</w:t>
      </w:r>
      <w:bookmarkStart w:id="23" w:name="_Hlk131502676"/>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3"/>
        <w:gridCol w:w="11"/>
        <w:gridCol w:w="3450"/>
        <w:gridCol w:w="3593"/>
        <w:gridCol w:w="51"/>
      </w:tblGrid>
      <w:tr w:rsidR="00E21495" w:rsidRPr="00E21495" w14:paraId="3B035A11" w14:textId="77777777" w:rsidTr="00E21495">
        <w:tc>
          <w:tcPr>
            <w:tcW w:w="1067" w:type="pct"/>
            <w:gridSpan w:val="2"/>
            <w:shd w:val="clear" w:color="auto" w:fill="auto"/>
          </w:tcPr>
          <w:p w14:paraId="497A68FF" w14:textId="77777777" w:rsidR="00E21495" w:rsidRPr="00FB7F70" w:rsidRDefault="00E21495" w:rsidP="00E21495">
            <w:pPr>
              <w:spacing w:after="120" w:line="240" w:lineRule="auto"/>
              <w:jc w:val="left"/>
              <w:rPr>
                <w:rFonts w:eastAsia="Calibri"/>
                <w:b/>
                <w:bCs/>
              </w:rPr>
            </w:pPr>
            <w:r w:rsidRPr="00FB7F70">
              <w:rPr>
                <w:rFonts w:eastAsia="Calibri"/>
                <w:b/>
                <w:bCs/>
              </w:rPr>
              <w:t>Numer inwestycji</w:t>
            </w:r>
          </w:p>
        </w:tc>
        <w:tc>
          <w:tcPr>
            <w:tcW w:w="3933" w:type="pct"/>
            <w:gridSpan w:val="3"/>
            <w:shd w:val="clear" w:color="auto" w:fill="auto"/>
          </w:tcPr>
          <w:p w14:paraId="781AE656" w14:textId="77777777" w:rsidR="00E21495" w:rsidRPr="00FB7F70" w:rsidRDefault="00E21495" w:rsidP="00E21495">
            <w:pPr>
              <w:spacing w:after="120"/>
              <w:ind w:left="118"/>
              <w:contextualSpacing/>
              <w:rPr>
                <w:b/>
                <w:bCs/>
              </w:rPr>
            </w:pPr>
            <w:r w:rsidRPr="00FB7F70">
              <w:rPr>
                <w:b/>
                <w:bCs/>
              </w:rPr>
              <w:t>A1.3.1.</w:t>
            </w:r>
          </w:p>
        </w:tc>
      </w:tr>
      <w:tr w:rsidR="00E21495" w:rsidRPr="00E21495" w14:paraId="701A2D74" w14:textId="77777777" w:rsidTr="00E21495">
        <w:tc>
          <w:tcPr>
            <w:tcW w:w="1067" w:type="pct"/>
            <w:gridSpan w:val="2"/>
            <w:shd w:val="clear" w:color="auto" w:fill="auto"/>
          </w:tcPr>
          <w:p w14:paraId="0AA31C84" w14:textId="77777777" w:rsidR="00E21495" w:rsidRPr="00FB7F70" w:rsidRDefault="00E21495" w:rsidP="00E21495">
            <w:pPr>
              <w:spacing w:after="120"/>
              <w:contextualSpacing/>
              <w:rPr>
                <w:b/>
                <w:bCs/>
              </w:rPr>
            </w:pPr>
            <w:r w:rsidRPr="00FB7F70">
              <w:rPr>
                <w:b/>
                <w:bCs/>
              </w:rPr>
              <w:t xml:space="preserve">Nazwa inwestycji </w:t>
            </w:r>
          </w:p>
        </w:tc>
        <w:tc>
          <w:tcPr>
            <w:tcW w:w="3933" w:type="pct"/>
            <w:gridSpan w:val="3"/>
            <w:shd w:val="clear" w:color="auto" w:fill="auto"/>
          </w:tcPr>
          <w:p w14:paraId="2E899B5E" w14:textId="77777777" w:rsidR="00E21495" w:rsidRPr="00FB7F70" w:rsidRDefault="00E21495" w:rsidP="00E21495">
            <w:pPr>
              <w:spacing w:after="120"/>
              <w:ind w:left="118"/>
              <w:contextualSpacing/>
              <w:rPr>
                <w:b/>
                <w:bCs/>
              </w:rPr>
            </w:pPr>
            <w:r w:rsidRPr="00FB7F70">
              <w:rPr>
                <w:b/>
                <w:bCs/>
              </w:rPr>
              <w:t xml:space="preserve">Wdrożenie reformy planowania i zagospodarowania przestrzennego </w:t>
            </w:r>
          </w:p>
        </w:tc>
      </w:tr>
      <w:tr w:rsidR="00E21495" w:rsidRPr="00E21495" w14:paraId="3C34A9E7" w14:textId="77777777" w:rsidTr="00E21495">
        <w:trPr>
          <w:trHeight w:val="1212"/>
        </w:trPr>
        <w:tc>
          <w:tcPr>
            <w:tcW w:w="1067" w:type="pct"/>
            <w:gridSpan w:val="2"/>
            <w:shd w:val="clear" w:color="auto" w:fill="auto"/>
          </w:tcPr>
          <w:p w14:paraId="374E9FD8" w14:textId="77777777" w:rsidR="00E21495" w:rsidRPr="00E21495" w:rsidRDefault="00E21495" w:rsidP="00E21495">
            <w:pPr>
              <w:spacing w:after="120"/>
              <w:ind w:left="67"/>
              <w:contextualSpacing/>
            </w:pPr>
            <w:r w:rsidRPr="00E21495">
              <w:t>Rodzaj wprowadzonej zmiany w odniesieniu do CID</w:t>
            </w:r>
          </w:p>
        </w:tc>
        <w:tc>
          <w:tcPr>
            <w:tcW w:w="3933" w:type="pct"/>
            <w:gridSpan w:val="3"/>
            <w:shd w:val="clear" w:color="auto" w:fill="auto"/>
          </w:tcPr>
          <w:p w14:paraId="5E57001A"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rPr>
            </w:pPr>
            <w:r w:rsidRPr="00E21495">
              <w:rPr>
                <w:rFonts w:eastAsia="Calibri"/>
              </w:rPr>
              <w:t>Modyfikacja nazwy i opisu wskaźnika A16G i A17G.</w:t>
            </w:r>
          </w:p>
          <w:p w14:paraId="4AABCF18"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rPr>
            </w:pPr>
          </w:p>
        </w:tc>
      </w:tr>
      <w:tr w:rsidR="00E21495" w:rsidRPr="00E21495" w14:paraId="0CB35B28" w14:textId="77777777" w:rsidTr="00E21495">
        <w:tc>
          <w:tcPr>
            <w:tcW w:w="1067" w:type="pct"/>
            <w:gridSpan w:val="2"/>
            <w:shd w:val="clear" w:color="auto" w:fill="auto"/>
          </w:tcPr>
          <w:p w14:paraId="4B66E91F" w14:textId="77777777" w:rsidR="00E21495" w:rsidRPr="00E21495" w:rsidRDefault="00E21495" w:rsidP="00E21495">
            <w:pPr>
              <w:spacing w:after="120"/>
              <w:contextualSpacing/>
            </w:pPr>
            <w:r w:rsidRPr="00E21495">
              <w:t>Podstawa prawna zmiany</w:t>
            </w:r>
          </w:p>
        </w:tc>
        <w:tc>
          <w:tcPr>
            <w:tcW w:w="3933" w:type="pct"/>
            <w:gridSpan w:val="3"/>
            <w:shd w:val="clear" w:color="auto" w:fill="auto"/>
          </w:tcPr>
          <w:p w14:paraId="460A1ACF" w14:textId="77777777" w:rsidR="00E21495" w:rsidRPr="00E21495" w:rsidRDefault="00E21495" w:rsidP="00E21495">
            <w:pPr>
              <w:contextualSpacing/>
            </w:pPr>
            <w:r w:rsidRPr="00E21495">
              <w:t xml:space="preserve">art. 21 rozporządzenia Parlamentu Europejskiego i Rady (UE) 2021/241 z dnia 12 lutego 2021 r. ustanawiającego Instrument na rzecz Odbudowy </w:t>
            </w:r>
            <w:r w:rsidRPr="00E21495">
              <w:br/>
              <w:t xml:space="preserve">i Zwiększania Odporności </w:t>
            </w:r>
          </w:p>
        </w:tc>
      </w:tr>
      <w:tr w:rsidR="00E21495" w:rsidRPr="00E21495" w14:paraId="396610AE" w14:textId="77777777" w:rsidTr="00FB7F70">
        <w:tc>
          <w:tcPr>
            <w:tcW w:w="1067" w:type="pct"/>
            <w:gridSpan w:val="2"/>
            <w:shd w:val="clear" w:color="auto" w:fill="D9D9D9"/>
          </w:tcPr>
          <w:p w14:paraId="57BCCCD8" w14:textId="77777777" w:rsidR="00E21495" w:rsidRPr="00E21495" w:rsidRDefault="00E21495" w:rsidP="00E21495">
            <w:pPr>
              <w:spacing w:after="120" w:line="240" w:lineRule="auto"/>
              <w:jc w:val="left"/>
              <w:rPr>
                <w:rFonts w:eastAsia="Calibri"/>
              </w:rPr>
            </w:pPr>
            <w:r w:rsidRPr="00E21495">
              <w:rPr>
                <w:rFonts w:eastAsia="Calibri"/>
              </w:rPr>
              <w:t>Modyfikowany element</w:t>
            </w:r>
          </w:p>
        </w:tc>
        <w:tc>
          <w:tcPr>
            <w:tcW w:w="1912" w:type="pct"/>
            <w:shd w:val="clear" w:color="auto" w:fill="D9D9D9"/>
          </w:tcPr>
          <w:p w14:paraId="010B66F8" w14:textId="77777777" w:rsidR="00E21495" w:rsidRPr="00E21495" w:rsidRDefault="00E21495" w:rsidP="00E21495">
            <w:pPr>
              <w:spacing w:after="120" w:line="240" w:lineRule="auto"/>
              <w:jc w:val="center"/>
              <w:rPr>
                <w:rFonts w:eastAsia="Calibri"/>
              </w:rPr>
            </w:pPr>
            <w:r w:rsidRPr="00E21495">
              <w:rPr>
                <w:rFonts w:eastAsia="Calibri"/>
              </w:rPr>
              <w:t>Wersja aktualna</w:t>
            </w:r>
          </w:p>
        </w:tc>
        <w:tc>
          <w:tcPr>
            <w:tcW w:w="2020" w:type="pct"/>
            <w:gridSpan w:val="2"/>
            <w:shd w:val="clear" w:color="auto" w:fill="D9D9D9"/>
          </w:tcPr>
          <w:p w14:paraId="2D79EC2C" w14:textId="77777777" w:rsidR="00E21495" w:rsidRPr="00E21495" w:rsidRDefault="00E21495" w:rsidP="00E21495">
            <w:pPr>
              <w:spacing w:after="120" w:line="240" w:lineRule="auto"/>
              <w:jc w:val="center"/>
              <w:rPr>
                <w:rFonts w:eastAsia="Calibri"/>
              </w:rPr>
            </w:pPr>
            <w:r w:rsidRPr="00E21495">
              <w:rPr>
                <w:rFonts w:eastAsia="Calibri"/>
              </w:rPr>
              <w:t>Wersja zmieniona</w:t>
            </w:r>
          </w:p>
        </w:tc>
      </w:tr>
      <w:tr w:rsidR="00E21495" w:rsidRPr="00E21495" w14:paraId="59B8F9C7" w14:textId="77777777" w:rsidTr="00FB7F70">
        <w:tc>
          <w:tcPr>
            <w:tcW w:w="1067" w:type="pct"/>
            <w:gridSpan w:val="2"/>
            <w:vMerge w:val="restart"/>
          </w:tcPr>
          <w:p w14:paraId="1B9AA723" w14:textId="77777777" w:rsidR="00E21495" w:rsidRPr="00E21495" w:rsidRDefault="00E21495" w:rsidP="00E21495">
            <w:pPr>
              <w:spacing w:after="120" w:line="240" w:lineRule="auto"/>
              <w:jc w:val="left"/>
              <w:rPr>
                <w:rFonts w:eastAsia="Calibri"/>
              </w:rPr>
            </w:pPr>
            <w:r w:rsidRPr="00E21495">
              <w:rPr>
                <w:rFonts w:eastAsia="Calibri"/>
              </w:rPr>
              <w:t>Opis kamienia milowego lub wskaźnika.</w:t>
            </w:r>
          </w:p>
        </w:tc>
        <w:tc>
          <w:tcPr>
            <w:tcW w:w="1912" w:type="pct"/>
          </w:tcPr>
          <w:p w14:paraId="170AA343"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rPr>
            </w:pPr>
            <w:r w:rsidRPr="00E21495">
              <w:rPr>
                <w:rFonts w:eastAsia="Calibri"/>
              </w:rPr>
              <w:t xml:space="preserve">A16G </w:t>
            </w:r>
          </w:p>
          <w:p w14:paraId="0E260800"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rPr>
            </w:pPr>
            <w:r w:rsidRPr="00E21495">
              <w:rPr>
                <w:rFonts w:eastAsia="Calibri"/>
              </w:rPr>
              <w:t>O</w:t>
            </w:r>
            <w:r w:rsidRPr="00E21495">
              <w:rPr>
                <w:rFonts w:eastAsia="Calibri"/>
                <w:color w:val="202124"/>
              </w:rPr>
              <w:t>dsetek gmin, które przyjęły ogólne plany zagospodarowania przestrzennego</w:t>
            </w:r>
          </w:p>
          <w:p w14:paraId="640DA67D"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rPr>
            </w:pPr>
          </w:p>
          <w:p w14:paraId="7AB8F5FA"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rPr>
            </w:pPr>
            <w:r w:rsidRPr="00E21495">
              <w:rPr>
                <w:rFonts w:eastAsia="Calibri"/>
                <w:color w:val="202124"/>
              </w:rPr>
              <w:t>Opis każdego kamienia milowego i każdej wartości docelowej: co najmniej 10% gmin przygotowało i przyjęło ogólny plan zagospodarowania przestrzennego, zgodnie z wymogami nowego prawa określonego w kamieniu milowym A12G</w:t>
            </w:r>
          </w:p>
          <w:p w14:paraId="24C17F98"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rPr>
            </w:pPr>
          </w:p>
        </w:tc>
        <w:tc>
          <w:tcPr>
            <w:tcW w:w="2020" w:type="pct"/>
            <w:gridSpan w:val="2"/>
          </w:tcPr>
          <w:p w14:paraId="2E48A2CB"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rPr>
            </w:pPr>
            <w:r w:rsidRPr="00E21495">
              <w:rPr>
                <w:rFonts w:eastAsia="Calibri"/>
              </w:rPr>
              <w:t xml:space="preserve">A16G </w:t>
            </w:r>
          </w:p>
          <w:p w14:paraId="3399FE8B"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FF0000"/>
              </w:rPr>
            </w:pPr>
            <w:r w:rsidRPr="00E21495">
              <w:rPr>
                <w:rFonts w:eastAsia="Calibri"/>
              </w:rPr>
              <w:t>O</w:t>
            </w:r>
            <w:r w:rsidRPr="00E21495">
              <w:rPr>
                <w:rFonts w:eastAsia="Calibri"/>
                <w:color w:val="202124"/>
              </w:rPr>
              <w:t xml:space="preserve">dsetek gmin, które </w:t>
            </w:r>
            <w:r w:rsidRPr="00E21495">
              <w:rPr>
                <w:rFonts w:eastAsia="Calibri"/>
                <w:color w:val="FF0000"/>
              </w:rPr>
              <w:t>rozpoczęły proces</w:t>
            </w:r>
            <w:r w:rsidRPr="00E21495">
              <w:rPr>
                <w:rFonts w:eastAsia="Calibri"/>
              </w:rPr>
              <w:t xml:space="preserve"> </w:t>
            </w:r>
            <w:r w:rsidRPr="00E21495">
              <w:rPr>
                <w:rFonts w:eastAsia="Calibri"/>
                <w:color w:val="FF0000"/>
              </w:rPr>
              <w:t>przygotowania planów</w:t>
            </w:r>
          </w:p>
          <w:p w14:paraId="35C6E833"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rPr>
            </w:pPr>
            <w:r w:rsidRPr="00E21495">
              <w:rPr>
                <w:rFonts w:eastAsia="Calibri"/>
                <w:color w:val="FF0000"/>
              </w:rPr>
              <w:t>zagospodarowania przestrzennego.</w:t>
            </w:r>
          </w:p>
          <w:p w14:paraId="2AC6ADDE"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rPr>
            </w:pPr>
          </w:p>
          <w:p w14:paraId="2308E01D"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rPr>
            </w:pPr>
            <w:r w:rsidRPr="00E21495">
              <w:rPr>
                <w:rFonts w:eastAsia="Calibri"/>
                <w:color w:val="202124"/>
              </w:rPr>
              <w:t>Opis każdego kamienia milowego:</w:t>
            </w:r>
            <w:r w:rsidRPr="00E21495">
              <w:rPr>
                <w:rFonts w:eastAsia="Calibri"/>
              </w:rPr>
              <w:t xml:space="preserve"> 50% gmin rozpoczęło proces przygotowania planów</w:t>
            </w:r>
          </w:p>
          <w:p w14:paraId="268A706F"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rPr>
            </w:pPr>
            <w:r w:rsidRPr="00E21495">
              <w:rPr>
                <w:rFonts w:eastAsia="Calibri"/>
              </w:rPr>
              <w:t>zagospodarowania przestrzennego,</w:t>
            </w:r>
          </w:p>
          <w:p w14:paraId="28081922"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rPr>
            </w:pPr>
            <w:r w:rsidRPr="00E21495">
              <w:rPr>
                <w:rFonts w:eastAsia="Calibri"/>
                <w:color w:val="202124"/>
              </w:rPr>
              <w:t xml:space="preserve"> zgodnie z wymogami nowego prawa określonego w kamieniu milowym A12G (zarejestrowanie w Ewidencji zbiorów i usług danych przestrzennych)</w:t>
            </w:r>
          </w:p>
        </w:tc>
      </w:tr>
      <w:tr w:rsidR="00E21495" w:rsidRPr="00935797" w14:paraId="63E9D65F" w14:textId="77777777" w:rsidTr="00FB7F70">
        <w:tc>
          <w:tcPr>
            <w:tcW w:w="1067" w:type="pct"/>
            <w:gridSpan w:val="2"/>
            <w:vMerge/>
          </w:tcPr>
          <w:p w14:paraId="28532BA0" w14:textId="77777777" w:rsidR="00E21495" w:rsidRPr="00E21495" w:rsidRDefault="00E21495" w:rsidP="00E21495">
            <w:pPr>
              <w:spacing w:after="120" w:line="240" w:lineRule="auto"/>
              <w:jc w:val="left"/>
              <w:rPr>
                <w:rFonts w:eastAsia="Calibri"/>
              </w:rPr>
            </w:pPr>
          </w:p>
        </w:tc>
        <w:tc>
          <w:tcPr>
            <w:tcW w:w="1912" w:type="pct"/>
          </w:tcPr>
          <w:p w14:paraId="19BD54EC"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lang w:val="en-US"/>
              </w:rPr>
            </w:pPr>
            <w:r w:rsidRPr="00E21495">
              <w:rPr>
                <w:rFonts w:eastAsia="Calibri"/>
                <w:color w:val="202124"/>
                <w:lang w:val="en-US"/>
              </w:rPr>
              <w:t xml:space="preserve">A16G </w:t>
            </w:r>
          </w:p>
          <w:p w14:paraId="0F6F9344"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lang w:val="en-US"/>
              </w:rPr>
            </w:pPr>
            <w:r w:rsidRPr="00E21495">
              <w:rPr>
                <w:rFonts w:eastAsia="Calibri"/>
                <w:color w:val="202124"/>
                <w:lang w:val="en-US"/>
              </w:rPr>
              <w:t>Share of municipalities that adopted general spatial development plans</w:t>
            </w:r>
          </w:p>
          <w:p w14:paraId="46714DA7"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lang w:val="en-US"/>
              </w:rPr>
            </w:pPr>
          </w:p>
          <w:p w14:paraId="03BCD11E"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lang w:val="en-US"/>
              </w:rPr>
            </w:pPr>
            <w:r w:rsidRPr="00E21495">
              <w:rPr>
                <w:rFonts w:eastAsia="Calibri"/>
                <w:color w:val="202124"/>
                <w:lang w:val="en-US"/>
              </w:rPr>
              <w:t>At least 10% of municipalities have prepared and adopted a general spatial development plan, as required by the new law set out in milestone A12G.</w:t>
            </w:r>
          </w:p>
        </w:tc>
        <w:tc>
          <w:tcPr>
            <w:tcW w:w="2020" w:type="pct"/>
            <w:gridSpan w:val="2"/>
          </w:tcPr>
          <w:p w14:paraId="7DAF3061"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lang w:val="en-US"/>
              </w:rPr>
            </w:pPr>
            <w:r w:rsidRPr="00E21495">
              <w:rPr>
                <w:rFonts w:eastAsia="Calibri"/>
                <w:color w:val="202124"/>
                <w:lang w:val="en-US"/>
              </w:rPr>
              <w:t xml:space="preserve">A16G </w:t>
            </w:r>
          </w:p>
          <w:p w14:paraId="44DFFA31"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FF0000"/>
                <w:lang w:val="en-US"/>
              </w:rPr>
            </w:pPr>
            <w:r w:rsidRPr="00E21495">
              <w:rPr>
                <w:rFonts w:eastAsia="Calibri"/>
                <w:color w:val="202124"/>
                <w:lang w:val="en-US"/>
              </w:rPr>
              <w:t xml:space="preserve">Share of municipalities that </w:t>
            </w:r>
            <w:r w:rsidRPr="00E21495">
              <w:rPr>
                <w:rFonts w:eastAsia="Calibri"/>
                <w:color w:val="FF0000"/>
                <w:lang w:val="en-US"/>
              </w:rPr>
              <w:t>have started the process of preparing general spatial development plans.</w:t>
            </w:r>
          </w:p>
          <w:p w14:paraId="5F8DF481"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lang w:val="en-US"/>
              </w:rPr>
            </w:pPr>
            <w:r w:rsidRPr="00E21495">
              <w:rPr>
                <w:rFonts w:eastAsia="Calibri"/>
                <w:color w:val="202124"/>
                <w:lang w:val="en-US"/>
              </w:rPr>
              <w:t>50% of municipalities have started the process of preparing general spatial development plans</w:t>
            </w:r>
            <w:r w:rsidRPr="00E21495" w:rsidDel="00D30A48">
              <w:rPr>
                <w:rFonts w:eastAsia="Calibri"/>
                <w:color w:val="202124"/>
                <w:lang w:val="en-US"/>
              </w:rPr>
              <w:t xml:space="preserve"> </w:t>
            </w:r>
            <w:r w:rsidRPr="00E21495">
              <w:rPr>
                <w:rFonts w:eastAsia="Calibri"/>
                <w:color w:val="202124"/>
                <w:lang w:val="en-US"/>
              </w:rPr>
              <w:t>as required by the new law set out in milestone A12G (registration in the Register of spatial data sets and services)</w:t>
            </w:r>
          </w:p>
        </w:tc>
      </w:tr>
      <w:tr w:rsidR="00E21495" w:rsidRPr="00E21495" w14:paraId="52876209" w14:textId="77777777" w:rsidTr="00FB7F70">
        <w:tc>
          <w:tcPr>
            <w:tcW w:w="1067" w:type="pct"/>
            <w:gridSpan w:val="2"/>
          </w:tcPr>
          <w:p w14:paraId="1CD1EEBA" w14:textId="77777777" w:rsidR="00E21495" w:rsidRPr="00E21495" w:rsidRDefault="00E21495" w:rsidP="00E21495">
            <w:pPr>
              <w:spacing w:after="120" w:line="240" w:lineRule="auto"/>
              <w:jc w:val="left"/>
              <w:rPr>
                <w:rFonts w:eastAsia="Calibri"/>
                <w:lang w:val="en-GB"/>
              </w:rPr>
            </w:pPr>
          </w:p>
        </w:tc>
        <w:tc>
          <w:tcPr>
            <w:tcW w:w="1912" w:type="pct"/>
          </w:tcPr>
          <w:p w14:paraId="3CC024D8"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rPr>
            </w:pPr>
            <w:r w:rsidRPr="00E21495">
              <w:rPr>
                <w:rFonts w:eastAsia="Calibri"/>
                <w:color w:val="202124"/>
              </w:rPr>
              <w:t xml:space="preserve">A17G </w:t>
            </w:r>
          </w:p>
          <w:p w14:paraId="3252530D"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rPr>
            </w:pPr>
            <w:r w:rsidRPr="00E21495">
              <w:rPr>
                <w:rFonts w:eastAsia="Calibri"/>
                <w:color w:val="202124"/>
              </w:rPr>
              <w:t>Odsetek gmin, które przyjęły ogólne plany zagospodarowania przestrzennego</w:t>
            </w:r>
          </w:p>
          <w:p w14:paraId="1B48F8BC"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rPr>
            </w:pPr>
          </w:p>
          <w:p w14:paraId="5F57A364"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rPr>
            </w:pPr>
            <w:r w:rsidRPr="00E21495">
              <w:rPr>
                <w:rFonts w:eastAsia="Calibri"/>
                <w:color w:val="202124"/>
              </w:rPr>
              <w:t xml:space="preserve">Opis każdego kamienia milowego i każdej wartości docelowej: 80% gmin przygotowało i przyjęło ogólny plan zagospodarowania przestrzennego, zgodnie z wymogami </w:t>
            </w:r>
            <w:r w:rsidRPr="00E21495">
              <w:rPr>
                <w:rFonts w:eastAsia="Calibri"/>
                <w:color w:val="202124"/>
              </w:rPr>
              <w:lastRenderedPageBreak/>
              <w:t>nowego prawa określonego w kamieniu milowym A12G</w:t>
            </w:r>
          </w:p>
          <w:p w14:paraId="40241B67"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rPr>
            </w:pPr>
          </w:p>
        </w:tc>
        <w:tc>
          <w:tcPr>
            <w:tcW w:w="2020" w:type="pct"/>
            <w:gridSpan w:val="2"/>
          </w:tcPr>
          <w:p w14:paraId="443C23B9" w14:textId="77777777" w:rsidR="00E21495" w:rsidRPr="00FB7F70"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rPr>
            </w:pPr>
            <w:r w:rsidRPr="00FB7F70">
              <w:rPr>
                <w:rFonts w:eastAsia="Calibri"/>
              </w:rPr>
              <w:lastRenderedPageBreak/>
              <w:t>A17G</w:t>
            </w:r>
          </w:p>
          <w:p w14:paraId="1C06C10F" w14:textId="77777777" w:rsidR="00FB7F70" w:rsidRPr="00FB7F70" w:rsidRDefault="00FB7F70" w:rsidP="00FB7F7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rPr>
            </w:pPr>
            <w:r w:rsidRPr="00FB7F70">
              <w:rPr>
                <w:rFonts w:eastAsia="Calibri"/>
              </w:rPr>
              <w:t>Odsetek gmin, które przyjęły ogólne plany zagospodarowania przestrzennego</w:t>
            </w:r>
          </w:p>
          <w:p w14:paraId="4A290D61" w14:textId="77777777" w:rsidR="00FB7F70" w:rsidRPr="00E21495" w:rsidRDefault="00FB7F70" w:rsidP="00FB7F7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i/>
                <w:iCs/>
                <w:color w:val="FF0000"/>
              </w:rPr>
            </w:pPr>
          </w:p>
          <w:p w14:paraId="2D4F33EA" w14:textId="23F30D2B" w:rsidR="00E21495" w:rsidRPr="00E21495" w:rsidRDefault="00FB7F70" w:rsidP="00FB7F7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FF0000"/>
              </w:rPr>
            </w:pPr>
            <w:r w:rsidRPr="00FB7F70">
              <w:rPr>
                <w:rFonts w:eastAsia="Calibri"/>
              </w:rPr>
              <w:t xml:space="preserve">Opis każdego kamienia milowego i każdej wartości docelowej: </w:t>
            </w:r>
            <w:r w:rsidRPr="00E21495">
              <w:rPr>
                <w:rFonts w:eastAsia="Calibri"/>
                <w:color w:val="FF0000"/>
              </w:rPr>
              <w:t xml:space="preserve">30% </w:t>
            </w:r>
            <w:r w:rsidRPr="00FB7F70">
              <w:rPr>
                <w:rFonts w:eastAsia="Calibri"/>
              </w:rPr>
              <w:t xml:space="preserve">gmin przygotowało i przyjęło ogólny plan zagospodarowania </w:t>
            </w:r>
            <w:r w:rsidRPr="00FB7F70">
              <w:rPr>
                <w:rFonts w:eastAsia="Calibri"/>
              </w:rPr>
              <w:lastRenderedPageBreak/>
              <w:t>przestrzennego, zgodnie z wymogami nowego prawa określonego w kamieniu milowym A12G</w:t>
            </w:r>
          </w:p>
        </w:tc>
      </w:tr>
      <w:tr w:rsidR="00E21495" w:rsidRPr="00935797" w14:paraId="62B6B9B1" w14:textId="77777777" w:rsidTr="00FB7F70">
        <w:trPr>
          <w:gridAfter w:val="1"/>
          <w:wAfter w:w="28" w:type="pct"/>
        </w:trPr>
        <w:tc>
          <w:tcPr>
            <w:tcW w:w="1061" w:type="pct"/>
          </w:tcPr>
          <w:p w14:paraId="2EC8DECB" w14:textId="77777777" w:rsidR="00E21495" w:rsidRPr="00E21495" w:rsidRDefault="00E21495" w:rsidP="00E21495">
            <w:pPr>
              <w:spacing w:after="120" w:line="240" w:lineRule="auto"/>
              <w:jc w:val="left"/>
              <w:rPr>
                <w:rFonts w:eastAsia="Calibri"/>
              </w:rPr>
            </w:pPr>
          </w:p>
        </w:tc>
        <w:tc>
          <w:tcPr>
            <w:tcW w:w="1919" w:type="pct"/>
            <w:gridSpan w:val="2"/>
          </w:tcPr>
          <w:p w14:paraId="6B17DE52"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lang w:val="en-US"/>
              </w:rPr>
            </w:pPr>
            <w:r w:rsidRPr="00E21495">
              <w:rPr>
                <w:rFonts w:eastAsia="Calibri"/>
                <w:color w:val="202124"/>
                <w:lang w:val="en-US"/>
              </w:rPr>
              <w:t xml:space="preserve">A17G </w:t>
            </w:r>
          </w:p>
          <w:p w14:paraId="0DB8E20F"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lang w:val="en-US"/>
              </w:rPr>
            </w:pPr>
            <w:r w:rsidRPr="00E21495">
              <w:rPr>
                <w:rFonts w:eastAsia="Calibri"/>
                <w:color w:val="202124"/>
                <w:lang w:val="en-US"/>
              </w:rPr>
              <w:t>Share of municipalities that adopted general spatial development plans</w:t>
            </w:r>
          </w:p>
          <w:p w14:paraId="08C50D14"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lang w:val="en-US"/>
              </w:rPr>
            </w:pPr>
          </w:p>
          <w:p w14:paraId="0A937184"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lang w:val="en-US"/>
              </w:rPr>
            </w:pPr>
            <w:r w:rsidRPr="00E21495">
              <w:rPr>
                <w:rFonts w:eastAsia="Calibri"/>
                <w:color w:val="202124"/>
                <w:lang w:val="en-US"/>
              </w:rPr>
              <w:t xml:space="preserve">Description of each milestone and target: </w:t>
            </w:r>
          </w:p>
          <w:p w14:paraId="55767FBC"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lang w:val="en-GB"/>
              </w:rPr>
            </w:pPr>
            <w:r w:rsidRPr="00E21495">
              <w:rPr>
                <w:rFonts w:eastAsia="Calibri"/>
                <w:color w:val="202124"/>
                <w:lang w:val="en-GB"/>
              </w:rPr>
              <w:t>80% of municipalities have prepared and adopted a general spatial development plan, as required by the new law set out in milestone A12G.</w:t>
            </w:r>
          </w:p>
        </w:tc>
        <w:tc>
          <w:tcPr>
            <w:tcW w:w="1992" w:type="pct"/>
          </w:tcPr>
          <w:p w14:paraId="3E0F44A3"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lang w:val="en-US"/>
              </w:rPr>
            </w:pPr>
            <w:r w:rsidRPr="00E21495">
              <w:rPr>
                <w:rFonts w:eastAsia="Calibri"/>
                <w:color w:val="202124"/>
                <w:lang w:val="en-US"/>
              </w:rPr>
              <w:t xml:space="preserve">A17G </w:t>
            </w:r>
          </w:p>
          <w:p w14:paraId="589E2841" w14:textId="77777777" w:rsidR="00FB7F70" w:rsidRPr="00FB7F70" w:rsidRDefault="00FB7F70" w:rsidP="00FB7F7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lang w:val="en-US"/>
              </w:rPr>
            </w:pPr>
            <w:r w:rsidRPr="00FB7F70">
              <w:rPr>
                <w:rFonts w:eastAsia="Calibri"/>
                <w:lang w:val="en-US"/>
              </w:rPr>
              <w:t>Share of municipalities that adopted general spatial development plans</w:t>
            </w:r>
          </w:p>
          <w:p w14:paraId="467B27C5" w14:textId="77777777" w:rsidR="00FB7F70" w:rsidRPr="00FB7F70" w:rsidRDefault="00FB7F70" w:rsidP="00FB7F7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lang w:val="en-US"/>
              </w:rPr>
            </w:pPr>
          </w:p>
          <w:p w14:paraId="1CBE0A5D" w14:textId="77777777" w:rsidR="00FB7F70" w:rsidRDefault="00FB7F70" w:rsidP="00FB7F7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lang w:val="en-US"/>
              </w:rPr>
            </w:pPr>
          </w:p>
          <w:p w14:paraId="7DB18874" w14:textId="31DA3F60" w:rsidR="00FB7F70" w:rsidRPr="00FB7F70" w:rsidRDefault="00FB7F70" w:rsidP="00FB7F7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lang w:val="en-US"/>
              </w:rPr>
            </w:pPr>
            <w:r w:rsidRPr="00FB7F70">
              <w:rPr>
                <w:rFonts w:eastAsia="Calibri"/>
                <w:lang w:val="en-US"/>
              </w:rPr>
              <w:t xml:space="preserve">Description of each milestone and target: </w:t>
            </w:r>
          </w:p>
          <w:p w14:paraId="685DAB3B" w14:textId="1ECCCCD1" w:rsidR="00FB7F70" w:rsidRDefault="00FB7F70" w:rsidP="00FB7F7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lang w:val="en-US"/>
              </w:rPr>
            </w:pPr>
            <w:r w:rsidRPr="00E21495">
              <w:rPr>
                <w:rFonts w:eastAsia="Calibri"/>
                <w:color w:val="FF0000"/>
                <w:lang w:val="en-GB"/>
              </w:rPr>
              <w:t xml:space="preserve">30% </w:t>
            </w:r>
            <w:r w:rsidRPr="00FB7F70">
              <w:rPr>
                <w:rFonts w:eastAsia="Calibri"/>
                <w:lang w:val="en-GB"/>
              </w:rPr>
              <w:t>of municipalities have prepared and adopted a general spatial development plan, as required by the new law set out in milestone A12G.</w:t>
            </w:r>
          </w:p>
          <w:p w14:paraId="2ADC5BB3" w14:textId="3C27A4D7" w:rsidR="00FB7F70" w:rsidRPr="00E21495" w:rsidRDefault="00FB7F70"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lang w:val="en-US"/>
              </w:rPr>
            </w:pPr>
          </w:p>
        </w:tc>
      </w:tr>
      <w:tr w:rsidR="00E21495" w:rsidRPr="00E21495" w14:paraId="3807B64A" w14:textId="77777777" w:rsidTr="00FB7F70">
        <w:tc>
          <w:tcPr>
            <w:tcW w:w="1067" w:type="pct"/>
            <w:gridSpan w:val="2"/>
          </w:tcPr>
          <w:p w14:paraId="16FEA913" w14:textId="77777777" w:rsidR="00E21495" w:rsidRPr="00E21495" w:rsidRDefault="00E21495" w:rsidP="00E21495">
            <w:pPr>
              <w:spacing w:after="120" w:line="240" w:lineRule="auto"/>
              <w:jc w:val="left"/>
              <w:rPr>
                <w:rFonts w:eastAsia="Calibri"/>
                <w:lang w:val="en-US"/>
              </w:rPr>
            </w:pPr>
          </w:p>
        </w:tc>
        <w:tc>
          <w:tcPr>
            <w:tcW w:w="1912" w:type="pct"/>
          </w:tcPr>
          <w:p w14:paraId="42A8F559" w14:textId="71D5BB50" w:rsidR="00E21495" w:rsidRPr="00935797"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lang w:val="en-GB"/>
              </w:rPr>
            </w:pPr>
          </w:p>
          <w:p w14:paraId="66D9410E" w14:textId="52B96A4D" w:rsidR="00E21495" w:rsidRPr="00E21495" w:rsidRDefault="00C2506C" w:rsidP="00FB7F7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rPr>
            </w:pPr>
            <w:r>
              <w:rPr>
                <w:rFonts w:eastAsia="Calibri"/>
                <w:color w:val="202124"/>
              </w:rPr>
              <w:t>Brak</w:t>
            </w:r>
          </w:p>
        </w:tc>
        <w:tc>
          <w:tcPr>
            <w:tcW w:w="2020" w:type="pct"/>
            <w:gridSpan w:val="2"/>
          </w:tcPr>
          <w:p w14:paraId="37A19B3D"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FF0000"/>
              </w:rPr>
            </w:pPr>
            <w:r w:rsidRPr="00E21495">
              <w:rPr>
                <w:rFonts w:eastAsia="Calibri"/>
                <w:color w:val="FF0000"/>
              </w:rPr>
              <w:t>A17G a (nowy)</w:t>
            </w:r>
          </w:p>
          <w:p w14:paraId="6EC6B219" w14:textId="77777777" w:rsidR="00FB7F70" w:rsidRPr="00E21495" w:rsidRDefault="00FB7F70" w:rsidP="00FB7F7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FF0000"/>
              </w:rPr>
            </w:pPr>
            <w:r w:rsidRPr="00E21495">
              <w:rPr>
                <w:rFonts w:eastAsia="Calibri"/>
              </w:rPr>
              <w:t>Odsetek gmin</w:t>
            </w:r>
            <w:r w:rsidRPr="00E21495">
              <w:rPr>
                <w:rFonts w:eastAsia="Calibri"/>
                <w:color w:val="FF0000"/>
              </w:rPr>
              <w:t>, które przygotowały i opublikowały w Biuletynie Informacji Publicznej projekt ogólnego planu zagospodarowania przestrzennego</w:t>
            </w:r>
          </w:p>
          <w:p w14:paraId="57AB696F" w14:textId="77777777" w:rsidR="00FB7F70" w:rsidRPr="00E21495" w:rsidRDefault="00FB7F70" w:rsidP="00FB7F7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i/>
                <w:iCs/>
                <w:color w:val="FF0000"/>
              </w:rPr>
            </w:pPr>
          </w:p>
          <w:p w14:paraId="175E09E5" w14:textId="77777777" w:rsidR="00E21495" w:rsidRDefault="00FB7F70" w:rsidP="00FB7F7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rPr>
            </w:pPr>
            <w:r w:rsidRPr="00E21495">
              <w:rPr>
                <w:rFonts w:eastAsia="Calibri"/>
              </w:rPr>
              <w:t xml:space="preserve">Opis każdego kamienia milowego i każdej wartości docelowej: 80% </w:t>
            </w:r>
            <w:r w:rsidRPr="00E21495">
              <w:rPr>
                <w:rFonts w:eastAsia="Calibri"/>
                <w:color w:val="FF0000"/>
              </w:rPr>
              <w:t xml:space="preserve">gmin przygotowało i opublikowało w Biuletynie Informacji Publicznej projekt ogólnego planu zagospodarowania przestrzennego, </w:t>
            </w:r>
            <w:r w:rsidRPr="00E21495">
              <w:rPr>
                <w:rFonts w:eastAsia="Calibri"/>
              </w:rPr>
              <w:t>zgodnie z wymogami nowego prawa określonego w kamieniu milowym A12G</w:t>
            </w:r>
          </w:p>
          <w:p w14:paraId="212232E8" w14:textId="20E5B662" w:rsidR="00FB7F70" w:rsidRPr="00E21495" w:rsidRDefault="00FB7F70" w:rsidP="00FB7F7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FF0000"/>
              </w:rPr>
            </w:pPr>
            <w:r>
              <w:rPr>
                <w:rFonts w:eastAsia="Calibri"/>
              </w:rPr>
              <w:t xml:space="preserve">Termin realizacji : II kw. 2026r. </w:t>
            </w:r>
          </w:p>
        </w:tc>
      </w:tr>
      <w:tr w:rsidR="00E21495" w:rsidRPr="00FB7F70" w14:paraId="7674D2C6" w14:textId="77777777" w:rsidTr="00FB7F70">
        <w:tc>
          <w:tcPr>
            <w:tcW w:w="1067" w:type="pct"/>
            <w:gridSpan w:val="2"/>
          </w:tcPr>
          <w:p w14:paraId="1AE8FDB7" w14:textId="77777777" w:rsidR="00E21495" w:rsidRPr="00E21495" w:rsidRDefault="00E21495" w:rsidP="00E21495">
            <w:pPr>
              <w:spacing w:after="120" w:line="240" w:lineRule="auto"/>
              <w:jc w:val="left"/>
              <w:rPr>
                <w:rFonts w:eastAsia="Calibri"/>
              </w:rPr>
            </w:pPr>
          </w:p>
        </w:tc>
        <w:tc>
          <w:tcPr>
            <w:tcW w:w="1912" w:type="pct"/>
          </w:tcPr>
          <w:p w14:paraId="775A1E3C" w14:textId="0A3DCE7E" w:rsidR="00E21495" w:rsidRPr="00FB7F70" w:rsidRDefault="00C2506C"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rPr>
            </w:pPr>
            <w:r>
              <w:rPr>
                <w:rFonts w:eastAsia="Calibri"/>
                <w:color w:val="202124"/>
              </w:rPr>
              <w:t>None</w:t>
            </w:r>
          </w:p>
        </w:tc>
        <w:tc>
          <w:tcPr>
            <w:tcW w:w="2020" w:type="pct"/>
            <w:gridSpan w:val="2"/>
          </w:tcPr>
          <w:p w14:paraId="5746CBF2" w14:textId="77777777" w:rsidR="00E21495" w:rsidRPr="00E21495" w:rsidRDefault="00E21495" w:rsidP="00E214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FF0000"/>
                <w:lang w:val="en-US"/>
              </w:rPr>
            </w:pPr>
            <w:r w:rsidRPr="00E21495">
              <w:rPr>
                <w:rFonts w:eastAsia="Calibri"/>
                <w:color w:val="FF0000"/>
                <w:lang w:val="en-US"/>
              </w:rPr>
              <w:t>A17G (new)</w:t>
            </w:r>
          </w:p>
          <w:p w14:paraId="032AEA8B" w14:textId="77777777" w:rsidR="00FB7F70" w:rsidRPr="00E21495" w:rsidRDefault="00FB7F70" w:rsidP="00FB7F7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FF0000"/>
                <w:lang w:val="en-US"/>
              </w:rPr>
            </w:pPr>
            <w:r w:rsidRPr="00E21495">
              <w:rPr>
                <w:rFonts w:eastAsia="Calibri"/>
                <w:color w:val="202124"/>
                <w:lang w:val="en-US"/>
              </w:rPr>
              <w:t xml:space="preserve">Share of municipalities that </w:t>
            </w:r>
            <w:r w:rsidRPr="00E21495">
              <w:rPr>
                <w:rFonts w:eastAsia="Calibri"/>
                <w:color w:val="FF0000"/>
                <w:lang w:val="en-US"/>
              </w:rPr>
              <w:t>prepared and published a draft of general spatial development plan in the Bulletin of Public Information</w:t>
            </w:r>
          </w:p>
          <w:p w14:paraId="20748448" w14:textId="77777777" w:rsidR="00FB7F70" w:rsidRPr="00E21495" w:rsidRDefault="00FB7F70" w:rsidP="00FB7F7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lang w:val="en-US"/>
              </w:rPr>
            </w:pPr>
            <w:r w:rsidRPr="00E21495">
              <w:rPr>
                <w:rFonts w:eastAsia="Calibri"/>
                <w:color w:val="202124"/>
                <w:lang w:val="en-US"/>
              </w:rPr>
              <w:t xml:space="preserve">Description of each milestone and target: </w:t>
            </w:r>
          </w:p>
          <w:p w14:paraId="3A23F14D" w14:textId="77777777" w:rsidR="00E21495" w:rsidRDefault="00FB7F70" w:rsidP="00FB7F7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lang w:val="en-GB"/>
              </w:rPr>
            </w:pPr>
            <w:r w:rsidRPr="00E21495">
              <w:rPr>
                <w:rFonts w:eastAsia="Calibri"/>
                <w:color w:val="202124"/>
                <w:lang w:val="en-GB"/>
              </w:rPr>
              <w:t xml:space="preserve">80% of municipalities have prepared and </w:t>
            </w:r>
            <w:r w:rsidRPr="00E21495">
              <w:rPr>
                <w:rFonts w:eastAsia="Calibri"/>
                <w:color w:val="FF0000"/>
                <w:lang w:val="en-US"/>
              </w:rPr>
              <w:t>published a draft of general spatial development plan in the Bulletin of Public Information,</w:t>
            </w:r>
            <w:r w:rsidRPr="00E21495">
              <w:rPr>
                <w:rFonts w:eastAsia="Calibri"/>
                <w:color w:val="202124"/>
                <w:lang w:val="en-GB"/>
              </w:rPr>
              <w:t xml:space="preserve"> as required by the new law set out in milestone A12G.</w:t>
            </w:r>
          </w:p>
          <w:p w14:paraId="0E9D3BB9" w14:textId="77777777" w:rsidR="00FB7F70" w:rsidRDefault="00FB7F70" w:rsidP="00FB7F7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lang w:val="en-GB"/>
              </w:rPr>
            </w:pPr>
          </w:p>
          <w:p w14:paraId="1DDB05A8" w14:textId="1CEC0DC1" w:rsidR="00FB7F70" w:rsidRPr="00E21495" w:rsidRDefault="00FB7F70" w:rsidP="00FB7F7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lang w:val="en-US"/>
              </w:rPr>
            </w:pPr>
            <w:r>
              <w:rPr>
                <w:rFonts w:eastAsia="Calibri"/>
                <w:color w:val="202124"/>
                <w:lang w:val="en-GB"/>
              </w:rPr>
              <w:t>Q2 2026</w:t>
            </w:r>
          </w:p>
        </w:tc>
      </w:tr>
      <w:tr w:rsidR="00E21495" w:rsidRPr="00E21495" w14:paraId="02B3F117" w14:textId="77777777" w:rsidTr="00FB7F70">
        <w:tc>
          <w:tcPr>
            <w:tcW w:w="1067" w:type="pct"/>
            <w:gridSpan w:val="2"/>
          </w:tcPr>
          <w:p w14:paraId="3A9E8D8D" w14:textId="194E1450" w:rsidR="00E21495" w:rsidRPr="00E21495" w:rsidRDefault="00E21495" w:rsidP="00E21495">
            <w:pPr>
              <w:spacing w:after="120" w:line="240" w:lineRule="auto"/>
              <w:jc w:val="left"/>
              <w:rPr>
                <w:rFonts w:eastAsia="Calibri"/>
              </w:rPr>
            </w:pPr>
            <w:r w:rsidRPr="00E21495">
              <w:rPr>
                <w:lang w:val="en-GB"/>
              </w:rPr>
              <w:br w:type="page"/>
            </w:r>
            <w:r w:rsidRPr="00E21495">
              <w:rPr>
                <w:rFonts w:eastAsia="Calibri"/>
              </w:rPr>
              <w:t>Uzasadnienie</w:t>
            </w:r>
          </w:p>
        </w:tc>
        <w:tc>
          <w:tcPr>
            <w:tcW w:w="3933" w:type="pct"/>
            <w:gridSpan w:val="3"/>
          </w:tcPr>
          <w:p w14:paraId="6FA91CFB" w14:textId="77777777" w:rsidR="00E21495" w:rsidRPr="00E21495" w:rsidRDefault="00E21495" w:rsidP="00E21495">
            <w:pPr>
              <w:spacing w:after="120"/>
              <w:contextualSpacing/>
            </w:pPr>
            <w:r w:rsidRPr="00E21495">
              <w:t>Proponowana zmiana wynika z realnej możliwości zrealizowania pierwszego z raportowanych wskaźników (do końca 2024 r.). Gminy, jako podmioty faktycznie realizujące wskaźnik informują, że nie zdążą zakończyć pełnej procedury uchwalania planu ogólnego do końca 2025 r. Proponowany wskaźnik, tj. informacja o podjęciu prac mających na celu przygotowanie planu ogólnego stanowi wyznacznik stopnia zaawansowania procesu realizacji inwestycji. Wskaźnik będzie monitorowany w oparciu o dane zarejestrowane w Ewidencji zbiorów i usług danych przestrzennych.</w:t>
            </w:r>
          </w:p>
          <w:p w14:paraId="45C9C351" w14:textId="77777777" w:rsidR="00E21495" w:rsidRPr="00E21495" w:rsidRDefault="00E21495" w:rsidP="00E21495">
            <w:pPr>
              <w:spacing w:after="120"/>
              <w:contextualSpacing/>
            </w:pPr>
            <w:r w:rsidRPr="00E21495">
              <w:t>Proponowane przez MRiT zmiany wskaźnika końcowego i danie dodatkowego wskaźnika wynika z realnej możliwości osiągnięcia go przez gminy jako podmioty faktycznie realizujące wskaźnik. Z informacji docierających z gmin wynika, że gminy nie zdążą zakończyć pełnej procedury uchwalania planu ogólnego w okresie obowiązywania KPO.</w:t>
            </w:r>
          </w:p>
          <w:p w14:paraId="6856D743" w14:textId="77777777" w:rsidR="00E21495" w:rsidRPr="00E21495" w:rsidRDefault="00E21495" w:rsidP="00E21495">
            <w:pPr>
              <w:spacing w:after="120"/>
              <w:contextualSpacing/>
            </w:pPr>
            <w:r w:rsidRPr="00E21495">
              <w:t xml:space="preserve">Biorąc pod uwagę długość i skomplikowanie procesu opracowania i przyjmowania planu ogólnego oraz rzetelne podejście do procesu jego opiniowania, uzgadniania i konsultacji – proces może potrwać dłużej niż to pierwotnie zakładano. </w:t>
            </w:r>
          </w:p>
          <w:p w14:paraId="668D0133" w14:textId="77777777" w:rsidR="00E21495" w:rsidRPr="00E21495" w:rsidRDefault="00E21495" w:rsidP="00E21495">
            <w:pPr>
              <w:spacing w:after="120"/>
              <w:contextualSpacing/>
            </w:pPr>
            <w:r w:rsidRPr="00E21495">
              <w:t>Dodatkowo należy podkreślić, że gminy samodzielnie podejmują decyzje dot. przygotowania planu ogólnego i wykorzystania środków KPO lub własnych pieniędzy w dowolnym czasie. Termin wskazany w ustawie jest istotnym argumentem, motywujące gminy do uchwalania planów ogólnych, jednak rząd nie może swoimi działaniami naruszać zasad autonomii samorządów. To potwierdzenie zasad praworządności. W praktyce może to oznaczać proces dłuższy niż wcześniej zakładano.</w:t>
            </w:r>
          </w:p>
          <w:p w14:paraId="4A73F5E4" w14:textId="77777777" w:rsidR="00E21495" w:rsidRPr="00E21495" w:rsidRDefault="00E21495" w:rsidP="00E21495">
            <w:pPr>
              <w:spacing w:after="120"/>
              <w:contextualSpacing/>
            </w:pPr>
            <w:r w:rsidRPr="00E21495">
              <w:t xml:space="preserve">W ramach procedury opracowania planu ogólnego gminy istotnym elementem są konsultacje społeczne. Co prawda w ramach usprawnienia procesu wskazaliśmy jednokrotny proces konsultacji i skrócono minimalny termin do 28 dni, ale jeżeli gmina uważa, że konsultacje powinny trwać dłużej dla lepszego przygotowania dokumentu, to może ten termin wydłużyć. Niezasadne byłoby skracanie lub ograniczanie uzgadniania i konsultowania planu. Utożsamianie się społeczności lokalnej z dokumentami na szczeblu samorządowym jest ważne i rząd zamierza to respektować. Dłuższe konsultacje pozwalają również na przygotowanie dobrego jakościowo produktu, wyznaczającego ramy zagospodarowania przestrzennego w przyszłości. </w:t>
            </w:r>
          </w:p>
          <w:p w14:paraId="5DAD090A" w14:textId="77777777" w:rsidR="00E21495" w:rsidRPr="00FB7F70" w:rsidRDefault="00E21495" w:rsidP="00E21495">
            <w:pPr>
              <w:widowControl w:val="0"/>
              <w:autoSpaceDE w:val="0"/>
              <w:autoSpaceDN w:val="0"/>
              <w:spacing w:after="120" w:line="240" w:lineRule="auto"/>
            </w:pPr>
            <w:r w:rsidRPr="00E21495">
              <w:t xml:space="preserve">Dotychczas, wg stanu na koniec kwietnia 2024 r. ok. 380 gmin </w:t>
            </w:r>
            <w:r w:rsidRPr="00FB7F70">
              <w:t xml:space="preserve">rozpoczęło formalnie procedurę sporządzania planu ogólnego. </w:t>
            </w:r>
          </w:p>
          <w:p w14:paraId="52409CF9" w14:textId="77777777" w:rsidR="00E21495" w:rsidRPr="00FB7F70" w:rsidRDefault="00E21495" w:rsidP="00E21495">
            <w:pPr>
              <w:widowControl w:val="0"/>
              <w:autoSpaceDE w:val="0"/>
              <w:autoSpaceDN w:val="0"/>
              <w:spacing w:after="120" w:line="240" w:lineRule="auto"/>
            </w:pPr>
            <w:r w:rsidRPr="00FB7F70">
              <w:t>Podjęto szereg działań wspierających realizację inwestycji z zakresu planowania i zagospodarowania przestrzennego:</w:t>
            </w:r>
          </w:p>
          <w:p w14:paraId="13D2DC38" w14:textId="77777777" w:rsidR="00E21495" w:rsidRPr="00FB7F70" w:rsidRDefault="00E21495" w:rsidP="00E21495">
            <w:pPr>
              <w:numPr>
                <w:ilvl w:val="0"/>
                <w:numId w:val="4"/>
              </w:numPr>
              <w:spacing w:after="0" w:line="240" w:lineRule="auto"/>
              <w:ind w:left="284" w:hanging="284"/>
              <w:contextualSpacing/>
            </w:pPr>
            <w:r w:rsidRPr="00FB7F70">
              <w:t xml:space="preserve">Usprawniono procedurę uchwalania planu ogólnego. Wprowadziliśmy oddzielny rozdział o konsultacjach społecznych zapewniając lepsze informowanie mieszkańców (również informacja przesyłana mailem) o konsultacjach społecznych, wiele różnych form konsultacji, dzięki czemu zrozumienie ustaleń będzie pełniejsze. Zaproponowaliśmy wykorzystanie nowych mediów, co będzie zarówno inkluzyjne i wygodne dla osób, które nie mogą wziąć udziału osobiście. Z drugiej strony wskazaliśmy jednokrotny proces konsultacji i skróciliśmy minimalny termin do 28 dni. Jeżeli gmina uważa, że konsultacje powinny trwać dłużej dla lepszego przygotowania dokumentu może ten termin wydłużyć. </w:t>
            </w:r>
          </w:p>
          <w:p w14:paraId="1B570911" w14:textId="77777777" w:rsidR="00E21495" w:rsidRPr="00E21495" w:rsidRDefault="00E21495" w:rsidP="00E21495">
            <w:pPr>
              <w:spacing w:after="0" w:line="240" w:lineRule="auto"/>
              <w:ind w:left="284" w:hanging="284"/>
            </w:pPr>
            <w:r w:rsidRPr="00FB7F70">
              <w:t>b)</w:t>
            </w:r>
            <w:r w:rsidRPr="00FB7F70">
              <w:tab/>
              <w:t>Szkolenia. Przygotowaliśmy na stronie internetowej ministerstwa bazę wiedzy. Opublikowaliśmy na stronie internetowej ministerstwa oraz w serwisie Youtube filmy ze</w:t>
            </w:r>
            <w:r w:rsidRPr="00E21495">
              <w:t xml:space="preserve"> szkoleniem dla urzędników i urbanistów, które cieszą się dużym zainteresowaniem (kilkanaście tysięcy odsłon).</w:t>
            </w:r>
          </w:p>
          <w:p w14:paraId="750397E8" w14:textId="77777777" w:rsidR="00E21495" w:rsidRPr="00E21495" w:rsidRDefault="00E21495" w:rsidP="00E21495">
            <w:pPr>
              <w:spacing w:after="0" w:line="240" w:lineRule="auto"/>
              <w:ind w:left="284"/>
            </w:pPr>
            <w:r w:rsidRPr="00E21495">
              <w:t>Prowadzimy szkolenia dla urbanistów (w Katowicach, Wrocławiu, Krakowie). Przeszkoliliśmy m. in. pracowników Głównej Inspekcji Sanitarnej.</w:t>
            </w:r>
          </w:p>
          <w:p w14:paraId="25E78B1B" w14:textId="77777777" w:rsidR="00E21495" w:rsidRPr="00FB7F70" w:rsidRDefault="00E21495" w:rsidP="00E21495">
            <w:pPr>
              <w:spacing w:after="0" w:line="240" w:lineRule="auto"/>
              <w:ind w:left="284"/>
            </w:pPr>
            <w:r w:rsidRPr="00E21495">
              <w:t xml:space="preserve">W trakcie cyklu spotkań z urzędnikami samorządowymi (oddzielnie dla każdego województwa) informowaliśmy o  konieczności szybkiego rozpoczęcia prac nad planami </w:t>
            </w:r>
            <w:r w:rsidRPr="00E21495">
              <w:lastRenderedPageBreak/>
              <w:t xml:space="preserve">ogólnymi gminy. Wynikiem tych </w:t>
            </w:r>
            <w:r w:rsidRPr="00FB7F70">
              <w:t>spotkań był większy wzrost liczby gmin rozpoczynjących procedurę przygotowania planu ogólnego.</w:t>
            </w:r>
          </w:p>
          <w:p w14:paraId="3ED04CF8" w14:textId="77777777" w:rsidR="00E21495" w:rsidRPr="00FB7F70" w:rsidRDefault="00E21495" w:rsidP="00E21495">
            <w:pPr>
              <w:spacing w:after="0" w:line="240" w:lineRule="auto"/>
              <w:ind w:left="284" w:hanging="284"/>
            </w:pPr>
            <w:r w:rsidRPr="00FB7F70">
              <w:t>c)</w:t>
            </w:r>
            <w:r w:rsidRPr="00FB7F70">
              <w:tab/>
              <w:t>Cyfryzacja planowania przestrzennego. Przygotowaliśmy prawdopodobnie najambitniejszy i najnowocześniejszy system cyfryzacji planowania  przestrzennego w Europie. Przygotowaliśmy i opublikowaliśmy bezpłatne oprogramowanie wspierające planowanie przestrzenne.</w:t>
            </w:r>
          </w:p>
          <w:p w14:paraId="5825AED8" w14:textId="77777777" w:rsidR="00E21495" w:rsidRPr="00FB7F70" w:rsidRDefault="00E21495" w:rsidP="00E21495">
            <w:pPr>
              <w:spacing w:after="0" w:line="240" w:lineRule="auto"/>
              <w:ind w:left="705" w:hanging="705"/>
            </w:pPr>
            <w:r w:rsidRPr="00FB7F70">
              <w:t>Dodatkowo</w:t>
            </w:r>
          </w:p>
          <w:p w14:paraId="38B16BC3" w14:textId="77777777" w:rsidR="00E21495" w:rsidRPr="00FB7F70" w:rsidRDefault="00E21495" w:rsidP="00E21495">
            <w:pPr>
              <w:spacing w:after="0" w:line="240" w:lineRule="auto"/>
              <w:ind w:left="705" w:hanging="705"/>
              <w:rPr>
                <w:color w:val="1B1B1B"/>
                <w:shd w:val="clear" w:color="auto" w:fill="FFFFFF"/>
              </w:rPr>
            </w:pPr>
            <w:r w:rsidRPr="00FB7F70">
              <w:t>a)</w:t>
            </w:r>
            <w:r w:rsidRPr="00FB7F70">
              <w:tab/>
              <w:t xml:space="preserve">Szkolenia finansowane z KPO. </w:t>
            </w:r>
            <w:r w:rsidRPr="00FB7F70">
              <w:rPr>
                <w:rFonts w:eastAsia="Aptos"/>
              </w:rPr>
              <w:t>Regulamin</w:t>
            </w:r>
            <w:r w:rsidRPr="00FB7F70">
              <w:rPr>
                <w:color w:val="1B1B1B"/>
                <w:shd w:val="clear" w:color="auto" w:fill="FFFFFF"/>
              </w:rPr>
              <w:t xml:space="preserve"> na przeprowadzenie kursów dokształcających pracowników samorządowych i planistów przestrzennych został zaopiniowany wewnątrzresortowo, a także był poddany konsultacjom publicznym. Do dnia 30.01.2024r.  interesariusze mogli składać wnioski. Ze strony MRiT wprowadzone zostały uwagi, które licznie spłynęły do MRiT i wymagały procesu oceny w kontekście spełnienia założeń i celów konkursu. Regulamin wymaga drobnych korekt redakcyjnych, po czym przekazany zostanie do ponownej oceny wewnątrzresortowej, oceny MRiT i zaopiniowania przez KE, co nastąpi jeszcze w tym miesiącu.</w:t>
            </w:r>
          </w:p>
          <w:p w14:paraId="097FE2C6" w14:textId="77777777" w:rsidR="00E21495" w:rsidRPr="00E21495" w:rsidRDefault="00E21495" w:rsidP="00E21495">
            <w:pPr>
              <w:spacing w:after="0" w:line="240" w:lineRule="auto"/>
              <w:ind w:left="705" w:hanging="705"/>
              <w:rPr>
                <w:color w:val="1B1B1B"/>
                <w:shd w:val="clear" w:color="auto" w:fill="FFFFFF"/>
              </w:rPr>
            </w:pPr>
            <w:r w:rsidRPr="00FB7F70">
              <w:t>b)</w:t>
            </w:r>
            <w:r w:rsidRPr="00FB7F70">
              <w:tab/>
              <w:t xml:space="preserve">Szkolenia realizowane przez pracowników MRiT. Będziemy kontynuować szkolenia dla kolejnych grup </w:t>
            </w:r>
            <w:r w:rsidRPr="00FB7F70">
              <w:rPr>
                <w:color w:val="1B1B1B"/>
                <w:shd w:val="clear" w:color="auto" w:fill="FFFFFF"/>
              </w:rPr>
              <w:t>uczestniczących</w:t>
            </w:r>
            <w:r w:rsidRPr="00E21495">
              <w:rPr>
                <w:color w:val="1B1B1B"/>
                <w:shd w:val="clear" w:color="auto" w:fill="FFFFFF"/>
              </w:rPr>
              <w:t xml:space="preserve"> w planowaniu przestrzennym. Będziemy udostępniali kolejne materiały dydaktyczne w postaci filmów oraz poradników.</w:t>
            </w:r>
          </w:p>
          <w:p w14:paraId="0A2B6B9F" w14:textId="77777777" w:rsidR="00E21495" w:rsidRPr="00E21495" w:rsidRDefault="00E21495" w:rsidP="00E21495">
            <w:pPr>
              <w:spacing w:after="0" w:line="240" w:lineRule="auto"/>
              <w:ind w:left="705" w:hanging="705"/>
              <w:rPr>
                <w:color w:val="1B1B1B"/>
                <w:shd w:val="clear" w:color="auto" w:fill="FFFFFF"/>
              </w:rPr>
            </w:pPr>
            <w:r w:rsidRPr="00E21495">
              <w:t xml:space="preserve">c) </w:t>
            </w:r>
            <w:r w:rsidRPr="00E21495">
              <w:tab/>
            </w:r>
            <w:r w:rsidRPr="00FB7F70">
              <w:rPr>
                <w:rFonts w:eastAsia="Aptos"/>
              </w:rPr>
              <w:t xml:space="preserve">Udzielenie </w:t>
            </w:r>
            <w:r w:rsidRPr="00FB7F70">
              <w:t>pomocy przez MRiT na rzecz gmin w przygotowaniu planu ogólnego gminy.</w:t>
            </w:r>
            <w:r w:rsidRPr="00E21495">
              <w:t xml:space="preserve"> Tak opracowane dokumenty mogą być praktyczną wskazówką dla innych gmin.</w:t>
            </w:r>
          </w:p>
          <w:p w14:paraId="3ECC7440" w14:textId="77777777" w:rsidR="00E21495" w:rsidRPr="00E21495" w:rsidRDefault="00E21495" w:rsidP="00E21495">
            <w:pPr>
              <w:spacing w:after="0" w:line="240" w:lineRule="auto"/>
              <w:ind w:left="705" w:hanging="705"/>
              <w:rPr>
                <w:color w:val="1B1B1B"/>
                <w:shd w:val="clear" w:color="auto" w:fill="FFFFFF"/>
              </w:rPr>
            </w:pPr>
          </w:p>
          <w:p w14:paraId="44948BA6" w14:textId="77777777" w:rsidR="00E21495" w:rsidRPr="00E21495" w:rsidRDefault="00E21495" w:rsidP="00E21495">
            <w:pPr>
              <w:widowControl w:val="0"/>
              <w:autoSpaceDE w:val="0"/>
              <w:autoSpaceDN w:val="0"/>
              <w:spacing w:after="120" w:line="240" w:lineRule="auto"/>
            </w:pPr>
            <w:r w:rsidRPr="00E21495">
              <w:t xml:space="preserve">Wsparciem dla gmin w procesie przygotowania planów ogólnych będzie Rejestr Urbanistyczny. Obecnie trwają intensywne prace nad pilotażem Rejestru Urbanistycznego. Zgodnie z art. 67d ust. 2 ustawy o planowaniu i zagospodarowaniu przestrzennym, Rejestr Urbanistyczny będzie umożliwiał tworzenie, aktualizację i udostępnianie danych przestrzennych z zakresu planowania i zagospodarowania przestrzennego. Rola Rejestru Urbanistyczne zwiększa się w związku z tym, że plany ogólne gmin tworzone są wyłącznie w formie ustandaryzowanych danych przestrzennych. Rozwiązanie to jest jednym z bardziej nowoczesnych przykładów w nowoczesnej e-administracji w Unii Europejskiej - jest to pierwszy w Polsce akt prawa miejscowego, bez tradycyjnego rysunku i tekstu, z ustaleniami w pliku gml. Przesunięcie etapu realizacji kamienia milowego z uchwalenia na opublikowanie planu ogólnego sprawi, że uchwalone plany ogólne gminy będą miały zdecydowanie lepszą jakość, dzięki możliwości uwierzytelnienia ich w Rejestrze Urbanistycznym. Uwierzytelnienie będzie bardziej rozbudowane między innymi z uwagi na możliwość weryfikacji topologicznej (przestrzennej) terenów w ramach tworzonego zbioru danych przestrzennych. Realizacja Rejestru niezbędna jest również w celu przyśpieszenia prac m.in. w kontekście sprawnego tworzenia w toku procedury planistycznej kolejnych wersji projektu planu ogólnego (z każdego etapu projektowego, uzgodnień, konsultacji społecznych). </w:t>
            </w:r>
          </w:p>
          <w:p w14:paraId="11BE3553" w14:textId="77777777" w:rsidR="00E21495" w:rsidRPr="00E21495" w:rsidRDefault="00E21495" w:rsidP="00E21495">
            <w:pPr>
              <w:widowControl w:val="0"/>
              <w:autoSpaceDE w:val="0"/>
              <w:autoSpaceDN w:val="0"/>
              <w:spacing w:after="120" w:line="240" w:lineRule="auto"/>
            </w:pPr>
            <w:r w:rsidRPr="00E21495">
              <w:t>W trakcie procedury planistycznej, na etapie zbierania opinii do projektu planu, zastąpienie bezpośredniego przekazywania (w formie papierowej, na płycie) do uzgodnień i opiniowania m.in. projektów planów ogólnych udostępnieniem ich w Rejestrze Urbanistycznym umożliwi szybszy, wręcz natychmiastowy dostęp do dokumentów. Sprawne funkcjonowanie jednego, uniwersalnego narzędzia wpłynie także pozytywnie na partycypację społeczną poprzez bezpośredni dostęp do danych dla planu ogólnego z jednego, wiarygodnego, aktualnego rejestru.</w:t>
            </w:r>
          </w:p>
          <w:p w14:paraId="491078B5" w14:textId="77777777" w:rsidR="00E21495" w:rsidRPr="00E21495" w:rsidRDefault="00E21495" w:rsidP="00E21495">
            <w:pPr>
              <w:widowControl w:val="0"/>
              <w:autoSpaceDE w:val="0"/>
              <w:autoSpaceDN w:val="0"/>
              <w:spacing w:after="120" w:line="240" w:lineRule="auto"/>
            </w:pPr>
            <w:r w:rsidRPr="00E21495">
              <w:t>Obecnie, każda gmina ma obowiązek udostępniania tworzonych danych dla planów poprzez usługi sieciowe we własnym zakresie. Po utworzeniu Rejestru Urbanistycznego, dane przestrzenne tworzone dla planów będą udostępniane w jednym miejscu - z poziomu Rejestru. Umożliwi to m.in. podgląd planów ogólnych sąsiadujących gmin na dowolnych podkładach mapowych, wspomagając weryfikację i zachowanie spójności topologicznej m.in. w zakresie granic planów ogólnych gmin.</w:t>
            </w:r>
          </w:p>
          <w:p w14:paraId="78D446FB" w14:textId="3E66227B" w:rsidR="00E21495" w:rsidRPr="00E21495" w:rsidRDefault="00E21495" w:rsidP="00FB7F70">
            <w:pPr>
              <w:widowControl w:val="0"/>
              <w:autoSpaceDE w:val="0"/>
              <w:autoSpaceDN w:val="0"/>
              <w:spacing w:after="120" w:line="240" w:lineRule="auto"/>
            </w:pPr>
            <w:r w:rsidRPr="00E21495">
              <w:t xml:space="preserve">Ponadto, nieodpłatny dostęp do informacji i danych udostępnianych w Rejestrze, w tym udostępnianie danych przestrzennych dla planów poprzez usługi sieciowe, zapewni szerszy udział społeczeństwa w planowaniu przestrzennym w Polsce i może poprawić jakość planów ogólnych. </w:t>
            </w:r>
          </w:p>
        </w:tc>
      </w:tr>
      <w:tr w:rsidR="00E21495" w:rsidRPr="00E21495" w14:paraId="0D8DEC5E" w14:textId="77777777" w:rsidTr="00FB7F70">
        <w:tc>
          <w:tcPr>
            <w:tcW w:w="1067" w:type="pct"/>
            <w:gridSpan w:val="2"/>
          </w:tcPr>
          <w:p w14:paraId="4C34B408" w14:textId="77777777" w:rsidR="00E21495" w:rsidRPr="00E21495" w:rsidRDefault="00E21495" w:rsidP="00E21495">
            <w:pPr>
              <w:spacing w:after="120" w:line="240" w:lineRule="auto"/>
              <w:jc w:val="left"/>
              <w:rPr>
                <w:rFonts w:eastAsia="Calibri"/>
              </w:rPr>
            </w:pPr>
            <w:r w:rsidRPr="00E21495">
              <w:rPr>
                <w:rFonts w:eastAsia="Calibri"/>
              </w:rPr>
              <w:lastRenderedPageBreak/>
              <w:t>Szacowany koszt</w:t>
            </w:r>
          </w:p>
        </w:tc>
        <w:tc>
          <w:tcPr>
            <w:tcW w:w="3933" w:type="pct"/>
            <w:gridSpan w:val="3"/>
          </w:tcPr>
          <w:p w14:paraId="1CEB64FD" w14:textId="77777777" w:rsidR="00E21495" w:rsidRPr="00E21495" w:rsidRDefault="00E21495" w:rsidP="00E21495">
            <w:pPr>
              <w:spacing w:after="120" w:line="240" w:lineRule="auto"/>
              <w:jc w:val="left"/>
              <w:rPr>
                <w:rFonts w:eastAsia="Calibri"/>
                <w:b/>
                <w:bCs/>
              </w:rPr>
            </w:pPr>
            <w:r w:rsidRPr="00E21495">
              <w:rPr>
                <w:rFonts w:eastAsia="Calibri"/>
              </w:rPr>
              <w:t xml:space="preserve">Zmiana nie ma wpływu na szacowany koszt </w:t>
            </w:r>
          </w:p>
        </w:tc>
      </w:tr>
      <w:tr w:rsidR="00E21495" w:rsidRPr="00E21495" w14:paraId="3A284CF3" w14:textId="77777777" w:rsidTr="00FB7F70">
        <w:tc>
          <w:tcPr>
            <w:tcW w:w="1067" w:type="pct"/>
            <w:gridSpan w:val="2"/>
          </w:tcPr>
          <w:p w14:paraId="18B19D4E" w14:textId="77777777" w:rsidR="00E21495" w:rsidRPr="00E21495" w:rsidRDefault="00E21495" w:rsidP="00E21495">
            <w:pPr>
              <w:spacing w:after="120" w:line="240" w:lineRule="auto"/>
              <w:jc w:val="left"/>
              <w:rPr>
                <w:rFonts w:eastAsia="Calibri"/>
              </w:rPr>
            </w:pPr>
            <w:r w:rsidRPr="00E21495">
              <w:rPr>
                <w:rFonts w:eastAsia="Calibri"/>
              </w:rPr>
              <w:t xml:space="preserve">Cyfrowy i klimatyczny tagging </w:t>
            </w:r>
          </w:p>
        </w:tc>
        <w:tc>
          <w:tcPr>
            <w:tcW w:w="3933" w:type="pct"/>
            <w:gridSpan w:val="3"/>
          </w:tcPr>
          <w:p w14:paraId="70EC73ED" w14:textId="77777777" w:rsidR="00E21495" w:rsidRPr="00E21495" w:rsidRDefault="00E21495" w:rsidP="00E21495">
            <w:pPr>
              <w:spacing w:after="120" w:line="240" w:lineRule="auto"/>
              <w:jc w:val="left"/>
              <w:rPr>
                <w:rFonts w:eastAsia="Calibri"/>
              </w:rPr>
            </w:pPr>
            <w:r w:rsidRPr="00E21495">
              <w:rPr>
                <w:rFonts w:eastAsia="Calibri"/>
              </w:rPr>
              <w:t>Zmiana nie ma wpływu na tagging klimatyczny i cyfrowy</w:t>
            </w:r>
          </w:p>
        </w:tc>
      </w:tr>
      <w:tr w:rsidR="00E21495" w:rsidRPr="00E21495" w14:paraId="57172A74" w14:textId="77777777" w:rsidTr="00FB7F70">
        <w:tc>
          <w:tcPr>
            <w:tcW w:w="1067" w:type="pct"/>
            <w:gridSpan w:val="2"/>
            <w:tcBorders>
              <w:bottom w:val="single" w:sz="4" w:space="0" w:color="auto"/>
            </w:tcBorders>
          </w:tcPr>
          <w:p w14:paraId="371CD7E0" w14:textId="77777777" w:rsidR="00E21495" w:rsidRPr="00E21495" w:rsidRDefault="00E21495" w:rsidP="00E21495">
            <w:pPr>
              <w:spacing w:after="120" w:line="240" w:lineRule="auto"/>
              <w:jc w:val="left"/>
              <w:rPr>
                <w:rFonts w:eastAsia="Calibri"/>
              </w:rPr>
            </w:pPr>
            <w:r w:rsidRPr="00E21495">
              <w:rPr>
                <w:rFonts w:eastAsia="Calibri"/>
              </w:rPr>
              <w:t xml:space="preserve">Zasada DNSH </w:t>
            </w:r>
          </w:p>
        </w:tc>
        <w:tc>
          <w:tcPr>
            <w:tcW w:w="3933" w:type="pct"/>
            <w:gridSpan w:val="3"/>
            <w:tcBorders>
              <w:bottom w:val="single" w:sz="4" w:space="0" w:color="auto"/>
            </w:tcBorders>
          </w:tcPr>
          <w:p w14:paraId="68927ECB" w14:textId="77777777" w:rsidR="00E21495" w:rsidRPr="00E21495" w:rsidRDefault="00E21495" w:rsidP="00E21495">
            <w:pPr>
              <w:spacing w:after="120" w:line="240" w:lineRule="auto"/>
              <w:jc w:val="left"/>
              <w:rPr>
                <w:rFonts w:eastAsia="Calibri"/>
              </w:rPr>
            </w:pPr>
            <w:r w:rsidRPr="00E21495">
              <w:rPr>
                <w:rFonts w:eastAsia="Calibri"/>
              </w:rPr>
              <w:t>Zmiana nie ma wpływu na DNSH</w:t>
            </w:r>
          </w:p>
        </w:tc>
      </w:tr>
      <w:tr w:rsidR="00E21495" w:rsidRPr="00E21495" w14:paraId="6E20B911" w14:textId="77777777" w:rsidTr="00FB7F70">
        <w:tc>
          <w:tcPr>
            <w:tcW w:w="1067" w:type="pct"/>
            <w:gridSpan w:val="2"/>
            <w:tcBorders>
              <w:bottom w:val="single" w:sz="4" w:space="0" w:color="auto"/>
            </w:tcBorders>
          </w:tcPr>
          <w:p w14:paraId="2EC495E2" w14:textId="77777777" w:rsidR="00E21495" w:rsidRPr="00E21495" w:rsidRDefault="00E21495" w:rsidP="00E21495">
            <w:pPr>
              <w:spacing w:after="120" w:line="240" w:lineRule="auto"/>
              <w:jc w:val="left"/>
              <w:rPr>
                <w:rFonts w:eastAsia="Calibri"/>
              </w:rPr>
            </w:pPr>
            <w:r w:rsidRPr="00E21495">
              <w:rPr>
                <w:rFonts w:eastAsia="Calibri"/>
              </w:rPr>
              <w:t xml:space="preserve">Pomoc publiczna </w:t>
            </w:r>
          </w:p>
        </w:tc>
        <w:tc>
          <w:tcPr>
            <w:tcW w:w="3933" w:type="pct"/>
            <w:gridSpan w:val="3"/>
            <w:tcBorders>
              <w:bottom w:val="single" w:sz="4" w:space="0" w:color="auto"/>
            </w:tcBorders>
          </w:tcPr>
          <w:p w14:paraId="46B6CE9A" w14:textId="77777777" w:rsidR="00E21495" w:rsidRPr="00E21495" w:rsidRDefault="00E21495" w:rsidP="00E21495">
            <w:pPr>
              <w:spacing w:after="120" w:line="240" w:lineRule="auto"/>
              <w:jc w:val="left"/>
              <w:rPr>
                <w:rFonts w:eastAsia="Calibri"/>
              </w:rPr>
            </w:pPr>
            <w:r w:rsidRPr="00E21495">
              <w:rPr>
                <w:rFonts w:eastAsia="Calibri"/>
              </w:rPr>
              <w:t>Zmiana nie ma wpływu na pomoc publiczną</w:t>
            </w:r>
          </w:p>
        </w:tc>
      </w:tr>
    </w:tbl>
    <w:p w14:paraId="2156B1E2" w14:textId="77777777" w:rsidR="00D94758" w:rsidRPr="00E0193B" w:rsidRDefault="00D94758" w:rsidP="00D94758">
      <w:pPr>
        <w:spacing w:after="120" w:line="240" w:lineRule="auto"/>
        <w:jc w:val="left"/>
        <w:rPr>
          <w:rFonts w:eastAsia="Calibri"/>
          <w:b/>
          <w:bCs/>
        </w:rPr>
      </w:pPr>
    </w:p>
    <w:tbl>
      <w:tblPr>
        <w:tblW w:w="518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3258"/>
        <w:gridCol w:w="3973"/>
      </w:tblGrid>
      <w:tr w:rsidR="00D94758" w:rsidRPr="00E0193B" w14:paraId="0070FA2B" w14:textId="77777777" w:rsidTr="00E70A4A">
        <w:tc>
          <w:tcPr>
            <w:tcW w:w="1061" w:type="pct"/>
          </w:tcPr>
          <w:p w14:paraId="15F30193" w14:textId="77777777" w:rsidR="00D94758" w:rsidRPr="00E0193B" w:rsidRDefault="00D94758" w:rsidP="00D94758">
            <w:pPr>
              <w:spacing w:after="120" w:line="240" w:lineRule="auto"/>
              <w:jc w:val="left"/>
              <w:rPr>
                <w:rFonts w:eastAsia="Calibri"/>
                <w:b/>
                <w:bCs/>
              </w:rPr>
            </w:pPr>
            <w:r w:rsidRPr="00E0193B">
              <w:rPr>
                <w:rFonts w:eastAsia="Calibri"/>
                <w:b/>
                <w:bCs/>
              </w:rPr>
              <w:t>Numer inwestycji</w:t>
            </w:r>
          </w:p>
        </w:tc>
        <w:tc>
          <w:tcPr>
            <w:tcW w:w="3939" w:type="pct"/>
            <w:gridSpan w:val="2"/>
          </w:tcPr>
          <w:p w14:paraId="2690148C" w14:textId="77777777" w:rsidR="00D94758" w:rsidRPr="00E0193B" w:rsidRDefault="00D94758" w:rsidP="005F324B">
            <w:pPr>
              <w:spacing w:after="120"/>
              <w:ind w:left="118"/>
              <w:contextualSpacing/>
              <w:rPr>
                <w:rFonts w:eastAsia="Calibri"/>
                <w:b/>
                <w:bCs/>
                <w:color w:val="000000"/>
                <w:lang w:val="en-GB" w:eastAsia="en-GB"/>
              </w:rPr>
            </w:pPr>
            <w:bookmarkStart w:id="24" w:name="_Toc159259642"/>
            <w:r w:rsidRPr="00E0193B">
              <w:rPr>
                <w:b/>
                <w:bCs/>
              </w:rPr>
              <w:t>A1.4.1</w:t>
            </w:r>
            <w:bookmarkEnd w:id="24"/>
            <w:r w:rsidRPr="00E0193B">
              <w:rPr>
                <w:b/>
                <w:bCs/>
              </w:rPr>
              <w:t>.</w:t>
            </w:r>
          </w:p>
        </w:tc>
      </w:tr>
      <w:tr w:rsidR="00D94758" w:rsidRPr="00E0193B" w14:paraId="733DEFF8" w14:textId="77777777" w:rsidTr="00E70A4A">
        <w:tc>
          <w:tcPr>
            <w:tcW w:w="1061" w:type="pct"/>
          </w:tcPr>
          <w:p w14:paraId="093A0167" w14:textId="77777777" w:rsidR="00D94758" w:rsidRPr="00E0193B" w:rsidRDefault="00D94758" w:rsidP="00D94758">
            <w:pPr>
              <w:autoSpaceDE w:val="0"/>
              <w:autoSpaceDN w:val="0"/>
              <w:adjustRightInd w:val="0"/>
              <w:spacing w:after="120" w:line="240" w:lineRule="auto"/>
              <w:jc w:val="left"/>
              <w:rPr>
                <w:rFonts w:eastAsia="Calibri"/>
                <w:b/>
                <w:bCs/>
                <w:color w:val="000000"/>
                <w:lang w:val="en-GB" w:eastAsia="en-GB"/>
              </w:rPr>
            </w:pPr>
            <w:r w:rsidRPr="00E0193B">
              <w:rPr>
                <w:rFonts w:eastAsia="Calibri"/>
                <w:b/>
                <w:bCs/>
                <w:color w:val="000000"/>
                <w:lang w:val="en-GB" w:eastAsia="en-GB"/>
              </w:rPr>
              <w:t xml:space="preserve">Nazwa inwestycji </w:t>
            </w:r>
          </w:p>
        </w:tc>
        <w:tc>
          <w:tcPr>
            <w:tcW w:w="3939" w:type="pct"/>
            <w:gridSpan w:val="2"/>
          </w:tcPr>
          <w:p w14:paraId="115489FA" w14:textId="77777777" w:rsidR="00D94758" w:rsidRPr="00E0193B" w:rsidRDefault="00D94758" w:rsidP="00D94758">
            <w:pPr>
              <w:autoSpaceDE w:val="0"/>
              <w:autoSpaceDN w:val="0"/>
              <w:adjustRightInd w:val="0"/>
              <w:spacing w:after="120" w:line="240" w:lineRule="auto"/>
              <w:jc w:val="left"/>
              <w:rPr>
                <w:rFonts w:eastAsia="Calibri"/>
                <w:b/>
                <w:bCs/>
                <w:color w:val="000000"/>
                <w:lang w:eastAsia="en-GB"/>
              </w:rPr>
            </w:pPr>
            <w:r w:rsidRPr="00E0193B">
              <w:rPr>
                <w:rFonts w:eastAsia="Calibri"/>
                <w:b/>
                <w:bCs/>
                <w:color w:val="000000"/>
                <w:lang w:eastAsia="en-GB"/>
              </w:rPr>
              <w:t>Inwestycje na rzecz dywersyfikacji i skracania łańcucha dostaw produktów rolnych i spożywczych oraz budowy odporności podmiotów uczestniczących w łańcuchu</w:t>
            </w:r>
          </w:p>
        </w:tc>
      </w:tr>
      <w:tr w:rsidR="00D94758" w:rsidRPr="00E0193B" w14:paraId="7A9A3C1A" w14:textId="77777777" w:rsidTr="00E70A4A">
        <w:tc>
          <w:tcPr>
            <w:tcW w:w="1061" w:type="pct"/>
          </w:tcPr>
          <w:p w14:paraId="2A2BE71E" w14:textId="77777777" w:rsidR="00D94758" w:rsidRPr="00E0193B" w:rsidRDefault="00D94758" w:rsidP="00D94758">
            <w:pPr>
              <w:autoSpaceDE w:val="0"/>
              <w:autoSpaceDN w:val="0"/>
              <w:adjustRightInd w:val="0"/>
              <w:spacing w:after="120" w:line="240" w:lineRule="auto"/>
              <w:jc w:val="left"/>
              <w:rPr>
                <w:rFonts w:eastAsia="Calibri"/>
                <w:color w:val="000000"/>
                <w:lang w:eastAsia="en-GB"/>
              </w:rPr>
            </w:pPr>
            <w:r w:rsidRPr="00E0193B">
              <w:rPr>
                <w:rFonts w:eastAsia="Calibri"/>
                <w:color w:val="000000"/>
                <w:lang w:eastAsia="en-GB"/>
              </w:rPr>
              <w:t>Rodzaj wprowadzonej zmiany w odniesieniu do CID</w:t>
            </w:r>
          </w:p>
        </w:tc>
        <w:tc>
          <w:tcPr>
            <w:tcW w:w="3939" w:type="pct"/>
            <w:gridSpan w:val="2"/>
          </w:tcPr>
          <w:p w14:paraId="714E44A2" w14:textId="77777777" w:rsidR="00D94758" w:rsidRPr="00E0193B" w:rsidRDefault="00D94758" w:rsidP="00D94758">
            <w:pPr>
              <w:autoSpaceDE w:val="0"/>
              <w:autoSpaceDN w:val="0"/>
              <w:adjustRightInd w:val="0"/>
              <w:spacing w:after="120" w:line="240" w:lineRule="auto"/>
              <w:jc w:val="left"/>
              <w:rPr>
                <w:rFonts w:eastAsia="Calibri"/>
                <w:color w:val="000000"/>
                <w:lang w:eastAsia="en-GB"/>
              </w:rPr>
            </w:pPr>
            <w:r w:rsidRPr="00E0193B">
              <w:rPr>
                <w:rFonts w:eastAsia="Calibri"/>
                <w:color w:val="000000"/>
                <w:lang w:eastAsia="en-GB"/>
              </w:rPr>
              <w:t>Przesunięcie terminu realizacji inwestycji i wskaźników A21G, A23G, A24G, A26G, wprowadzenie nowego wskaźnika, wzrost wartości docelowych wskaźników A21G, A23G, A24G, A26G</w:t>
            </w:r>
          </w:p>
          <w:p w14:paraId="62ABF9C7" w14:textId="77777777" w:rsidR="00D94758" w:rsidRPr="00E0193B" w:rsidRDefault="00D94758" w:rsidP="00D94758">
            <w:pPr>
              <w:autoSpaceDE w:val="0"/>
              <w:autoSpaceDN w:val="0"/>
              <w:adjustRightInd w:val="0"/>
              <w:spacing w:after="120" w:line="240" w:lineRule="auto"/>
              <w:jc w:val="left"/>
              <w:rPr>
                <w:rFonts w:eastAsia="Calibri"/>
                <w:color w:val="000000"/>
                <w:lang w:eastAsia="en-GB"/>
              </w:rPr>
            </w:pPr>
            <w:r w:rsidRPr="00E0193B">
              <w:rPr>
                <w:rFonts w:eastAsia="Calibri"/>
                <w:color w:val="000000"/>
                <w:lang w:eastAsia="en-GB"/>
              </w:rPr>
              <w:t>Zwiększenie alokacji na inwestycję o 600 mln EUR</w:t>
            </w:r>
          </w:p>
        </w:tc>
      </w:tr>
      <w:tr w:rsidR="00D94758" w:rsidRPr="00E0193B" w14:paraId="2F6EFA01" w14:textId="77777777" w:rsidTr="00E70A4A">
        <w:tc>
          <w:tcPr>
            <w:tcW w:w="1061" w:type="pct"/>
            <w:shd w:val="clear" w:color="auto" w:fill="FFFFFF"/>
          </w:tcPr>
          <w:p w14:paraId="0A00B878" w14:textId="77777777" w:rsidR="00D94758" w:rsidRPr="00E0193B" w:rsidRDefault="00D94758" w:rsidP="00D94758">
            <w:pPr>
              <w:autoSpaceDE w:val="0"/>
              <w:autoSpaceDN w:val="0"/>
              <w:adjustRightInd w:val="0"/>
              <w:spacing w:after="120" w:line="240" w:lineRule="auto"/>
              <w:jc w:val="left"/>
              <w:rPr>
                <w:rFonts w:eastAsia="Calibri"/>
                <w:color w:val="000000"/>
                <w:lang w:val="en-GB" w:eastAsia="en-GB"/>
              </w:rPr>
            </w:pPr>
            <w:r w:rsidRPr="00E0193B">
              <w:rPr>
                <w:rFonts w:eastAsia="Calibri"/>
                <w:color w:val="000000"/>
                <w:lang w:val="en-GB" w:eastAsia="en-GB"/>
              </w:rPr>
              <w:t>Podstawa prawna zmiany</w:t>
            </w:r>
          </w:p>
        </w:tc>
        <w:tc>
          <w:tcPr>
            <w:tcW w:w="3939" w:type="pct"/>
            <w:gridSpan w:val="2"/>
            <w:shd w:val="clear" w:color="auto" w:fill="FFFFFF"/>
          </w:tcPr>
          <w:p w14:paraId="58B1935B" w14:textId="77777777" w:rsidR="00D94758" w:rsidRPr="00E0193B" w:rsidRDefault="00D94758" w:rsidP="00D94758">
            <w:pPr>
              <w:spacing w:after="120" w:line="240" w:lineRule="auto"/>
              <w:jc w:val="left"/>
              <w:rPr>
                <w:rFonts w:eastAsia="Calibri"/>
              </w:rPr>
            </w:pPr>
            <w:r w:rsidRPr="00E0193B">
              <w:rPr>
                <w:rFonts w:eastAsia="Calibri"/>
              </w:rPr>
              <w:t>art. 21 rozporządzenia Parlamentu Europejskiego i Rady (UE) 2021/241 z dnia 12 lutego 2021 r. ustanawiające Instrument na rzecz Odbudowy i Zwiększania Odporności (RRF)</w:t>
            </w:r>
          </w:p>
        </w:tc>
      </w:tr>
      <w:tr w:rsidR="00D94758" w:rsidRPr="00E0193B" w14:paraId="1AA61554" w14:textId="77777777" w:rsidTr="00E70A4A">
        <w:tc>
          <w:tcPr>
            <w:tcW w:w="1061" w:type="pct"/>
            <w:shd w:val="clear" w:color="auto" w:fill="D0CECE"/>
          </w:tcPr>
          <w:p w14:paraId="4F79BA13" w14:textId="77777777" w:rsidR="00D94758" w:rsidRPr="00E0193B" w:rsidRDefault="00D94758" w:rsidP="00D94758">
            <w:pPr>
              <w:spacing w:after="120" w:line="240" w:lineRule="auto"/>
              <w:jc w:val="left"/>
              <w:rPr>
                <w:rFonts w:eastAsia="Calibri"/>
                <w:highlight w:val="lightGray"/>
              </w:rPr>
            </w:pPr>
            <w:r w:rsidRPr="00E0193B">
              <w:rPr>
                <w:rFonts w:eastAsia="Calibri"/>
                <w:highlight w:val="lightGray"/>
              </w:rPr>
              <w:t>Modyfikowany element</w:t>
            </w:r>
          </w:p>
        </w:tc>
        <w:tc>
          <w:tcPr>
            <w:tcW w:w="1775" w:type="pct"/>
            <w:shd w:val="clear" w:color="auto" w:fill="D0CECE"/>
          </w:tcPr>
          <w:p w14:paraId="0BE45035" w14:textId="77777777" w:rsidR="00D94758" w:rsidRPr="00E0193B" w:rsidRDefault="00D94758" w:rsidP="00D94758">
            <w:pPr>
              <w:spacing w:after="120" w:line="240" w:lineRule="auto"/>
              <w:jc w:val="left"/>
              <w:rPr>
                <w:rFonts w:eastAsia="Calibri"/>
                <w:highlight w:val="lightGray"/>
              </w:rPr>
            </w:pPr>
            <w:r w:rsidRPr="00E0193B">
              <w:rPr>
                <w:rFonts w:eastAsia="Calibri"/>
                <w:highlight w:val="lightGray"/>
              </w:rPr>
              <w:t>Wersja aktualna</w:t>
            </w:r>
          </w:p>
        </w:tc>
        <w:tc>
          <w:tcPr>
            <w:tcW w:w="2164" w:type="pct"/>
            <w:shd w:val="clear" w:color="auto" w:fill="D0CECE"/>
          </w:tcPr>
          <w:p w14:paraId="50E5CAE8" w14:textId="77777777" w:rsidR="00D94758" w:rsidRPr="00E0193B" w:rsidRDefault="00D94758" w:rsidP="00D94758">
            <w:pPr>
              <w:spacing w:after="120" w:line="240" w:lineRule="auto"/>
              <w:jc w:val="left"/>
              <w:rPr>
                <w:rFonts w:eastAsia="Calibri"/>
                <w:highlight w:val="lightGray"/>
              </w:rPr>
            </w:pPr>
            <w:r w:rsidRPr="00E0193B">
              <w:rPr>
                <w:rFonts w:eastAsia="Calibri"/>
                <w:highlight w:val="lightGray"/>
              </w:rPr>
              <w:t>Wersja zmieniona</w:t>
            </w:r>
          </w:p>
        </w:tc>
      </w:tr>
      <w:tr w:rsidR="00821B81" w:rsidRPr="00E0193B" w14:paraId="196FDBA9" w14:textId="77777777" w:rsidTr="00E70A4A">
        <w:tc>
          <w:tcPr>
            <w:tcW w:w="1061" w:type="pct"/>
            <w:vMerge w:val="restart"/>
          </w:tcPr>
          <w:p w14:paraId="5AF47382" w14:textId="1B1B7DED" w:rsidR="00821B81" w:rsidRPr="00E0193B" w:rsidRDefault="008433C2" w:rsidP="00D94758">
            <w:pPr>
              <w:spacing w:after="120" w:line="240" w:lineRule="auto"/>
              <w:jc w:val="left"/>
              <w:rPr>
                <w:rFonts w:eastAsia="Calibri"/>
              </w:rPr>
            </w:pPr>
            <w:r w:rsidRPr="00E0193B">
              <w:rPr>
                <w:rFonts w:eastAsia="Calibri"/>
              </w:rPr>
              <w:t>Opis komponentu oraz/lub działania (inwestycji/reformy)</w:t>
            </w:r>
          </w:p>
        </w:tc>
        <w:tc>
          <w:tcPr>
            <w:tcW w:w="1775" w:type="pct"/>
          </w:tcPr>
          <w:p w14:paraId="6F001CF6" w14:textId="090D20F4" w:rsidR="00821B81" w:rsidRPr="00E0193B" w:rsidRDefault="00821B81" w:rsidP="00D94758">
            <w:pPr>
              <w:spacing w:after="120" w:line="240" w:lineRule="auto"/>
              <w:jc w:val="left"/>
              <w:rPr>
                <w:rFonts w:eastAsia="Calibri"/>
                <w:lang w:val="en-GB"/>
              </w:rPr>
            </w:pPr>
            <w:r w:rsidRPr="00E0193B">
              <w:rPr>
                <w:rFonts w:eastAsia="Calibri"/>
                <w:lang w:val="en-GB"/>
              </w:rPr>
              <w:t>The implementation of the investment shall be completed by 31 December 2025.</w:t>
            </w:r>
          </w:p>
          <w:p w14:paraId="7264084B" w14:textId="77777777" w:rsidR="00821B81" w:rsidRPr="00E0193B" w:rsidRDefault="00821B81" w:rsidP="00D94758">
            <w:pPr>
              <w:spacing w:after="120" w:line="240" w:lineRule="auto"/>
              <w:jc w:val="left"/>
              <w:rPr>
                <w:rFonts w:eastAsia="Calibri"/>
              </w:rPr>
            </w:pPr>
            <w:r w:rsidRPr="00E0193B">
              <w:rPr>
                <w:rFonts w:eastAsia="Calibri"/>
              </w:rPr>
              <w:t>Realizacja inwestycji zostanie zakończona do dnia 31 grudnia 2025 r.</w:t>
            </w:r>
          </w:p>
        </w:tc>
        <w:tc>
          <w:tcPr>
            <w:tcW w:w="2164" w:type="pct"/>
          </w:tcPr>
          <w:p w14:paraId="2CB7922F" w14:textId="77777777" w:rsidR="00821B81" w:rsidRPr="00E0193B" w:rsidRDefault="00821B81" w:rsidP="00D94758">
            <w:pPr>
              <w:spacing w:after="120" w:line="240" w:lineRule="auto"/>
              <w:jc w:val="left"/>
              <w:rPr>
                <w:rFonts w:eastAsia="Calibri"/>
                <w:b/>
              </w:rPr>
            </w:pPr>
            <w:r w:rsidRPr="00E0193B">
              <w:rPr>
                <w:rFonts w:eastAsia="Calibri"/>
              </w:rPr>
              <w:t xml:space="preserve">Realizacja inwestycji zostanie zakończona do dnia </w:t>
            </w:r>
            <w:r w:rsidRPr="00E0193B">
              <w:rPr>
                <w:rFonts w:eastAsia="Calibri"/>
                <w:color w:val="FF0000"/>
              </w:rPr>
              <w:t>30 czerwca 2026 r.</w:t>
            </w:r>
          </w:p>
        </w:tc>
      </w:tr>
      <w:tr w:rsidR="00821B81" w:rsidRPr="00935797" w14:paraId="68D3B566" w14:textId="77777777" w:rsidTr="00E70A4A">
        <w:tc>
          <w:tcPr>
            <w:tcW w:w="1061" w:type="pct"/>
            <w:vMerge/>
          </w:tcPr>
          <w:p w14:paraId="7719B6AC" w14:textId="77777777" w:rsidR="00821B81" w:rsidRPr="00E0193B" w:rsidRDefault="00821B81" w:rsidP="00D94758">
            <w:pPr>
              <w:spacing w:after="120" w:line="240" w:lineRule="auto"/>
              <w:jc w:val="left"/>
              <w:rPr>
                <w:rFonts w:eastAsia="Calibri"/>
              </w:rPr>
            </w:pPr>
          </w:p>
        </w:tc>
        <w:tc>
          <w:tcPr>
            <w:tcW w:w="1775" w:type="pct"/>
          </w:tcPr>
          <w:p w14:paraId="3081E5BD" w14:textId="247E1235" w:rsidR="00821B81" w:rsidRPr="00E0193B" w:rsidRDefault="00821B81" w:rsidP="00D94758">
            <w:pPr>
              <w:spacing w:after="120" w:line="240" w:lineRule="auto"/>
              <w:jc w:val="left"/>
              <w:rPr>
                <w:rFonts w:eastAsia="Calibri"/>
                <w:lang w:val="en-GB"/>
              </w:rPr>
            </w:pPr>
            <w:r w:rsidRPr="00E0193B">
              <w:rPr>
                <w:rFonts w:eastAsia="Calibri"/>
                <w:lang w:val="en-GB"/>
              </w:rPr>
              <w:t>The implementation of the investment shall be completed by 31 December 2025.</w:t>
            </w:r>
          </w:p>
        </w:tc>
        <w:tc>
          <w:tcPr>
            <w:tcW w:w="2164" w:type="pct"/>
          </w:tcPr>
          <w:p w14:paraId="025743E1" w14:textId="138D504D" w:rsidR="00821B81" w:rsidRPr="00E0193B" w:rsidRDefault="00821B81" w:rsidP="00D94758">
            <w:pPr>
              <w:spacing w:after="120" w:line="240" w:lineRule="auto"/>
              <w:jc w:val="left"/>
              <w:rPr>
                <w:rFonts w:eastAsia="Calibri"/>
                <w:lang w:val="en-GB"/>
              </w:rPr>
            </w:pPr>
            <w:r w:rsidRPr="00E0193B">
              <w:rPr>
                <w:rFonts w:eastAsia="Calibri"/>
                <w:lang w:val="en-GB"/>
              </w:rPr>
              <w:t xml:space="preserve">The implementation of the investment shall be completed by </w:t>
            </w:r>
            <w:r w:rsidRPr="00E0193B">
              <w:rPr>
                <w:rFonts w:eastAsia="Calibri"/>
                <w:color w:val="FF0000"/>
                <w:lang w:val="en-GB"/>
              </w:rPr>
              <w:t>30 June 2026.</w:t>
            </w:r>
          </w:p>
        </w:tc>
      </w:tr>
      <w:tr w:rsidR="00D94758" w:rsidRPr="00E0193B" w14:paraId="1EC7FBA3" w14:textId="77777777" w:rsidTr="00E70A4A">
        <w:tc>
          <w:tcPr>
            <w:tcW w:w="1061" w:type="pct"/>
          </w:tcPr>
          <w:p w14:paraId="734AB0EB" w14:textId="77777777" w:rsidR="00D94758" w:rsidRPr="00E0193B" w:rsidRDefault="00D94758" w:rsidP="00D94758">
            <w:pPr>
              <w:spacing w:after="120" w:line="240" w:lineRule="auto"/>
              <w:jc w:val="left"/>
              <w:rPr>
                <w:rFonts w:eastAsia="Calibri"/>
              </w:rPr>
            </w:pPr>
            <w:r w:rsidRPr="00E0193B">
              <w:rPr>
                <w:rFonts w:eastAsia="Calibri"/>
              </w:rPr>
              <w:t>Opis kamienia milowego lub wskaźnika.</w:t>
            </w:r>
          </w:p>
          <w:p w14:paraId="13720F00" w14:textId="77777777" w:rsidR="00D94758" w:rsidRPr="00E0193B" w:rsidRDefault="00D94758" w:rsidP="00D94758">
            <w:pPr>
              <w:spacing w:after="120" w:line="240" w:lineRule="auto"/>
              <w:jc w:val="left"/>
              <w:rPr>
                <w:rFonts w:eastAsia="Calibri"/>
              </w:rPr>
            </w:pPr>
          </w:p>
        </w:tc>
        <w:tc>
          <w:tcPr>
            <w:tcW w:w="1775" w:type="pct"/>
          </w:tcPr>
          <w:p w14:paraId="48ABEF1A" w14:textId="77777777" w:rsidR="00FB61AA" w:rsidRPr="00E0193B" w:rsidRDefault="00D94758" w:rsidP="00D94758">
            <w:pPr>
              <w:spacing w:after="120" w:line="240" w:lineRule="auto"/>
              <w:jc w:val="left"/>
              <w:rPr>
                <w:rFonts w:eastAsia="Calibri"/>
              </w:rPr>
            </w:pPr>
            <w:r w:rsidRPr="00E0193B">
              <w:rPr>
                <w:rFonts w:eastAsia="Calibri"/>
                <w:bCs/>
              </w:rPr>
              <w:t>A21G</w:t>
            </w:r>
            <w:r w:rsidRPr="00E0193B">
              <w:rPr>
                <w:rFonts w:eastAsia="Calibri"/>
              </w:rPr>
              <w:t xml:space="preserve"> </w:t>
            </w:r>
          </w:p>
          <w:p w14:paraId="0995CFBD" w14:textId="00CCB798" w:rsidR="00D94758" w:rsidRPr="00E0193B" w:rsidRDefault="00D94758" w:rsidP="00D94758">
            <w:pPr>
              <w:spacing w:after="120" w:line="240" w:lineRule="auto"/>
              <w:jc w:val="left"/>
              <w:rPr>
                <w:rFonts w:eastAsia="Calibri"/>
              </w:rPr>
            </w:pPr>
            <w:r w:rsidRPr="00E0193B">
              <w:rPr>
                <w:rFonts w:eastAsia="Calibri"/>
              </w:rPr>
              <w:t xml:space="preserve">Wybudowano lub zmodernizowano 77 centra dystrybucyjne i magazynowe oraz rynki hurtowe (w tym spółdzielnie). Celem jest stworzenie zestawu niezależnych centrów dystrybucji i przechowywania na </w:t>
            </w:r>
            <w:r w:rsidRPr="00E0193B">
              <w:rPr>
                <w:rFonts w:eastAsia="Calibri"/>
              </w:rPr>
              <w:lastRenderedPageBreak/>
              <w:t>poziomie lokalnym, aby zdywersyfikować i skrócić łańcuch dostaw żywności, a także zachęcić do bardziej zrównoważonych praktyk produkcyjnych w sektorze rolno-spożywczym, zwłaszcza poprzez zapobieganie marnotrawieniu żywności. (…)</w:t>
            </w:r>
          </w:p>
          <w:p w14:paraId="534F4B0B" w14:textId="0FE211CB" w:rsidR="00D94758" w:rsidRPr="00E0193B" w:rsidRDefault="00D94758" w:rsidP="00D94758">
            <w:pPr>
              <w:spacing w:after="120" w:line="240" w:lineRule="auto"/>
              <w:jc w:val="left"/>
              <w:rPr>
                <w:rFonts w:eastAsia="Calibri"/>
              </w:rPr>
            </w:pPr>
            <w:r w:rsidRPr="00E0193B">
              <w:rPr>
                <w:rFonts w:eastAsia="Calibri"/>
              </w:rPr>
              <w:t>Inwestycja zapewni zrównoważoną realizację wszystkich rodzajów projektów opisanych w wartości docelowej, z uwzględnieniem zarówno szczególnych potrzeb beneficjentów, jak i celów rozporządzenia w sprawie RRF.</w:t>
            </w:r>
          </w:p>
          <w:p w14:paraId="6ED143FA" w14:textId="0E579EDB" w:rsidR="0067669A" w:rsidRPr="00E0193B" w:rsidRDefault="0067669A" w:rsidP="00D94758">
            <w:pPr>
              <w:spacing w:after="120" w:line="240" w:lineRule="auto"/>
              <w:jc w:val="left"/>
              <w:rPr>
                <w:rFonts w:eastAsia="Calibri"/>
              </w:rPr>
            </w:pPr>
            <w:r w:rsidRPr="00E0193B">
              <w:rPr>
                <w:rFonts w:eastAsia="Calibri"/>
              </w:rPr>
              <w:t>Cel: 77</w:t>
            </w:r>
          </w:p>
          <w:p w14:paraId="23FEC67B" w14:textId="77777777" w:rsidR="00D94758" w:rsidRPr="00E0193B" w:rsidRDefault="00D94758" w:rsidP="00D94758">
            <w:pPr>
              <w:spacing w:after="120" w:line="240" w:lineRule="auto"/>
              <w:jc w:val="left"/>
              <w:rPr>
                <w:rFonts w:eastAsia="Calibri"/>
              </w:rPr>
            </w:pPr>
            <w:r w:rsidRPr="00E0193B">
              <w:rPr>
                <w:rFonts w:eastAsia="Calibri"/>
              </w:rPr>
              <w:t>(…) Orientacyjny harmonogram zakończenia działania: IV kw. 2025</w:t>
            </w:r>
          </w:p>
        </w:tc>
        <w:tc>
          <w:tcPr>
            <w:tcW w:w="2164" w:type="pct"/>
          </w:tcPr>
          <w:p w14:paraId="0B3EBC5B" w14:textId="77777777" w:rsidR="00FB61AA" w:rsidRPr="00E0193B" w:rsidRDefault="00D94758" w:rsidP="00D94758">
            <w:pPr>
              <w:spacing w:after="120" w:line="240" w:lineRule="auto"/>
              <w:jc w:val="left"/>
              <w:rPr>
                <w:rFonts w:eastAsia="Calibri"/>
                <w:b/>
              </w:rPr>
            </w:pPr>
            <w:r w:rsidRPr="00E0193B">
              <w:rPr>
                <w:rFonts w:eastAsia="Calibri"/>
                <w:bCs/>
              </w:rPr>
              <w:lastRenderedPageBreak/>
              <w:t>A21G</w:t>
            </w:r>
            <w:r w:rsidRPr="00E0193B">
              <w:rPr>
                <w:rFonts w:eastAsia="Calibri"/>
                <w:b/>
              </w:rPr>
              <w:t xml:space="preserve"> </w:t>
            </w:r>
          </w:p>
          <w:p w14:paraId="45623D0A" w14:textId="1050EA71" w:rsidR="00D94758" w:rsidRPr="00E0193B" w:rsidRDefault="00D94758" w:rsidP="00D94758">
            <w:pPr>
              <w:spacing w:after="120" w:line="240" w:lineRule="auto"/>
              <w:jc w:val="left"/>
              <w:rPr>
                <w:rFonts w:eastAsia="Calibri"/>
              </w:rPr>
            </w:pPr>
            <w:r w:rsidRPr="00E0193B">
              <w:rPr>
                <w:rFonts w:eastAsia="Calibri"/>
              </w:rPr>
              <w:t>Wybudowano lub zmodernizowano </w:t>
            </w:r>
            <w:r w:rsidRPr="00E0193B">
              <w:rPr>
                <w:rFonts w:eastAsia="Calibri"/>
                <w:bCs/>
                <w:iCs/>
                <w:color w:val="FF0000"/>
              </w:rPr>
              <w:t>166</w:t>
            </w:r>
            <w:r w:rsidRPr="00E0193B">
              <w:rPr>
                <w:rFonts w:eastAsia="Calibri"/>
              </w:rPr>
              <w:t xml:space="preserve"> centrów dystrybucyjnych i magazynowych oraz rynków hurtowych (w tym spółdzielni). Celem jest stworzenie zestawu niezależnych centrów dystrybucji i przechowywania na poziomie lokalnym, aby </w:t>
            </w:r>
            <w:r w:rsidRPr="00E0193B">
              <w:rPr>
                <w:rFonts w:eastAsia="Calibri"/>
              </w:rPr>
              <w:lastRenderedPageBreak/>
              <w:t>zdywersyfikować i skrócić łańcuch dostaw żywności, a także zachęcić do bardziej zrównoważonych praktyk produkcyjnych w sektorze rolno-spożywczym, zwłaszcza poprzez zapobieganie marnotrawieniu żywności.(…)</w:t>
            </w:r>
          </w:p>
          <w:p w14:paraId="64CC7415" w14:textId="77777777" w:rsidR="00D94758" w:rsidRPr="00E0193B" w:rsidRDefault="00D94758" w:rsidP="00D94758">
            <w:pPr>
              <w:spacing w:after="120" w:line="240" w:lineRule="auto"/>
              <w:jc w:val="left"/>
              <w:rPr>
                <w:rFonts w:eastAsia="Calibri"/>
              </w:rPr>
            </w:pPr>
          </w:p>
          <w:p w14:paraId="128E4676" w14:textId="77777777" w:rsidR="00D94758" w:rsidRPr="00E0193B" w:rsidRDefault="00D94758" w:rsidP="00D94758">
            <w:pPr>
              <w:spacing w:after="120" w:line="240" w:lineRule="auto"/>
              <w:jc w:val="left"/>
              <w:rPr>
                <w:rFonts w:eastAsia="Calibri"/>
              </w:rPr>
            </w:pPr>
            <w:r w:rsidRPr="00E0193B">
              <w:rPr>
                <w:rFonts w:eastAsia="Calibri"/>
              </w:rPr>
              <w:t>Inwestycja zapewni zrównoważoną realizację wszystkich rodzajów projektów opisanych w wartości docelowej, z uwzględnieniem zarówno szczególnych potrzeb beneficjentów, jak i celów rozporządzenia w sprawie RRF.</w:t>
            </w:r>
          </w:p>
          <w:p w14:paraId="7731E7DE" w14:textId="1990EC8F" w:rsidR="00D94758" w:rsidRPr="00E0193B" w:rsidRDefault="0067669A" w:rsidP="00D94758">
            <w:pPr>
              <w:spacing w:after="120" w:line="240" w:lineRule="auto"/>
              <w:jc w:val="left"/>
              <w:rPr>
                <w:rFonts w:eastAsia="Calibri"/>
              </w:rPr>
            </w:pPr>
            <w:r w:rsidRPr="00E0193B">
              <w:rPr>
                <w:rFonts w:eastAsia="Calibri"/>
              </w:rPr>
              <w:t xml:space="preserve">Cel: </w:t>
            </w:r>
            <w:r w:rsidRPr="00E0193B">
              <w:rPr>
                <w:rFonts w:eastAsia="Calibri"/>
                <w:color w:val="FF0000"/>
              </w:rPr>
              <w:t>166</w:t>
            </w:r>
          </w:p>
          <w:p w14:paraId="133323DF" w14:textId="77777777" w:rsidR="001E3ABD" w:rsidRPr="00E0193B" w:rsidRDefault="001E3ABD" w:rsidP="00D94758">
            <w:pPr>
              <w:spacing w:after="120" w:line="240" w:lineRule="auto"/>
              <w:jc w:val="left"/>
              <w:rPr>
                <w:rFonts w:eastAsia="Calibri"/>
              </w:rPr>
            </w:pPr>
          </w:p>
          <w:p w14:paraId="50992908" w14:textId="77777777" w:rsidR="00D94758" w:rsidRPr="00E0193B" w:rsidRDefault="00D94758" w:rsidP="00D94758">
            <w:pPr>
              <w:spacing w:after="120" w:line="240" w:lineRule="auto"/>
              <w:jc w:val="left"/>
              <w:rPr>
                <w:rFonts w:eastAsia="Calibri"/>
              </w:rPr>
            </w:pPr>
            <w:r w:rsidRPr="00E0193B">
              <w:rPr>
                <w:rFonts w:eastAsia="Calibri"/>
              </w:rPr>
              <w:t xml:space="preserve">(…) Orientacyjny harmonogram zakończenia działania: </w:t>
            </w:r>
            <w:r w:rsidRPr="00E0193B">
              <w:rPr>
                <w:rFonts w:eastAsia="Calibri"/>
                <w:color w:val="FF0000"/>
              </w:rPr>
              <w:t>II kw. 2026r.</w:t>
            </w:r>
          </w:p>
        </w:tc>
      </w:tr>
      <w:tr w:rsidR="001E3ABD" w:rsidRPr="00935797" w14:paraId="7E331396" w14:textId="77777777" w:rsidTr="00E70A4A">
        <w:tc>
          <w:tcPr>
            <w:tcW w:w="1061" w:type="pct"/>
          </w:tcPr>
          <w:p w14:paraId="5FD81575" w14:textId="77777777" w:rsidR="001E3ABD" w:rsidRPr="00E0193B" w:rsidRDefault="001E3ABD" w:rsidP="00D94758">
            <w:pPr>
              <w:spacing w:after="120" w:line="240" w:lineRule="auto"/>
              <w:jc w:val="left"/>
              <w:rPr>
                <w:rFonts w:eastAsia="Calibri"/>
              </w:rPr>
            </w:pPr>
          </w:p>
        </w:tc>
        <w:tc>
          <w:tcPr>
            <w:tcW w:w="1775" w:type="pct"/>
          </w:tcPr>
          <w:p w14:paraId="54E5D609" w14:textId="77777777" w:rsidR="00FB61AA" w:rsidRPr="00E0193B" w:rsidRDefault="001E3ABD" w:rsidP="001E3ABD">
            <w:pPr>
              <w:spacing w:after="120" w:line="240" w:lineRule="auto"/>
              <w:jc w:val="left"/>
              <w:rPr>
                <w:rFonts w:eastAsia="Calibri"/>
                <w:b/>
                <w:lang w:val="en-GB"/>
              </w:rPr>
            </w:pPr>
            <w:r w:rsidRPr="00E0193B">
              <w:rPr>
                <w:rFonts w:eastAsia="Calibri"/>
                <w:bCs/>
                <w:lang w:val="en-GB"/>
              </w:rPr>
              <w:t>A21G</w:t>
            </w:r>
            <w:r w:rsidRPr="00E0193B">
              <w:rPr>
                <w:rFonts w:eastAsia="Calibri"/>
                <w:b/>
                <w:lang w:val="en-GB"/>
              </w:rPr>
              <w:t xml:space="preserve"> </w:t>
            </w:r>
          </w:p>
          <w:p w14:paraId="4F2F1029" w14:textId="4B995885" w:rsidR="001E3ABD" w:rsidRPr="00E0193B" w:rsidRDefault="001E3ABD" w:rsidP="001E3ABD">
            <w:pPr>
              <w:spacing w:after="120" w:line="240" w:lineRule="auto"/>
              <w:jc w:val="left"/>
              <w:rPr>
                <w:rFonts w:eastAsia="Calibri"/>
                <w:b/>
                <w:lang w:val="en-GB"/>
              </w:rPr>
            </w:pPr>
            <w:r w:rsidRPr="00E0193B">
              <w:rPr>
                <w:rFonts w:eastAsia="Calibri"/>
                <w:bCs/>
                <w:lang w:val="en-GB"/>
              </w:rPr>
              <w:t>At least 77 distribution and storage centres and wholesale markets (including cooperatives) built or modernised. The objective is to create a set of independent distribution and storage centres at the local level to diversify and shorten the food supply chain as well as to encourage more sustainable production practices in the agri-food sector, especially by preventing food waste.(…)</w:t>
            </w:r>
          </w:p>
          <w:p w14:paraId="5B8BD2B5" w14:textId="77777777" w:rsidR="001E3ABD" w:rsidRPr="00E0193B" w:rsidRDefault="001E3ABD" w:rsidP="001E3ABD">
            <w:pPr>
              <w:spacing w:after="120" w:line="240" w:lineRule="auto"/>
              <w:jc w:val="left"/>
              <w:rPr>
                <w:rFonts w:eastAsia="Calibri"/>
                <w:bCs/>
                <w:lang w:val="en-GB"/>
              </w:rPr>
            </w:pPr>
            <w:r w:rsidRPr="00E0193B">
              <w:rPr>
                <w:rFonts w:eastAsia="Calibri"/>
                <w:bCs/>
                <w:lang w:val="en-GB"/>
              </w:rPr>
              <w:t>The investment shall ensure a balanced implementation of all the types of projects described in the target, considering both the specific needs of beneficiaries and the objectives of the RRF regulation.</w:t>
            </w:r>
          </w:p>
          <w:p w14:paraId="2D1C6B48" w14:textId="13E7B2B6" w:rsidR="001E3ABD" w:rsidRPr="00E0193B" w:rsidRDefault="001E3ABD" w:rsidP="001E3ABD">
            <w:pPr>
              <w:spacing w:after="120" w:line="240" w:lineRule="auto"/>
              <w:jc w:val="left"/>
              <w:rPr>
                <w:rFonts w:eastAsia="Calibri"/>
                <w:bCs/>
                <w:lang w:val="en-GB"/>
              </w:rPr>
            </w:pPr>
            <w:r w:rsidRPr="00E0193B">
              <w:rPr>
                <w:rFonts w:eastAsia="Calibri"/>
                <w:bCs/>
                <w:lang w:val="en-GB"/>
              </w:rPr>
              <w:t>(…)</w:t>
            </w:r>
          </w:p>
          <w:p w14:paraId="663001AA" w14:textId="610BDB3C" w:rsidR="0067669A" w:rsidRPr="00E0193B" w:rsidRDefault="0067669A" w:rsidP="0067669A">
            <w:pPr>
              <w:spacing w:after="120" w:line="240" w:lineRule="auto"/>
              <w:jc w:val="left"/>
              <w:rPr>
                <w:rFonts w:eastAsia="Calibri"/>
                <w:lang w:val="en-AU"/>
              </w:rPr>
            </w:pPr>
            <w:r w:rsidRPr="00E0193B">
              <w:rPr>
                <w:rFonts w:eastAsia="Calibri"/>
                <w:lang w:val="en-AU"/>
              </w:rPr>
              <w:t>Goal: 77</w:t>
            </w:r>
          </w:p>
          <w:p w14:paraId="7FBC02F7" w14:textId="528457E6" w:rsidR="001E3ABD" w:rsidRPr="00E0193B" w:rsidRDefault="001E3ABD" w:rsidP="00D94758">
            <w:pPr>
              <w:spacing w:after="120" w:line="240" w:lineRule="auto"/>
              <w:jc w:val="left"/>
              <w:rPr>
                <w:rFonts w:eastAsia="Calibri"/>
                <w:bCs/>
                <w:lang w:val="en-GB"/>
              </w:rPr>
            </w:pPr>
            <w:r w:rsidRPr="00E0193B">
              <w:rPr>
                <w:rFonts w:eastAsia="Calibri"/>
                <w:bCs/>
                <w:lang w:val="en-GB"/>
              </w:rPr>
              <w:t>Indicative timeline for completion: Q4 2025</w:t>
            </w:r>
          </w:p>
        </w:tc>
        <w:tc>
          <w:tcPr>
            <w:tcW w:w="2164" w:type="pct"/>
          </w:tcPr>
          <w:p w14:paraId="1571D8DD" w14:textId="77777777" w:rsidR="00FB61AA" w:rsidRPr="00E0193B" w:rsidRDefault="001E3ABD" w:rsidP="001E3ABD">
            <w:pPr>
              <w:spacing w:after="120" w:line="240" w:lineRule="auto"/>
              <w:jc w:val="left"/>
              <w:rPr>
                <w:rFonts w:eastAsia="Calibri"/>
                <w:b/>
                <w:lang w:val="en-GB"/>
              </w:rPr>
            </w:pPr>
            <w:r w:rsidRPr="00E0193B">
              <w:rPr>
                <w:rFonts w:eastAsia="Calibri"/>
                <w:bCs/>
                <w:lang w:val="en-GB"/>
              </w:rPr>
              <w:t>A21G</w:t>
            </w:r>
            <w:r w:rsidRPr="00E0193B">
              <w:rPr>
                <w:rFonts w:eastAsia="Calibri"/>
                <w:b/>
                <w:lang w:val="en-GB"/>
              </w:rPr>
              <w:t xml:space="preserve"> </w:t>
            </w:r>
          </w:p>
          <w:p w14:paraId="2D240874" w14:textId="1D565E71" w:rsidR="001E3ABD" w:rsidRPr="00E0193B" w:rsidRDefault="001E3ABD" w:rsidP="001E3ABD">
            <w:pPr>
              <w:spacing w:after="120" w:line="240" w:lineRule="auto"/>
              <w:jc w:val="left"/>
              <w:rPr>
                <w:rFonts w:eastAsia="Calibri"/>
                <w:b/>
                <w:lang w:val="en-GB"/>
              </w:rPr>
            </w:pPr>
            <w:r w:rsidRPr="00E0193B">
              <w:rPr>
                <w:rFonts w:eastAsia="Calibri"/>
                <w:bCs/>
                <w:lang w:val="en-GB"/>
              </w:rPr>
              <w:t xml:space="preserve">At least </w:t>
            </w:r>
            <w:r w:rsidRPr="00E0193B">
              <w:rPr>
                <w:rFonts w:eastAsia="Calibri"/>
                <w:bCs/>
                <w:color w:val="FF0000"/>
                <w:lang w:val="en-GB"/>
              </w:rPr>
              <w:t xml:space="preserve">166 </w:t>
            </w:r>
            <w:r w:rsidRPr="00E0193B">
              <w:rPr>
                <w:rFonts w:eastAsia="Calibri"/>
                <w:bCs/>
                <w:lang w:val="en-GB"/>
              </w:rPr>
              <w:t>distribution and storage centres and wholesale markets (including cooperatives) built or modernised. The objective is to create a set of independent distribution and storage centres at the local level to diversify and shorten the food supply chain as well as to encourage more sustainable production practices in the agri-food sector, especially by preventing food waste.(…)</w:t>
            </w:r>
          </w:p>
          <w:p w14:paraId="5A65245A" w14:textId="77777777" w:rsidR="001E3ABD" w:rsidRPr="00E0193B" w:rsidRDefault="001E3ABD" w:rsidP="001E3ABD">
            <w:pPr>
              <w:spacing w:after="120" w:line="240" w:lineRule="auto"/>
              <w:jc w:val="left"/>
              <w:rPr>
                <w:rFonts w:eastAsia="Calibri"/>
                <w:bCs/>
                <w:lang w:val="en-GB"/>
              </w:rPr>
            </w:pPr>
            <w:r w:rsidRPr="00E0193B">
              <w:rPr>
                <w:rFonts w:eastAsia="Calibri"/>
                <w:bCs/>
                <w:lang w:val="en-GB"/>
              </w:rPr>
              <w:t>The investment shall ensure a balanced implementation of all the types of projects described in the target, considering both the specific needs of beneficiaries and the objectives of the RRF regulation.</w:t>
            </w:r>
          </w:p>
          <w:p w14:paraId="75308535" w14:textId="77777777" w:rsidR="001E3ABD" w:rsidRPr="00E0193B" w:rsidRDefault="001E3ABD" w:rsidP="001E3ABD">
            <w:pPr>
              <w:spacing w:after="120" w:line="240" w:lineRule="auto"/>
              <w:jc w:val="left"/>
              <w:rPr>
                <w:rFonts w:eastAsia="Calibri"/>
                <w:bCs/>
                <w:lang w:val="en-GB"/>
              </w:rPr>
            </w:pPr>
            <w:r w:rsidRPr="00E0193B">
              <w:rPr>
                <w:rFonts w:eastAsia="Calibri"/>
                <w:bCs/>
                <w:lang w:val="en-GB"/>
              </w:rPr>
              <w:t>(…)</w:t>
            </w:r>
          </w:p>
          <w:p w14:paraId="2176FD1F" w14:textId="2E627450" w:rsidR="001E3ABD" w:rsidRPr="00E0193B" w:rsidRDefault="001E3ABD" w:rsidP="001E3ABD">
            <w:pPr>
              <w:spacing w:after="120" w:line="240" w:lineRule="auto"/>
              <w:jc w:val="left"/>
              <w:rPr>
                <w:rFonts w:eastAsia="Calibri"/>
                <w:bCs/>
                <w:lang w:val="en-GB"/>
              </w:rPr>
            </w:pPr>
          </w:p>
          <w:p w14:paraId="1214E39A" w14:textId="77777777" w:rsidR="0028335E" w:rsidRPr="00E0193B" w:rsidRDefault="0028335E" w:rsidP="001E3ABD">
            <w:pPr>
              <w:spacing w:after="120" w:line="240" w:lineRule="auto"/>
              <w:jc w:val="left"/>
              <w:rPr>
                <w:rFonts w:eastAsia="Calibri"/>
                <w:bCs/>
                <w:lang w:val="en-GB"/>
              </w:rPr>
            </w:pPr>
          </w:p>
          <w:p w14:paraId="0CAF7201" w14:textId="5812A50F" w:rsidR="00623469" w:rsidRPr="00E0193B" w:rsidRDefault="00623469" w:rsidP="00623469">
            <w:pPr>
              <w:spacing w:after="120" w:line="240" w:lineRule="auto"/>
              <w:jc w:val="left"/>
              <w:rPr>
                <w:rFonts w:eastAsia="Calibri"/>
                <w:lang w:val="en-AU"/>
              </w:rPr>
            </w:pPr>
            <w:r w:rsidRPr="00E0193B">
              <w:rPr>
                <w:rFonts w:eastAsia="Calibri"/>
                <w:lang w:val="en-AU"/>
              </w:rPr>
              <w:t xml:space="preserve">Goal: </w:t>
            </w:r>
            <w:r w:rsidRPr="00E0193B">
              <w:rPr>
                <w:rFonts w:eastAsia="Calibri"/>
                <w:color w:val="FF0000"/>
                <w:lang w:val="en-AU"/>
              </w:rPr>
              <w:t>166</w:t>
            </w:r>
          </w:p>
          <w:p w14:paraId="6AE8E5B6" w14:textId="77777777" w:rsidR="001E3ABD" w:rsidRPr="00E0193B" w:rsidRDefault="001E3ABD" w:rsidP="001E3ABD">
            <w:pPr>
              <w:spacing w:after="120" w:line="240" w:lineRule="auto"/>
              <w:jc w:val="left"/>
              <w:rPr>
                <w:rFonts w:eastAsia="Calibri"/>
                <w:bCs/>
                <w:lang w:val="en-GB"/>
              </w:rPr>
            </w:pPr>
          </w:p>
          <w:p w14:paraId="6ACAB949" w14:textId="27882E3C" w:rsidR="001E3ABD" w:rsidRPr="00E0193B" w:rsidRDefault="001E3ABD" w:rsidP="00D94758">
            <w:pPr>
              <w:spacing w:after="120" w:line="240" w:lineRule="auto"/>
              <w:jc w:val="left"/>
              <w:rPr>
                <w:rFonts w:eastAsia="Calibri"/>
                <w:bCs/>
                <w:lang w:val="en-GB"/>
              </w:rPr>
            </w:pPr>
            <w:r w:rsidRPr="00E0193B">
              <w:rPr>
                <w:rFonts w:eastAsia="Calibri"/>
                <w:bCs/>
                <w:lang w:val="en-GB"/>
              </w:rPr>
              <w:t xml:space="preserve">Indicative timeline for completion: </w:t>
            </w:r>
            <w:r w:rsidRPr="00E0193B">
              <w:rPr>
                <w:rFonts w:eastAsia="Calibri"/>
                <w:bCs/>
                <w:color w:val="FF0000"/>
                <w:lang w:val="en-GB"/>
              </w:rPr>
              <w:t>Q2 2026</w:t>
            </w:r>
          </w:p>
        </w:tc>
      </w:tr>
      <w:tr w:rsidR="00D94758" w:rsidRPr="00E0193B" w14:paraId="0C76764C" w14:textId="77777777" w:rsidTr="00E70A4A">
        <w:trPr>
          <w:trHeight w:val="558"/>
        </w:trPr>
        <w:tc>
          <w:tcPr>
            <w:tcW w:w="1061" w:type="pct"/>
          </w:tcPr>
          <w:p w14:paraId="131AF869" w14:textId="34E9DF77" w:rsidR="00D94758" w:rsidRPr="00E0193B" w:rsidRDefault="00D94758" w:rsidP="00D94758">
            <w:pPr>
              <w:spacing w:after="120" w:line="240" w:lineRule="auto"/>
              <w:jc w:val="left"/>
              <w:rPr>
                <w:rFonts w:eastAsia="Calibri"/>
                <w:lang w:val="en-AU"/>
              </w:rPr>
            </w:pPr>
          </w:p>
        </w:tc>
        <w:tc>
          <w:tcPr>
            <w:tcW w:w="1775" w:type="pct"/>
          </w:tcPr>
          <w:p w14:paraId="37DFBCAF" w14:textId="77777777" w:rsidR="00FB61AA" w:rsidRPr="00E0193B" w:rsidRDefault="00D94758" w:rsidP="00D94758">
            <w:pPr>
              <w:spacing w:after="120" w:line="240" w:lineRule="auto"/>
              <w:jc w:val="left"/>
              <w:rPr>
                <w:rFonts w:eastAsia="Calibri"/>
              </w:rPr>
            </w:pPr>
            <w:r w:rsidRPr="00E0193B">
              <w:rPr>
                <w:rFonts w:eastAsia="Calibri"/>
                <w:bCs/>
              </w:rPr>
              <w:t>A23G</w:t>
            </w:r>
            <w:r w:rsidRPr="00E0193B">
              <w:rPr>
                <w:rFonts w:eastAsia="Calibri"/>
              </w:rPr>
              <w:t xml:space="preserve"> </w:t>
            </w:r>
          </w:p>
          <w:p w14:paraId="67FF387D" w14:textId="3B39EA56" w:rsidR="00D94758" w:rsidRPr="00E0193B" w:rsidRDefault="00D94758" w:rsidP="00D94758">
            <w:pPr>
              <w:spacing w:after="120" w:line="240" w:lineRule="auto"/>
              <w:jc w:val="left"/>
              <w:rPr>
                <w:rFonts w:eastAsia="Calibri"/>
              </w:rPr>
            </w:pPr>
            <w:r w:rsidRPr="00E0193B">
              <w:rPr>
                <w:rFonts w:eastAsia="Calibri"/>
              </w:rPr>
              <w:t>Co najmniej 800 MŚP w sektorze rolno-spożywczym i sektorze gospodarki rybnej ukończyło projekty ukierunkowane na modernizację infrastruktury i wyposażenia.  (...)</w:t>
            </w:r>
          </w:p>
          <w:p w14:paraId="4526F44B" w14:textId="5E5327A9" w:rsidR="00D94758" w:rsidRPr="00E0193B" w:rsidRDefault="00D94758" w:rsidP="00D94758">
            <w:pPr>
              <w:spacing w:after="120" w:line="240" w:lineRule="auto"/>
              <w:jc w:val="left"/>
              <w:rPr>
                <w:rFonts w:eastAsia="Calibri"/>
              </w:rPr>
            </w:pPr>
            <w:r w:rsidRPr="00E0193B">
              <w:rPr>
                <w:rFonts w:eastAsia="Calibri"/>
              </w:rPr>
              <w:t>Inwestycja zapewni zrównoważoną realizację wszystkich rodzajów projektów opisanych w wartości docelowej, z uwzględnieniem zarówno szczególnych potrzeb beneficjentów, jak i celów rozporządzenia w sprawie RRF.</w:t>
            </w:r>
          </w:p>
          <w:p w14:paraId="2EA8681E" w14:textId="22836605" w:rsidR="00623469" w:rsidRPr="00E0193B" w:rsidRDefault="00623469" w:rsidP="00623469">
            <w:pPr>
              <w:spacing w:after="120" w:line="240" w:lineRule="auto"/>
              <w:jc w:val="left"/>
              <w:rPr>
                <w:rFonts w:eastAsia="Calibri"/>
              </w:rPr>
            </w:pPr>
            <w:r w:rsidRPr="00E0193B">
              <w:rPr>
                <w:rFonts w:eastAsia="Calibri"/>
              </w:rPr>
              <w:t>Cel: 800</w:t>
            </w:r>
          </w:p>
          <w:p w14:paraId="0276B5C5" w14:textId="77777777" w:rsidR="00D94758" w:rsidRPr="00E0193B" w:rsidRDefault="00D94758" w:rsidP="00D94758">
            <w:pPr>
              <w:spacing w:after="120" w:line="240" w:lineRule="auto"/>
              <w:jc w:val="left"/>
              <w:rPr>
                <w:rFonts w:eastAsia="Calibri"/>
              </w:rPr>
            </w:pPr>
            <w:r w:rsidRPr="00E0193B">
              <w:rPr>
                <w:rFonts w:eastAsia="Calibri"/>
              </w:rPr>
              <w:t>(…) Orientacyjny harmonogram zakończenia działania: IV kw. 2025r.</w:t>
            </w:r>
          </w:p>
        </w:tc>
        <w:tc>
          <w:tcPr>
            <w:tcW w:w="2164" w:type="pct"/>
          </w:tcPr>
          <w:p w14:paraId="729AE46C" w14:textId="77777777" w:rsidR="00FB61AA" w:rsidRPr="00E0193B" w:rsidRDefault="00D94758" w:rsidP="00D94758">
            <w:pPr>
              <w:spacing w:after="120" w:line="240" w:lineRule="auto"/>
              <w:jc w:val="left"/>
              <w:rPr>
                <w:rFonts w:eastAsia="Calibri"/>
              </w:rPr>
            </w:pPr>
            <w:r w:rsidRPr="00E0193B">
              <w:rPr>
                <w:rFonts w:eastAsia="Calibri"/>
                <w:bCs/>
              </w:rPr>
              <w:t>A23G</w:t>
            </w:r>
            <w:r w:rsidRPr="00E0193B">
              <w:rPr>
                <w:rFonts w:eastAsia="Calibri"/>
              </w:rPr>
              <w:t xml:space="preserve"> </w:t>
            </w:r>
          </w:p>
          <w:p w14:paraId="6DA0F08C" w14:textId="4EE2EC95" w:rsidR="00D94758" w:rsidRPr="00E0193B" w:rsidRDefault="00D94758" w:rsidP="00D94758">
            <w:pPr>
              <w:spacing w:after="120" w:line="240" w:lineRule="auto"/>
              <w:jc w:val="left"/>
              <w:rPr>
                <w:rFonts w:eastAsia="Calibri"/>
              </w:rPr>
            </w:pPr>
            <w:r w:rsidRPr="00E0193B">
              <w:rPr>
                <w:rFonts w:eastAsia="Calibri"/>
              </w:rPr>
              <w:t xml:space="preserve">Co najmniej </w:t>
            </w:r>
            <w:r w:rsidRPr="00E0193B">
              <w:rPr>
                <w:rFonts w:eastAsia="Calibri"/>
                <w:color w:val="FF0000"/>
              </w:rPr>
              <w:t xml:space="preserve">830 </w:t>
            </w:r>
            <w:r w:rsidRPr="00E0193B">
              <w:rPr>
                <w:rFonts w:eastAsia="Calibri"/>
              </w:rPr>
              <w:t>MŚP w sektorze rolno-spożywczym i sektorze gospodarki rybnej ukończyło projekty ukierunkowane na modernizację infrastruktury i wyposażenia.  (...)</w:t>
            </w:r>
          </w:p>
          <w:p w14:paraId="52390AD7" w14:textId="77777777" w:rsidR="00D94758" w:rsidRPr="00E0193B" w:rsidRDefault="00D94758" w:rsidP="00D94758">
            <w:pPr>
              <w:spacing w:after="120" w:line="240" w:lineRule="auto"/>
              <w:jc w:val="left"/>
              <w:rPr>
                <w:rFonts w:eastAsia="Calibri"/>
              </w:rPr>
            </w:pPr>
          </w:p>
          <w:p w14:paraId="7161CE2B" w14:textId="77777777" w:rsidR="00D94758" w:rsidRPr="00E0193B" w:rsidRDefault="00D94758" w:rsidP="00D94758">
            <w:pPr>
              <w:spacing w:after="120" w:line="240" w:lineRule="auto"/>
              <w:jc w:val="left"/>
              <w:rPr>
                <w:rFonts w:eastAsia="Calibri"/>
              </w:rPr>
            </w:pPr>
          </w:p>
          <w:p w14:paraId="502F2F52" w14:textId="25EDA556" w:rsidR="00D94758" w:rsidRPr="00E0193B" w:rsidRDefault="00D94758" w:rsidP="00D94758">
            <w:pPr>
              <w:spacing w:after="120" w:line="240" w:lineRule="auto"/>
              <w:jc w:val="left"/>
              <w:rPr>
                <w:rFonts w:eastAsia="Calibri"/>
              </w:rPr>
            </w:pPr>
            <w:r w:rsidRPr="00E0193B">
              <w:rPr>
                <w:rFonts w:eastAsia="Calibri"/>
              </w:rPr>
              <w:t>Inwestycja zapewni zrównoważoną realizację wszystkich rodzajów projektów opisanych w wartości docelowej, z uwzględnieniem zarówno szczególnych potrzeb beneficjentów, jak i celów rozporządzenia w sprawie RRF.</w:t>
            </w:r>
          </w:p>
          <w:p w14:paraId="1605652C" w14:textId="0B05A2F1" w:rsidR="00623469" w:rsidRPr="00E0193B" w:rsidRDefault="00623469" w:rsidP="00623469">
            <w:pPr>
              <w:spacing w:after="120" w:line="240" w:lineRule="auto"/>
              <w:jc w:val="left"/>
              <w:rPr>
                <w:rFonts w:eastAsia="Calibri"/>
              </w:rPr>
            </w:pPr>
            <w:r w:rsidRPr="00E0193B">
              <w:rPr>
                <w:rFonts w:eastAsia="Calibri"/>
              </w:rPr>
              <w:t xml:space="preserve">Cel: </w:t>
            </w:r>
            <w:r w:rsidRPr="00E0193B">
              <w:rPr>
                <w:rFonts w:eastAsia="Calibri"/>
                <w:color w:val="FF0000"/>
              </w:rPr>
              <w:t>830</w:t>
            </w:r>
          </w:p>
          <w:p w14:paraId="3D37459D" w14:textId="3ED098F5" w:rsidR="00D94758" w:rsidRPr="00E0193B" w:rsidRDefault="00D94758" w:rsidP="00D94758">
            <w:pPr>
              <w:spacing w:after="120" w:line="240" w:lineRule="auto"/>
              <w:jc w:val="left"/>
              <w:rPr>
                <w:rFonts w:eastAsia="Calibri"/>
              </w:rPr>
            </w:pPr>
            <w:r w:rsidRPr="00E0193B">
              <w:rPr>
                <w:rFonts w:eastAsia="Calibri"/>
              </w:rPr>
              <w:t xml:space="preserve">Orientacyjny harmonogram zakończenia działania: </w:t>
            </w:r>
            <w:r w:rsidRPr="00E0193B">
              <w:rPr>
                <w:rFonts w:eastAsia="Calibri"/>
                <w:color w:val="FF0000"/>
              </w:rPr>
              <w:t>II kw. 2026r.</w:t>
            </w:r>
          </w:p>
        </w:tc>
      </w:tr>
      <w:tr w:rsidR="001E3ABD" w:rsidRPr="00935797" w14:paraId="1DD4BFFC" w14:textId="77777777" w:rsidTr="00E70A4A">
        <w:trPr>
          <w:trHeight w:val="558"/>
        </w:trPr>
        <w:tc>
          <w:tcPr>
            <w:tcW w:w="1061" w:type="pct"/>
          </w:tcPr>
          <w:p w14:paraId="129E6827" w14:textId="77777777" w:rsidR="001E3ABD" w:rsidRPr="00E0193B" w:rsidRDefault="001E3ABD" w:rsidP="00D94758">
            <w:pPr>
              <w:spacing w:after="120" w:line="240" w:lineRule="auto"/>
              <w:jc w:val="left"/>
              <w:rPr>
                <w:rFonts w:eastAsia="Calibri"/>
              </w:rPr>
            </w:pPr>
          </w:p>
        </w:tc>
        <w:tc>
          <w:tcPr>
            <w:tcW w:w="1775" w:type="pct"/>
          </w:tcPr>
          <w:p w14:paraId="4BC7E682" w14:textId="77777777" w:rsidR="00FB61AA" w:rsidRPr="00E0193B" w:rsidRDefault="001E3ABD" w:rsidP="001E3ABD">
            <w:pPr>
              <w:spacing w:after="120" w:line="240" w:lineRule="auto"/>
              <w:jc w:val="left"/>
              <w:rPr>
                <w:rFonts w:eastAsia="Calibri"/>
                <w:bCs/>
                <w:lang w:val="en-GB"/>
              </w:rPr>
            </w:pPr>
            <w:r w:rsidRPr="00E0193B">
              <w:rPr>
                <w:rFonts w:eastAsia="Calibri"/>
                <w:bCs/>
                <w:lang w:val="en-GB"/>
              </w:rPr>
              <w:t xml:space="preserve">A23G </w:t>
            </w:r>
          </w:p>
          <w:p w14:paraId="1CC854F8" w14:textId="1AE7DAF7" w:rsidR="001E3ABD" w:rsidRPr="00E0193B" w:rsidRDefault="001E3ABD" w:rsidP="001E3ABD">
            <w:pPr>
              <w:spacing w:after="120" w:line="240" w:lineRule="auto"/>
              <w:jc w:val="left"/>
              <w:rPr>
                <w:rFonts w:eastAsia="Calibri"/>
                <w:bCs/>
                <w:lang w:val="en-GB"/>
              </w:rPr>
            </w:pPr>
            <w:r w:rsidRPr="00E0193B">
              <w:rPr>
                <w:rFonts w:eastAsia="Calibri"/>
                <w:bCs/>
                <w:lang w:val="en-GB"/>
              </w:rPr>
              <w:t>At least 800 SMEs in the agri-food and fisheries sector completed projects to modernise their infrastructure and equipment.(…)</w:t>
            </w:r>
          </w:p>
          <w:p w14:paraId="3CFC5B48" w14:textId="7248B570" w:rsidR="001E3ABD" w:rsidRPr="00E0193B" w:rsidRDefault="001E3ABD" w:rsidP="001E3ABD">
            <w:pPr>
              <w:spacing w:after="120" w:line="240" w:lineRule="auto"/>
              <w:jc w:val="left"/>
              <w:rPr>
                <w:rFonts w:eastAsia="Calibri"/>
                <w:bCs/>
                <w:lang w:val="en-GB"/>
              </w:rPr>
            </w:pPr>
            <w:r w:rsidRPr="00E0193B">
              <w:rPr>
                <w:rFonts w:eastAsia="Calibri"/>
                <w:bCs/>
                <w:lang w:val="en-GB"/>
              </w:rPr>
              <w:t>The investment shall ensure a balanced implementation of all the types of projects described in the target, considering both the specific needs of beneficiaries and the objectives of the RRF regulation.(…)</w:t>
            </w:r>
          </w:p>
          <w:p w14:paraId="6A658B3C" w14:textId="08E64212" w:rsidR="00623469" w:rsidRPr="00E0193B" w:rsidRDefault="00623469" w:rsidP="001E3ABD">
            <w:pPr>
              <w:spacing w:after="120" w:line="240" w:lineRule="auto"/>
              <w:jc w:val="left"/>
              <w:rPr>
                <w:rFonts w:eastAsia="Calibri"/>
                <w:lang w:val="en-AU"/>
              </w:rPr>
            </w:pPr>
            <w:r w:rsidRPr="00E0193B">
              <w:rPr>
                <w:rFonts w:eastAsia="Calibri"/>
                <w:lang w:val="en-AU"/>
              </w:rPr>
              <w:t>Goal: 800</w:t>
            </w:r>
          </w:p>
          <w:p w14:paraId="620E4A5A" w14:textId="5BE2F694" w:rsidR="001E3ABD" w:rsidRPr="00E0193B" w:rsidRDefault="001E3ABD" w:rsidP="001E3ABD">
            <w:pPr>
              <w:spacing w:after="120" w:line="240" w:lineRule="auto"/>
              <w:jc w:val="left"/>
              <w:rPr>
                <w:rFonts w:eastAsia="Calibri"/>
                <w:b/>
                <w:lang w:val="en-GB"/>
              </w:rPr>
            </w:pPr>
            <w:r w:rsidRPr="00E0193B">
              <w:rPr>
                <w:rFonts w:eastAsia="Calibri"/>
                <w:bCs/>
                <w:lang w:val="en-GB"/>
              </w:rPr>
              <w:t>Indicative timeline for completion: Q4 2025</w:t>
            </w:r>
          </w:p>
        </w:tc>
        <w:tc>
          <w:tcPr>
            <w:tcW w:w="2164" w:type="pct"/>
          </w:tcPr>
          <w:p w14:paraId="7CC489D0" w14:textId="77777777" w:rsidR="00FB61AA" w:rsidRPr="00E0193B" w:rsidRDefault="001E3ABD" w:rsidP="001E3ABD">
            <w:pPr>
              <w:spacing w:after="120" w:line="240" w:lineRule="auto"/>
              <w:jc w:val="left"/>
              <w:rPr>
                <w:rFonts w:eastAsia="Calibri"/>
                <w:bCs/>
                <w:lang w:val="en-GB"/>
              </w:rPr>
            </w:pPr>
            <w:r w:rsidRPr="00E0193B">
              <w:rPr>
                <w:rFonts w:eastAsia="Calibri"/>
                <w:bCs/>
                <w:lang w:val="en-GB"/>
              </w:rPr>
              <w:t xml:space="preserve">A23G </w:t>
            </w:r>
          </w:p>
          <w:p w14:paraId="10B2BC4B" w14:textId="509EF25C" w:rsidR="001E3ABD" w:rsidRPr="00E0193B" w:rsidRDefault="001E3ABD" w:rsidP="001E3ABD">
            <w:pPr>
              <w:spacing w:after="120" w:line="240" w:lineRule="auto"/>
              <w:jc w:val="left"/>
              <w:rPr>
                <w:rFonts w:eastAsia="Calibri"/>
                <w:bCs/>
                <w:lang w:val="en-GB"/>
              </w:rPr>
            </w:pPr>
            <w:r w:rsidRPr="00E0193B">
              <w:rPr>
                <w:rFonts w:eastAsia="Calibri"/>
                <w:bCs/>
                <w:lang w:val="en-GB"/>
              </w:rPr>
              <w:t xml:space="preserve">At least </w:t>
            </w:r>
            <w:r w:rsidRPr="00E0193B">
              <w:rPr>
                <w:rFonts w:eastAsia="Calibri"/>
                <w:bCs/>
                <w:color w:val="FF0000"/>
                <w:lang w:val="en-GB"/>
              </w:rPr>
              <w:t>830</w:t>
            </w:r>
            <w:r w:rsidRPr="00E0193B">
              <w:rPr>
                <w:rFonts w:eastAsia="Calibri"/>
                <w:bCs/>
                <w:lang w:val="en-GB"/>
              </w:rPr>
              <w:t xml:space="preserve"> SMEs in the agri-food and fisheries sector completed projects to modernise their infrastructure and equipment.(…)</w:t>
            </w:r>
          </w:p>
          <w:p w14:paraId="33EE55AD" w14:textId="77777777" w:rsidR="001E3ABD" w:rsidRPr="00E0193B" w:rsidRDefault="001E3ABD" w:rsidP="001E3ABD">
            <w:pPr>
              <w:spacing w:after="120" w:line="240" w:lineRule="auto"/>
              <w:jc w:val="left"/>
              <w:rPr>
                <w:rFonts w:eastAsia="Calibri"/>
                <w:bCs/>
                <w:strike/>
                <w:color w:val="FF0000"/>
                <w:lang w:val="en-GB"/>
              </w:rPr>
            </w:pPr>
            <w:r w:rsidRPr="00E0193B">
              <w:rPr>
                <w:rFonts w:eastAsia="Calibri"/>
                <w:bCs/>
                <w:lang w:val="en-GB"/>
              </w:rPr>
              <w:t>The investment shall ensure a balanced implementation of all the types of projects described in the target, considering both the specific needs of beneficiaries and the objectives of the RRF regulation.(…)</w:t>
            </w:r>
          </w:p>
          <w:p w14:paraId="51C4C2FD" w14:textId="0209A334" w:rsidR="00623469" w:rsidRPr="00E0193B" w:rsidRDefault="00623469" w:rsidP="00623469">
            <w:pPr>
              <w:spacing w:after="120" w:line="240" w:lineRule="auto"/>
              <w:jc w:val="left"/>
              <w:rPr>
                <w:rFonts w:eastAsia="Calibri"/>
                <w:lang w:val="en-AU"/>
              </w:rPr>
            </w:pPr>
            <w:r w:rsidRPr="00E0193B">
              <w:rPr>
                <w:rFonts w:eastAsia="Calibri"/>
                <w:lang w:val="en-AU"/>
              </w:rPr>
              <w:t xml:space="preserve">Goal: </w:t>
            </w:r>
            <w:r w:rsidRPr="00E0193B">
              <w:rPr>
                <w:rFonts w:eastAsia="Calibri"/>
                <w:color w:val="FF0000"/>
                <w:lang w:val="en-AU"/>
              </w:rPr>
              <w:t>830</w:t>
            </w:r>
          </w:p>
          <w:p w14:paraId="17A094C3" w14:textId="77777777" w:rsidR="001E3ABD" w:rsidRPr="00E0193B" w:rsidRDefault="001E3ABD" w:rsidP="001E3ABD">
            <w:pPr>
              <w:spacing w:after="120" w:line="240" w:lineRule="auto"/>
              <w:jc w:val="left"/>
              <w:rPr>
                <w:rFonts w:eastAsia="Calibri"/>
                <w:bCs/>
                <w:lang w:val="en-GB"/>
              </w:rPr>
            </w:pPr>
          </w:p>
          <w:p w14:paraId="594742A6" w14:textId="2D1A7AD0" w:rsidR="001E3ABD" w:rsidRPr="00E0193B" w:rsidRDefault="001E3ABD" w:rsidP="00D94758">
            <w:pPr>
              <w:spacing w:after="120" w:line="240" w:lineRule="auto"/>
              <w:jc w:val="left"/>
              <w:rPr>
                <w:rFonts w:eastAsia="Calibri"/>
                <w:b/>
                <w:lang w:val="en-GB"/>
              </w:rPr>
            </w:pPr>
            <w:r w:rsidRPr="00E0193B">
              <w:rPr>
                <w:rFonts w:eastAsia="Calibri"/>
                <w:bCs/>
                <w:lang w:val="en-GB"/>
              </w:rPr>
              <w:t xml:space="preserve">Indicative timeline for completion: </w:t>
            </w:r>
            <w:r w:rsidRPr="00E0193B">
              <w:rPr>
                <w:rFonts w:eastAsia="Calibri"/>
                <w:bCs/>
                <w:color w:val="FF0000"/>
                <w:lang w:val="en-GB"/>
              </w:rPr>
              <w:t>Q2 2026</w:t>
            </w:r>
          </w:p>
        </w:tc>
      </w:tr>
      <w:tr w:rsidR="00D94758" w:rsidRPr="00E0193B" w14:paraId="0DD1C92C" w14:textId="77777777" w:rsidTr="00E70A4A">
        <w:trPr>
          <w:trHeight w:val="558"/>
        </w:trPr>
        <w:tc>
          <w:tcPr>
            <w:tcW w:w="1061" w:type="pct"/>
          </w:tcPr>
          <w:p w14:paraId="37A5086B" w14:textId="77777777" w:rsidR="00D94758" w:rsidRPr="00E0193B" w:rsidRDefault="00D94758" w:rsidP="00D94758">
            <w:pPr>
              <w:spacing w:after="120" w:line="240" w:lineRule="auto"/>
              <w:jc w:val="left"/>
              <w:rPr>
                <w:rFonts w:eastAsia="Calibri"/>
              </w:rPr>
            </w:pPr>
            <w:r w:rsidRPr="00E0193B">
              <w:rPr>
                <w:rFonts w:eastAsia="Calibri"/>
              </w:rPr>
              <w:t xml:space="preserve">Opis kamienia milowego lub wskaźnika. </w:t>
            </w:r>
          </w:p>
          <w:p w14:paraId="5140BD4C" w14:textId="77777777" w:rsidR="00D94758" w:rsidRPr="00E0193B" w:rsidRDefault="00D94758" w:rsidP="00D94758">
            <w:pPr>
              <w:spacing w:after="120" w:line="240" w:lineRule="auto"/>
              <w:jc w:val="left"/>
              <w:rPr>
                <w:rFonts w:eastAsia="Calibri"/>
              </w:rPr>
            </w:pPr>
          </w:p>
        </w:tc>
        <w:tc>
          <w:tcPr>
            <w:tcW w:w="1775" w:type="pct"/>
          </w:tcPr>
          <w:p w14:paraId="37339319" w14:textId="77777777" w:rsidR="00FB61AA" w:rsidRPr="00E0193B" w:rsidRDefault="00D94758" w:rsidP="00D94758">
            <w:pPr>
              <w:spacing w:after="120" w:line="240" w:lineRule="auto"/>
              <w:jc w:val="left"/>
              <w:rPr>
                <w:rFonts w:eastAsia="Calibri"/>
              </w:rPr>
            </w:pPr>
            <w:r w:rsidRPr="00E0193B">
              <w:rPr>
                <w:rFonts w:eastAsia="Calibri"/>
                <w:bCs/>
              </w:rPr>
              <w:t>A24G</w:t>
            </w:r>
            <w:r w:rsidRPr="00E0193B">
              <w:rPr>
                <w:rFonts w:eastAsia="Calibri"/>
              </w:rPr>
              <w:t xml:space="preserve"> </w:t>
            </w:r>
          </w:p>
          <w:p w14:paraId="09687F3F" w14:textId="343382F4" w:rsidR="00D94758" w:rsidRPr="00E0193B" w:rsidRDefault="00D94758" w:rsidP="00D94758">
            <w:pPr>
              <w:spacing w:after="120" w:line="240" w:lineRule="auto"/>
              <w:jc w:val="left"/>
              <w:rPr>
                <w:rFonts w:eastAsia="Calibri"/>
              </w:rPr>
            </w:pPr>
            <w:r w:rsidRPr="00E0193B">
              <w:rPr>
                <w:rFonts w:eastAsia="Calibri"/>
              </w:rPr>
              <w:t>Co najmniej 50 organizacji charytatywnych sektora spożywczego zakończyło realizację projektów ukierunkowanych na modernizację infrastruktury i wyposażenia w celu promowania wzorców bardziej zrównoważonego spożycia żywności, w szczególności poprzez zapobieganie marnotrawieniu żywności. (...)</w:t>
            </w:r>
          </w:p>
          <w:p w14:paraId="08E65860" w14:textId="77777777" w:rsidR="00D94758" w:rsidRPr="00E0193B" w:rsidRDefault="00D94758" w:rsidP="00D94758">
            <w:pPr>
              <w:spacing w:after="120" w:line="240" w:lineRule="auto"/>
              <w:jc w:val="left"/>
              <w:rPr>
                <w:rFonts w:eastAsia="Calibri"/>
              </w:rPr>
            </w:pPr>
            <w:r w:rsidRPr="00E0193B">
              <w:rPr>
                <w:rFonts w:eastAsia="Calibri"/>
              </w:rPr>
              <w:t>Inwestycja zapewni zrównoważoną realizację wszystkich rodzajów projektów opisanych w wartości docelowej, z uwzględnieniem zarówno szczególnych potrzeb beneficjentów, jak i celów rozporządzenia w sprawie RRF.</w:t>
            </w:r>
          </w:p>
          <w:p w14:paraId="07D90F1B" w14:textId="77777777" w:rsidR="00D94758" w:rsidRPr="00E0193B" w:rsidRDefault="00D94758" w:rsidP="00D94758">
            <w:pPr>
              <w:spacing w:after="120" w:line="240" w:lineRule="auto"/>
              <w:jc w:val="left"/>
              <w:rPr>
                <w:rFonts w:eastAsia="Calibri"/>
                <w:b/>
              </w:rPr>
            </w:pPr>
            <w:r w:rsidRPr="00E0193B">
              <w:rPr>
                <w:rFonts w:eastAsia="Calibri"/>
              </w:rPr>
              <w:t>(…) Orientacyjny harmonogram zakończenia działania: IV kw. 2025</w:t>
            </w:r>
          </w:p>
        </w:tc>
        <w:tc>
          <w:tcPr>
            <w:tcW w:w="2164" w:type="pct"/>
          </w:tcPr>
          <w:p w14:paraId="16541EEF" w14:textId="77777777" w:rsidR="00FB61AA" w:rsidRPr="00E0193B" w:rsidRDefault="00D94758" w:rsidP="00D94758">
            <w:pPr>
              <w:spacing w:after="120" w:line="240" w:lineRule="auto"/>
              <w:jc w:val="left"/>
              <w:rPr>
                <w:rFonts w:eastAsia="Calibri"/>
              </w:rPr>
            </w:pPr>
            <w:r w:rsidRPr="00E0193B">
              <w:rPr>
                <w:rFonts w:eastAsia="Calibri"/>
                <w:bCs/>
              </w:rPr>
              <w:t>A24G</w:t>
            </w:r>
            <w:r w:rsidRPr="00E0193B">
              <w:rPr>
                <w:rFonts w:eastAsia="Calibri"/>
              </w:rPr>
              <w:t xml:space="preserve"> </w:t>
            </w:r>
          </w:p>
          <w:p w14:paraId="7FC8E217" w14:textId="483E3A6C" w:rsidR="00D94758" w:rsidRPr="00E0193B" w:rsidRDefault="00D94758" w:rsidP="00D94758">
            <w:pPr>
              <w:spacing w:after="120" w:line="240" w:lineRule="auto"/>
              <w:jc w:val="left"/>
              <w:rPr>
                <w:rFonts w:eastAsia="Calibri"/>
              </w:rPr>
            </w:pPr>
            <w:r w:rsidRPr="00E0193B">
              <w:rPr>
                <w:rFonts w:eastAsia="Calibri"/>
              </w:rPr>
              <w:t>Co najmniej 50 organizacji charytatywnych sektora spożywczego zakończyło realizację projektów ukierunkowanych na modernizację infrastruktury i wyposażenia w celu promowania wzorców bardziej zrównoważonego spożycia żywności, w szczególności poprzez zapobieganie marnotrawieniu żywności. (...)</w:t>
            </w:r>
          </w:p>
          <w:p w14:paraId="589694E0" w14:textId="77777777" w:rsidR="00D94758" w:rsidRPr="00E0193B" w:rsidRDefault="00D94758" w:rsidP="00D94758">
            <w:pPr>
              <w:spacing w:after="120" w:line="240" w:lineRule="auto"/>
              <w:jc w:val="left"/>
              <w:rPr>
                <w:rFonts w:eastAsia="Calibri"/>
              </w:rPr>
            </w:pPr>
            <w:r w:rsidRPr="00E0193B">
              <w:rPr>
                <w:rFonts w:eastAsia="Calibri"/>
              </w:rPr>
              <w:t>Inwestycja zapewni zrównoważoną realizację wszystkich rodzajów projektów opisanych w wartości docelowej, z uwzględnieniem zarówno szczególnych potrzeb beneficjentów, jak i celów rozporządzenia w sprawie RRF.</w:t>
            </w:r>
          </w:p>
          <w:p w14:paraId="23DA2D6B" w14:textId="77777777" w:rsidR="00D94758" w:rsidRPr="00E0193B" w:rsidRDefault="00D94758" w:rsidP="00D94758">
            <w:pPr>
              <w:spacing w:after="120" w:line="240" w:lineRule="auto"/>
              <w:jc w:val="left"/>
              <w:rPr>
                <w:rFonts w:eastAsia="Calibri"/>
              </w:rPr>
            </w:pPr>
          </w:p>
          <w:p w14:paraId="040D25C3" w14:textId="77777777" w:rsidR="00D94758" w:rsidRPr="00E0193B" w:rsidRDefault="00D94758" w:rsidP="00D94758">
            <w:pPr>
              <w:spacing w:after="120" w:line="240" w:lineRule="auto"/>
              <w:jc w:val="left"/>
              <w:rPr>
                <w:rFonts w:eastAsia="Calibri"/>
              </w:rPr>
            </w:pPr>
          </w:p>
          <w:p w14:paraId="076E4CAF" w14:textId="6B98FEB7" w:rsidR="00D94758" w:rsidRPr="00E0193B" w:rsidRDefault="00D94758" w:rsidP="00D94758">
            <w:pPr>
              <w:spacing w:after="120" w:line="240" w:lineRule="auto"/>
              <w:jc w:val="left"/>
              <w:rPr>
                <w:rFonts w:eastAsia="Calibri"/>
              </w:rPr>
            </w:pPr>
          </w:p>
          <w:p w14:paraId="2D809ACF" w14:textId="77777777" w:rsidR="00D94758" w:rsidRPr="00E0193B" w:rsidRDefault="00D94758" w:rsidP="00D94758">
            <w:pPr>
              <w:spacing w:after="120" w:line="240" w:lineRule="auto"/>
              <w:jc w:val="left"/>
              <w:rPr>
                <w:rFonts w:eastAsia="Calibri"/>
              </w:rPr>
            </w:pPr>
          </w:p>
          <w:p w14:paraId="39BFCABF" w14:textId="77777777" w:rsidR="00D94758" w:rsidRPr="00E0193B" w:rsidRDefault="00D94758" w:rsidP="00D94758">
            <w:pPr>
              <w:spacing w:after="120" w:line="240" w:lineRule="auto"/>
              <w:jc w:val="left"/>
              <w:rPr>
                <w:rFonts w:eastAsia="Calibri"/>
              </w:rPr>
            </w:pPr>
            <w:r w:rsidRPr="00E0193B">
              <w:rPr>
                <w:rFonts w:eastAsia="Calibri"/>
              </w:rPr>
              <w:lastRenderedPageBreak/>
              <w:t xml:space="preserve">(…) Orientacyjny harmonogram zakończenia działania: </w:t>
            </w:r>
            <w:r w:rsidRPr="00E0193B">
              <w:rPr>
                <w:rFonts w:eastAsia="Calibri"/>
                <w:color w:val="FF0000"/>
              </w:rPr>
              <w:t>II kw. 2026</w:t>
            </w:r>
          </w:p>
        </w:tc>
      </w:tr>
      <w:tr w:rsidR="001E3ABD" w:rsidRPr="00E0193B" w14:paraId="102AED07" w14:textId="77777777" w:rsidTr="00E70A4A">
        <w:trPr>
          <w:trHeight w:val="558"/>
        </w:trPr>
        <w:tc>
          <w:tcPr>
            <w:tcW w:w="1061" w:type="pct"/>
          </w:tcPr>
          <w:p w14:paraId="74D2AFF7" w14:textId="77777777" w:rsidR="001E3ABD" w:rsidRPr="00E0193B" w:rsidRDefault="001E3ABD" w:rsidP="00D94758">
            <w:pPr>
              <w:spacing w:after="120" w:line="240" w:lineRule="auto"/>
              <w:jc w:val="left"/>
              <w:rPr>
                <w:rFonts w:eastAsia="Calibri"/>
              </w:rPr>
            </w:pPr>
          </w:p>
        </w:tc>
        <w:tc>
          <w:tcPr>
            <w:tcW w:w="1775" w:type="pct"/>
          </w:tcPr>
          <w:p w14:paraId="08BCA623" w14:textId="77777777" w:rsidR="00FB61AA" w:rsidRPr="00E0193B" w:rsidRDefault="001E3ABD" w:rsidP="001E3ABD">
            <w:pPr>
              <w:spacing w:after="120" w:line="240" w:lineRule="auto"/>
              <w:jc w:val="left"/>
              <w:rPr>
                <w:rFonts w:eastAsia="Calibri"/>
                <w:b/>
                <w:lang w:val="en-GB"/>
              </w:rPr>
            </w:pPr>
            <w:r w:rsidRPr="00E0193B">
              <w:rPr>
                <w:rFonts w:eastAsia="Calibri"/>
                <w:bCs/>
                <w:lang w:val="en-GB"/>
              </w:rPr>
              <w:t>A24G</w:t>
            </w:r>
            <w:r w:rsidRPr="00E0193B">
              <w:rPr>
                <w:rFonts w:eastAsia="Calibri"/>
                <w:b/>
                <w:lang w:val="en-GB"/>
              </w:rPr>
              <w:t xml:space="preserve"> </w:t>
            </w:r>
          </w:p>
          <w:p w14:paraId="77BDAA29" w14:textId="00C460A7" w:rsidR="001E3ABD" w:rsidRPr="00E0193B" w:rsidRDefault="001E3ABD" w:rsidP="001E3ABD">
            <w:pPr>
              <w:spacing w:after="120" w:line="240" w:lineRule="auto"/>
              <w:jc w:val="left"/>
              <w:rPr>
                <w:rFonts w:eastAsia="Calibri"/>
                <w:b/>
                <w:lang w:val="en-GB"/>
              </w:rPr>
            </w:pPr>
            <w:r w:rsidRPr="00E0193B">
              <w:rPr>
                <w:rFonts w:eastAsia="Calibri"/>
                <w:bCs/>
                <w:lang w:val="en-GB"/>
              </w:rPr>
              <w:t>At least 50 charitable organisations in the food sector completed projects to modernise their infrastructure and equipment, with a view to encourage more sustainable food consumption patterns, especially by preventing food waste</w:t>
            </w:r>
            <w:r w:rsidRPr="00E0193B">
              <w:rPr>
                <w:rFonts w:eastAsia="Calibri"/>
                <w:b/>
                <w:lang w:val="en-GB"/>
              </w:rPr>
              <w:t>.(…)</w:t>
            </w:r>
          </w:p>
          <w:p w14:paraId="4235E6DF" w14:textId="77777777" w:rsidR="001E3ABD" w:rsidRPr="00E0193B" w:rsidRDefault="001E3ABD" w:rsidP="001E3ABD">
            <w:pPr>
              <w:spacing w:after="120" w:line="240" w:lineRule="auto"/>
              <w:jc w:val="left"/>
              <w:rPr>
                <w:rFonts w:eastAsia="Calibri"/>
                <w:bCs/>
              </w:rPr>
            </w:pPr>
            <w:r w:rsidRPr="00E0193B">
              <w:rPr>
                <w:rFonts w:eastAsia="Calibri"/>
                <w:bCs/>
                <w:lang w:val="en-GB"/>
              </w:rPr>
              <w:t xml:space="preserve">The investment shall ensure a balanced implementation of all the types of projects described in the target, considering both the specific needs of beneficiaries and the objectives of the RRF regulation. </w:t>
            </w:r>
            <w:r w:rsidRPr="00E0193B">
              <w:rPr>
                <w:rFonts w:eastAsia="Calibri"/>
                <w:bCs/>
              </w:rPr>
              <w:t>(…)</w:t>
            </w:r>
          </w:p>
          <w:p w14:paraId="51B599EE" w14:textId="3B9836D5" w:rsidR="001E3ABD" w:rsidRPr="00E0193B" w:rsidRDefault="001E3ABD" w:rsidP="00D94758">
            <w:pPr>
              <w:spacing w:after="120" w:line="240" w:lineRule="auto"/>
              <w:jc w:val="left"/>
              <w:rPr>
                <w:rFonts w:eastAsia="Calibri"/>
                <w:bCs/>
              </w:rPr>
            </w:pPr>
            <w:r w:rsidRPr="00E0193B">
              <w:rPr>
                <w:rFonts w:eastAsia="Calibri"/>
                <w:bCs/>
              </w:rPr>
              <w:t>Indicative timeline for completion: Q4 2025</w:t>
            </w:r>
          </w:p>
        </w:tc>
        <w:tc>
          <w:tcPr>
            <w:tcW w:w="2164" w:type="pct"/>
          </w:tcPr>
          <w:p w14:paraId="5405E238" w14:textId="77777777" w:rsidR="00FB61AA" w:rsidRPr="00E0193B" w:rsidRDefault="001E3ABD" w:rsidP="001E3ABD">
            <w:pPr>
              <w:spacing w:after="120" w:line="240" w:lineRule="auto"/>
              <w:jc w:val="left"/>
              <w:rPr>
                <w:rFonts w:eastAsia="Calibri"/>
                <w:b/>
                <w:lang w:val="en-GB"/>
              </w:rPr>
            </w:pPr>
            <w:r w:rsidRPr="00E0193B">
              <w:rPr>
                <w:rFonts w:eastAsia="Calibri"/>
                <w:bCs/>
                <w:lang w:val="en-GB"/>
              </w:rPr>
              <w:t>A24G</w:t>
            </w:r>
            <w:r w:rsidRPr="00E0193B">
              <w:rPr>
                <w:rFonts w:eastAsia="Calibri"/>
                <w:b/>
                <w:lang w:val="en-GB"/>
              </w:rPr>
              <w:t xml:space="preserve"> </w:t>
            </w:r>
          </w:p>
          <w:p w14:paraId="5EF2D8D6" w14:textId="5130B112" w:rsidR="001E3ABD" w:rsidRPr="00E0193B" w:rsidRDefault="001E3ABD" w:rsidP="001E3ABD">
            <w:pPr>
              <w:spacing w:after="120" w:line="240" w:lineRule="auto"/>
              <w:jc w:val="left"/>
              <w:rPr>
                <w:rFonts w:eastAsia="Calibri"/>
                <w:bCs/>
                <w:lang w:val="en-GB"/>
              </w:rPr>
            </w:pPr>
            <w:r w:rsidRPr="00E0193B">
              <w:rPr>
                <w:rFonts w:eastAsia="Calibri"/>
                <w:bCs/>
                <w:lang w:val="en-GB"/>
              </w:rPr>
              <w:t>At least 50 charitable organisations in the food sector completed projects to modernise their infrastructure and equipment, with a view to encourage more sustainable food consumption patterns, especially by preventing food waste</w:t>
            </w:r>
            <w:r w:rsidRPr="00E0193B">
              <w:rPr>
                <w:rFonts w:eastAsia="Calibri"/>
                <w:b/>
                <w:lang w:val="en-GB"/>
              </w:rPr>
              <w:t>.</w:t>
            </w:r>
            <w:r w:rsidRPr="00E0193B">
              <w:rPr>
                <w:rFonts w:eastAsia="Calibri"/>
                <w:bCs/>
                <w:lang w:val="en-GB"/>
              </w:rPr>
              <w:t xml:space="preserve"> (…)</w:t>
            </w:r>
          </w:p>
          <w:p w14:paraId="2575859A" w14:textId="77777777" w:rsidR="001E3ABD" w:rsidRPr="00E0193B" w:rsidRDefault="001E3ABD" w:rsidP="001E3ABD">
            <w:pPr>
              <w:spacing w:after="120" w:line="240" w:lineRule="auto"/>
              <w:jc w:val="left"/>
              <w:rPr>
                <w:rFonts w:eastAsia="Calibri"/>
                <w:bCs/>
                <w:strike/>
                <w:color w:val="FF0000"/>
              </w:rPr>
            </w:pPr>
            <w:r w:rsidRPr="00E0193B">
              <w:rPr>
                <w:rFonts w:eastAsia="Calibri"/>
                <w:bCs/>
                <w:lang w:val="en-GB"/>
              </w:rPr>
              <w:t xml:space="preserve">The investment shall ensure a balanced implementation of all the types of projects described in the target, considering both the specific needs of beneficiaries and the objectives of the RRF regulation. </w:t>
            </w:r>
            <w:r w:rsidRPr="00E0193B">
              <w:rPr>
                <w:rFonts w:eastAsia="Calibri"/>
                <w:bCs/>
              </w:rPr>
              <w:t>(…)</w:t>
            </w:r>
          </w:p>
          <w:p w14:paraId="28932217" w14:textId="77777777" w:rsidR="001E3ABD" w:rsidRPr="00E0193B" w:rsidRDefault="001E3ABD" w:rsidP="001E3ABD">
            <w:pPr>
              <w:spacing w:after="120" w:line="240" w:lineRule="auto"/>
              <w:jc w:val="left"/>
              <w:rPr>
                <w:rFonts w:eastAsia="Calibri"/>
                <w:bCs/>
              </w:rPr>
            </w:pPr>
          </w:p>
          <w:p w14:paraId="3EDF1B66" w14:textId="6116DA3F" w:rsidR="001E3ABD" w:rsidRPr="00E0193B" w:rsidRDefault="001E3ABD" w:rsidP="00D94758">
            <w:pPr>
              <w:spacing w:after="120" w:line="240" w:lineRule="auto"/>
              <w:jc w:val="left"/>
              <w:rPr>
                <w:rFonts w:eastAsia="Calibri"/>
                <w:bCs/>
                <w:lang w:val="en-US"/>
              </w:rPr>
            </w:pPr>
            <w:r w:rsidRPr="00E0193B">
              <w:rPr>
                <w:rFonts w:eastAsia="Calibri"/>
                <w:bCs/>
                <w:lang w:val="en-US"/>
              </w:rPr>
              <w:t xml:space="preserve">Indicative timeline for completion: </w:t>
            </w:r>
            <w:r w:rsidRPr="00E0193B">
              <w:rPr>
                <w:rFonts w:eastAsia="Calibri"/>
                <w:bCs/>
                <w:color w:val="FF0000"/>
                <w:lang w:val="en-US"/>
              </w:rPr>
              <w:t>Q2 2026</w:t>
            </w:r>
          </w:p>
        </w:tc>
      </w:tr>
      <w:tr w:rsidR="001E3ABD" w:rsidRPr="00E0193B" w14:paraId="5C239452" w14:textId="77777777" w:rsidTr="00E70A4A">
        <w:trPr>
          <w:trHeight w:val="558"/>
        </w:trPr>
        <w:tc>
          <w:tcPr>
            <w:tcW w:w="1061" w:type="pct"/>
          </w:tcPr>
          <w:p w14:paraId="7552D7D3" w14:textId="77777777" w:rsidR="001E3ABD" w:rsidRPr="00E0193B" w:rsidRDefault="001E3ABD" w:rsidP="00D94758">
            <w:pPr>
              <w:spacing w:after="120" w:line="240" w:lineRule="auto"/>
              <w:jc w:val="left"/>
              <w:rPr>
                <w:rFonts w:eastAsia="Calibri"/>
              </w:rPr>
            </w:pPr>
          </w:p>
        </w:tc>
        <w:tc>
          <w:tcPr>
            <w:tcW w:w="1775" w:type="pct"/>
          </w:tcPr>
          <w:p w14:paraId="3B268E5F" w14:textId="77777777" w:rsidR="00FB61AA" w:rsidRPr="00E0193B" w:rsidRDefault="001E3ABD" w:rsidP="001E3ABD">
            <w:pPr>
              <w:spacing w:after="120" w:line="240" w:lineRule="auto"/>
              <w:jc w:val="left"/>
              <w:rPr>
                <w:rFonts w:eastAsia="Calibri"/>
              </w:rPr>
            </w:pPr>
            <w:r w:rsidRPr="00E0193B">
              <w:rPr>
                <w:rFonts w:eastAsia="Calibri"/>
                <w:bCs/>
              </w:rPr>
              <w:t>A26G</w:t>
            </w:r>
            <w:r w:rsidRPr="00E0193B">
              <w:rPr>
                <w:rFonts w:eastAsia="Calibri"/>
              </w:rPr>
              <w:t xml:space="preserve"> </w:t>
            </w:r>
          </w:p>
          <w:p w14:paraId="36B10799" w14:textId="4D290EB8" w:rsidR="001E3ABD" w:rsidRPr="00E0193B" w:rsidRDefault="001E3ABD" w:rsidP="001E3ABD">
            <w:pPr>
              <w:spacing w:after="120" w:line="240" w:lineRule="auto"/>
              <w:jc w:val="left"/>
              <w:rPr>
                <w:rFonts w:eastAsia="Calibri"/>
              </w:rPr>
            </w:pPr>
            <w:r w:rsidRPr="00E0193B">
              <w:rPr>
                <w:rFonts w:eastAsia="Calibri"/>
              </w:rPr>
              <w:t>Co najmniej 11 527 rolników i rybaków zakończyło realizację projektów ukierunkowanych na modernizację infrastruktury i wyposażenia w celu zwiększenia ich odporności na przyszłe kryzysy i wzmocnienia wzorców zrównoważonej produkcji, skrócenia łańcuchów dostaw i wspierania technologii w zakresie rolnictwa 4.0. (...)</w:t>
            </w:r>
          </w:p>
          <w:p w14:paraId="44DD09C7" w14:textId="6ECCEC56" w:rsidR="00A67325" w:rsidRPr="00E0193B" w:rsidRDefault="001E3ABD" w:rsidP="001E3ABD">
            <w:pPr>
              <w:spacing w:after="120" w:line="240" w:lineRule="auto"/>
              <w:jc w:val="left"/>
              <w:rPr>
                <w:rFonts w:eastAsia="Calibri"/>
              </w:rPr>
            </w:pPr>
            <w:r w:rsidRPr="00E0193B">
              <w:rPr>
                <w:rFonts w:eastAsia="Calibri"/>
              </w:rPr>
              <w:t>Zakres wsparcia obejmuje również wymianę materiałów szkodliwych dla środowiska i zdrowia w budynkach wykorzystywanych do produkcji rolnej. (…)</w:t>
            </w:r>
          </w:p>
          <w:p w14:paraId="358345C2" w14:textId="46937F4D" w:rsidR="001E3ABD" w:rsidRPr="00E0193B" w:rsidRDefault="001E3ABD" w:rsidP="001E3ABD">
            <w:pPr>
              <w:spacing w:after="120" w:line="240" w:lineRule="auto"/>
              <w:jc w:val="left"/>
              <w:rPr>
                <w:rFonts w:eastAsia="Calibri"/>
              </w:rPr>
            </w:pPr>
            <w:r w:rsidRPr="00E0193B">
              <w:rPr>
                <w:rFonts w:eastAsia="Calibri"/>
              </w:rPr>
              <w:t>Inwestycja zapewni zrównoważoną realizację wszystkich rodzajów projektów opisanych w wartości docelowej, z uwzględnieniem zarówno szczególnych potrzeb beneficjentów, jak i celów rozporządzenia w sprawie RRF.</w:t>
            </w:r>
          </w:p>
          <w:p w14:paraId="238781B8" w14:textId="207D27CB" w:rsidR="00A67325" w:rsidRPr="00E0193B" w:rsidRDefault="00A67325" w:rsidP="001E3ABD">
            <w:pPr>
              <w:spacing w:after="120" w:line="240" w:lineRule="auto"/>
              <w:jc w:val="left"/>
              <w:rPr>
                <w:rFonts w:eastAsia="Calibri"/>
              </w:rPr>
            </w:pPr>
            <w:r w:rsidRPr="00E0193B">
              <w:rPr>
                <w:rFonts w:eastAsia="Calibri"/>
              </w:rPr>
              <w:t xml:space="preserve">Cel: </w:t>
            </w:r>
            <w:r w:rsidR="00AB1E2A" w:rsidRPr="00E0193B">
              <w:rPr>
                <w:rFonts w:eastAsia="Calibri"/>
              </w:rPr>
              <w:t>11 527</w:t>
            </w:r>
          </w:p>
          <w:p w14:paraId="062EBCDB" w14:textId="0817FD52" w:rsidR="001E3ABD" w:rsidRPr="00E0193B" w:rsidRDefault="001E3ABD" w:rsidP="001E3ABD">
            <w:pPr>
              <w:spacing w:after="120" w:line="240" w:lineRule="auto"/>
              <w:jc w:val="left"/>
              <w:rPr>
                <w:rFonts w:eastAsia="Calibri"/>
                <w:bCs/>
              </w:rPr>
            </w:pPr>
            <w:r w:rsidRPr="00E0193B">
              <w:rPr>
                <w:rFonts w:eastAsia="Calibri"/>
              </w:rPr>
              <w:t>(…) Orientacyjny harmonogram zakończenia działania: IV kw. 2025</w:t>
            </w:r>
          </w:p>
        </w:tc>
        <w:tc>
          <w:tcPr>
            <w:tcW w:w="2164" w:type="pct"/>
          </w:tcPr>
          <w:p w14:paraId="21D03FB7" w14:textId="77777777" w:rsidR="00FB61AA" w:rsidRPr="00E0193B" w:rsidRDefault="001E3ABD" w:rsidP="001E3ABD">
            <w:pPr>
              <w:spacing w:after="120" w:line="240" w:lineRule="auto"/>
              <w:jc w:val="left"/>
              <w:rPr>
                <w:rFonts w:eastAsia="Calibri"/>
              </w:rPr>
            </w:pPr>
            <w:r w:rsidRPr="00E0193B">
              <w:rPr>
                <w:rFonts w:eastAsia="Calibri"/>
                <w:bCs/>
              </w:rPr>
              <w:t>A26G</w:t>
            </w:r>
            <w:r w:rsidRPr="00E0193B">
              <w:rPr>
                <w:rFonts w:eastAsia="Calibri"/>
              </w:rPr>
              <w:t xml:space="preserve"> </w:t>
            </w:r>
          </w:p>
          <w:p w14:paraId="5D252CBF" w14:textId="078559BC" w:rsidR="001E3ABD" w:rsidRPr="00E0193B" w:rsidRDefault="001E3ABD" w:rsidP="001E3ABD">
            <w:pPr>
              <w:spacing w:after="120" w:line="240" w:lineRule="auto"/>
              <w:jc w:val="left"/>
              <w:rPr>
                <w:rFonts w:eastAsia="Calibri"/>
              </w:rPr>
            </w:pPr>
            <w:r w:rsidRPr="00E0193B">
              <w:rPr>
                <w:rFonts w:eastAsia="Calibri"/>
              </w:rPr>
              <w:t xml:space="preserve">Co najmniej </w:t>
            </w:r>
            <w:r w:rsidRPr="00E0193B">
              <w:rPr>
                <w:rFonts w:eastAsia="Calibri"/>
                <w:color w:val="FF0000"/>
              </w:rPr>
              <w:t>16 897</w:t>
            </w:r>
            <w:r w:rsidRPr="00E0193B">
              <w:rPr>
                <w:rFonts w:eastAsia="Calibri"/>
                <w:b/>
                <w:bCs/>
                <w:color w:val="FF0000"/>
              </w:rPr>
              <w:t xml:space="preserve"> </w:t>
            </w:r>
            <w:r w:rsidRPr="00E0193B">
              <w:rPr>
                <w:rFonts w:eastAsia="Calibri"/>
              </w:rPr>
              <w:t>rolników i rybaków zakończyło realizację projektów ukierunkowanych na modernizację infrastruktury i wyposażenia w celu zwiększenia ich odporności na przyszłe kryzysy i wzmocnienia wzorców zrównoważonej produkcji, skrócenia łańcuchów dostaw i wspierania technologii w zakresie rolnictwa 4.0. (...)</w:t>
            </w:r>
          </w:p>
          <w:p w14:paraId="76328EB3" w14:textId="212EFDA9" w:rsidR="001E3ABD" w:rsidRPr="00E0193B" w:rsidRDefault="001E3ABD" w:rsidP="001E3ABD">
            <w:pPr>
              <w:spacing w:after="120" w:line="240" w:lineRule="auto"/>
              <w:jc w:val="left"/>
              <w:rPr>
                <w:rFonts w:eastAsia="Calibri"/>
              </w:rPr>
            </w:pPr>
            <w:r w:rsidRPr="00E0193B">
              <w:rPr>
                <w:rFonts w:eastAsia="Calibri"/>
              </w:rPr>
              <w:t>Zakres wsparcia obejmuje również wymianę materiałów szkodliwych dla środowiska i zdrowia w budynkach wykorzystywanych do produkcji rolnej (…)</w:t>
            </w:r>
          </w:p>
          <w:p w14:paraId="22C60587" w14:textId="21CECA50" w:rsidR="001E3ABD" w:rsidRPr="00E0193B" w:rsidRDefault="001E3ABD" w:rsidP="001E3ABD">
            <w:pPr>
              <w:spacing w:after="120" w:line="240" w:lineRule="auto"/>
              <w:jc w:val="left"/>
              <w:rPr>
                <w:rFonts w:eastAsia="Calibri"/>
              </w:rPr>
            </w:pPr>
          </w:p>
          <w:p w14:paraId="295491BD" w14:textId="77777777" w:rsidR="001E3ABD" w:rsidRPr="00E0193B" w:rsidRDefault="001E3ABD" w:rsidP="001E3ABD">
            <w:pPr>
              <w:spacing w:after="120" w:line="240" w:lineRule="auto"/>
              <w:jc w:val="left"/>
              <w:rPr>
                <w:rFonts w:eastAsia="Calibri"/>
              </w:rPr>
            </w:pPr>
          </w:p>
          <w:p w14:paraId="0C996EC7" w14:textId="77777777" w:rsidR="001E3ABD" w:rsidRPr="00E0193B" w:rsidRDefault="001E3ABD" w:rsidP="001E3ABD">
            <w:pPr>
              <w:spacing w:after="120" w:line="240" w:lineRule="auto"/>
              <w:jc w:val="left"/>
              <w:rPr>
                <w:rFonts w:eastAsia="Calibri"/>
              </w:rPr>
            </w:pPr>
            <w:r w:rsidRPr="00E0193B">
              <w:rPr>
                <w:rFonts w:eastAsia="Calibri"/>
              </w:rPr>
              <w:t>Inwestycja zapewni zrównoważoną realizację wszystkich rodzajów projektów opisanych w wartości docelowej, z uwzględnieniem zarówno szczególnych potrzeb beneficjentów, jak i celów rozporządzenia w sprawie RRF.</w:t>
            </w:r>
          </w:p>
          <w:p w14:paraId="5158FAA6" w14:textId="77777777" w:rsidR="001E3ABD" w:rsidRPr="00E0193B" w:rsidRDefault="001E3ABD" w:rsidP="001E3ABD">
            <w:pPr>
              <w:spacing w:after="120" w:line="240" w:lineRule="auto"/>
              <w:jc w:val="left"/>
              <w:rPr>
                <w:rFonts w:eastAsia="Calibri"/>
              </w:rPr>
            </w:pPr>
          </w:p>
          <w:p w14:paraId="5D94865F" w14:textId="136380B2" w:rsidR="001E3ABD" w:rsidRPr="00E0193B" w:rsidRDefault="00AB1E2A" w:rsidP="001E3ABD">
            <w:pPr>
              <w:spacing w:after="120" w:line="240" w:lineRule="auto"/>
              <w:jc w:val="left"/>
              <w:rPr>
                <w:rFonts w:eastAsia="Calibri"/>
              </w:rPr>
            </w:pPr>
            <w:r w:rsidRPr="00E0193B">
              <w:rPr>
                <w:rFonts w:eastAsia="Calibri"/>
              </w:rPr>
              <w:t xml:space="preserve">Cel: </w:t>
            </w:r>
            <w:r w:rsidRPr="00E0193B">
              <w:rPr>
                <w:rFonts w:eastAsia="Calibri"/>
                <w:color w:val="FF0000"/>
              </w:rPr>
              <w:t>16 897</w:t>
            </w:r>
          </w:p>
          <w:p w14:paraId="4A0FD322" w14:textId="185B0D59" w:rsidR="001E3ABD" w:rsidRPr="00E0193B" w:rsidRDefault="001E3ABD" w:rsidP="001E3ABD">
            <w:pPr>
              <w:spacing w:after="120" w:line="240" w:lineRule="auto"/>
              <w:jc w:val="left"/>
              <w:rPr>
                <w:rFonts w:eastAsia="Calibri"/>
                <w:bCs/>
              </w:rPr>
            </w:pPr>
            <w:r w:rsidRPr="00E0193B">
              <w:rPr>
                <w:rFonts w:eastAsia="Calibri"/>
              </w:rPr>
              <w:t>(…) Orientacyjny harmonogram zakończenia działania:</w:t>
            </w:r>
            <w:r w:rsidRPr="00E0193B">
              <w:rPr>
                <w:rFonts w:eastAsia="Calibri"/>
                <w:color w:val="FF0000"/>
              </w:rPr>
              <w:t xml:space="preserve"> II kw. 2026</w:t>
            </w:r>
          </w:p>
        </w:tc>
      </w:tr>
      <w:tr w:rsidR="00D94758" w:rsidRPr="00E0193B" w14:paraId="08EFF1F6" w14:textId="77777777" w:rsidTr="00E70A4A">
        <w:trPr>
          <w:trHeight w:val="558"/>
        </w:trPr>
        <w:tc>
          <w:tcPr>
            <w:tcW w:w="1061" w:type="pct"/>
          </w:tcPr>
          <w:p w14:paraId="006FCFC4" w14:textId="77777777" w:rsidR="00D94758" w:rsidRPr="00E0193B" w:rsidRDefault="00D94758">
            <w:pPr>
              <w:spacing w:after="120" w:line="240" w:lineRule="auto"/>
              <w:jc w:val="left"/>
              <w:rPr>
                <w:rFonts w:eastAsia="Calibri"/>
              </w:rPr>
            </w:pPr>
          </w:p>
        </w:tc>
        <w:tc>
          <w:tcPr>
            <w:tcW w:w="1775" w:type="pct"/>
          </w:tcPr>
          <w:p w14:paraId="2FE53740" w14:textId="77777777" w:rsidR="00FB61AA" w:rsidRPr="00E0193B" w:rsidRDefault="00D94758" w:rsidP="00D94758">
            <w:pPr>
              <w:spacing w:after="120" w:line="240" w:lineRule="auto"/>
              <w:jc w:val="left"/>
              <w:rPr>
                <w:rFonts w:eastAsia="Calibri"/>
                <w:b/>
                <w:lang w:val="en-GB"/>
              </w:rPr>
            </w:pPr>
            <w:r w:rsidRPr="00E0193B">
              <w:rPr>
                <w:rFonts w:eastAsia="Calibri"/>
                <w:bCs/>
                <w:lang w:val="en-GB"/>
              </w:rPr>
              <w:t>A26G</w:t>
            </w:r>
            <w:r w:rsidRPr="00E0193B">
              <w:rPr>
                <w:rFonts w:eastAsia="Calibri"/>
                <w:b/>
                <w:lang w:val="en-GB"/>
              </w:rPr>
              <w:t xml:space="preserve"> </w:t>
            </w:r>
          </w:p>
          <w:p w14:paraId="5C8252DD" w14:textId="31B60B88" w:rsidR="00D94758" w:rsidRPr="00E0193B" w:rsidRDefault="00D94758" w:rsidP="00D94758">
            <w:pPr>
              <w:spacing w:after="120" w:line="240" w:lineRule="auto"/>
              <w:jc w:val="left"/>
              <w:rPr>
                <w:rFonts w:eastAsia="Calibri"/>
                <w:bCs/>
                <w:lang w:val="en-GB"/>
              </w:rPr>
            </w:pPr>
            <w:r w:rsidRPr="00E0193B">
              <w:rPr>
                <w:rFonts w:eastAsia="Calibri"/>
                <w:bCs/>
                <w:lang w:val="en-GB"/>
              </w:rPr>
              <w:t>At least 11 527 farmers and fishermen completed projects to modernise their infrastructure and equipment, with a view to increase their resilience to future crises and enhance sustainable patterns of production, shorten supply chains, and support agriculture 4.0 technologies.(…)</w:t>
            </w:r>
          </w:p>
          <w:p w14:paraId="0EB1DF20" w14:textId="77777777" w:rsidR="00D94758" w:rsidRPr="00E0193B" w:rsidRDefault="00D94758" w:rsidP="00D94758">
            <w:pPr>
              <w:spacing w:after="120" w:line="240" w:lineRule="auto"/>
              <w:jc w:val="left"/>
              <w:rPr>
                <w:rFonts w:eastAsia="Calibri"/>
                <w:bCs/>
                <w:lang w:val="en-GB"/>
              </w:rPr>
            </w:pPr>
            <w:r w:rsidRPr="00E0193B">
              <w:rPr>
                <w:rFonts w:eastAsia="Calibri"/>
                <w:bCs/>
                <w:lang w:val="en-GB"/>
              </w:rPr>
              <w:t>The support shall also include the replacement of materials harmful to the environment and health in buildings used for agricultural production (…)</w:t>
            </w:r>
          </w:p>
          <w:p w14:paraId="58C990B6" w14:textId="6B4CD8F2" w:rsidR="00D94758" w:rsidRPr="00E0193B" w:rsidRDefault="00D94758" w:rsidP="00D94758">
            <w:pPr>
              <w:spacing w:after="120" w:line="240" w:lineRule="auto"/>
              <w:jc w:val="left"/>
              <w:rPr>
                <w:rFonts w:eastAsia="Calibri"/>
                <w:bCs/>
              </w:rPr>
            </w:pPr>
            <w:r w:rsidRPr="00E0193B">
              <w:rPr>
                <w:rFonts w:eastAsia="Calibri"/>
                <w:bCs/>
                <w:lang w:val="en-GB"/>
              </w:rPr>
              <w:t xml:space="preserve">The investment shall ensure a balanced implementation of all the types of projects described in the target, considering both the specific needs of beneficiaries and the objectives of the RRF regulation. </w:t>
            </w:r>
            <w:r w:rsidRPr="00E0193B">
              <w:rPr>
                <w:rFonts w:eastAsia="Calibri"/>
                <w:bCs/>
              </w:rPr>
              <w:t>(…)</w:t>
            </w:r>
          </w:p>
          <w:p w14:paraId="7E2BA329" w14:textId="4BC41ACF" w:rsidR="00AB1E2A" w:rsidRPr="00E0193B" w:rsidRDefault="00AB1E2A" w:rsidP="00D94758">
            <w:pPr>
              <w:spacing w:after="120" w:line="240" w:lineRule="auto"/>
              <w:jc w:val="left"/>
              <w:rPr>
                <w:rFonts w:eastAsia="Calibri"/>
                <w:bCs/>
                <w:lang w:val="en-US"/>
              </w:rPr>
            </w:pPr>
            <w:r w:rsidRPr="00E0193B">
              <w:rPr>
                <w:rFonts w:eastAsia="Calibri"/>
                <w:bCs/>
                <w:lang w:val="en-US"/>
              </w:rPr>
              <w:t>Goal: 11 527</w:t>
            </w:r>
          </w:p>
          <w:p w14:paraId="218BFAB9" w14:textId="477F06E8" w:rsidR="00D94758" w:rsidRPr="00E0193B" w:rsidRDefault="00D94758" w:rsidP="00D94758">
            <w:pPr>
              <w:spacing w:after="120" w:line="240" w:lineRule="auto"/>
              <w:jc w:val="left"/>
              <w:rPr>
                <w:rFonts w:eastAsia="Calibri"/>
                <w:b/>
                <w:lang w:val="en-US"/>
              </w:rPr>
            </w:pPr>
            <w:r w:rsidRPr="00E0193B">
              <w:rPr>
                <w:rFonts w:eastAsia="Calibri"/>
                <w:bCs/>
                <w:lang w:val="en-US"/>
              </w:rPr>
              <w:t>Indicative timeline for completion: Q4 2025</w:t>
            </w:r>
          </w:p>
        </w:tc>
        <w:tc>
          <w:tcPr>
            <w:tcW w:w="2164" w:type="pct"/>
          </w:tcPr>
          <w:p w14:paraId="49B14BCE" w14:textId="77777777" w:rsidR="00FB61AA" w:rsidRPr="00E0193B" w:rsidRDefault="00D94758" w:rsidP="00D94758">
            <w:pPr>
              <w:spacing w:after="120" w:line="240" w:lineRule="auto"/>
              <w:jc w:val="left"/>
              <w:rPr>
                <w:rFonts w:eastAsia="Calibri"/>
                <w:b/>
                <w:lang w:val="en-GB"/>
              </w:rPr>
            </w:pPr>
            <w:r w:rsidRPr="00E0193B">
              <w:rPr>
                <w:rFonts w:eastAsia="Calibri"/>
                <w:bCs/>
                <w:lang w:val="en-GB"/>
              </w:rPr>
              <w:t>A26G</w:t>
            </w:r>
            <w:r w:rsidRPr="00E0193B">
              <w:rPr>
                <w:rFonts w:eastAsia="Calibri"/>
                <w:b/>
                <w:lang w:val="en-GB"/>
              </w:rPr>
              <w:t xml:space="preserve"> </w:t>
            </w:r>
          </w:p>
          <w:p w14:paraId="121E4B33" w14:textId="0A891E1D" w:rsidR="00D94758" w:rsidRPr="00E0193B" w:rsidRDefault="00D94758" w:rsidP="00D94758">
            <w:pPr>
              <w:spacing w:after="120" w:line="240" w:lineRule="auto"/>
              <w:jc w:val="left"/>
              <w:rPr>
                <w:rFonts w:eastAsia="Calibri"/>
                <w:bCs/>
                <w:lang w:val="en-GB"/>
              </w:rPr>
            </w:pPr>
            <w:r w:rsidRPr="00E0193B">
              <w:rPr>
                <w:rFonts w:eastAsia="Calibri"/>
                <w:bCs/>
                <w:lang w:val="en-GB"/>
              </w:rPr>
              <w:t xml:space="preserve">At least </w:t>
            </w:r>
            <w:r w:rsidRPr="00E0193B">
              <w:rPr>
                <w:rFonts w:eastAsia="Calibri"/>
                <w:bCs/>
                <w:color w:val="FF0000"/>
                <w:lang w:val="en-GB"/>
              </w:rPr>
              <w:t>16</w:t>
            </w:r>
            <w:r w:rsidR="00932224" w:rsidRPr="00E0193B">
              <w:rPr>
                <w:rFonts w:eastAsia="Calibri"/>
                <w:bCs/>
                <w:color w:val="FF0000"/>
                <w:lang w:val="en-GB"/>
              </w:rPr>
              <w:t xml:space="preserve"> </w:t>
            </w:r>
            <w:r w:rsidRPr="00E0193B">
              <w:rPr>
                <w:rFonts w:eastAsia="Calibri"/>
                <w:bCs/>
                <w:color w:val="FF0000"/>
                <w:lang w:val="en-GB"/>
              </w:rPr>
              <w:t xml:space="preserve">897 </w:t>
            </w:r>
            <w:r w:rsidRPr="00E0193B">
              <w:rPr>
                <w:rFonts w:eastAsia="Calibri"/>
                <w:bCs/>
                <w:lang w:val="en-GB"/>
              </w:rPr>
              <w:t>farmers and fishermen completed projects to modernise their infrastructure and equipment, with a view to increase their resilience to future crises and enhance sustainable patterns of production, shorten supply chains, and support agriculture 4.0 technologies.(…)</w:t>
            </w:r>
          </w:p>
          <w:p w14:paraId="2F379BA6" w14:textId="77777777" w:rsidR="00D94758" w:rsidRPr="00E0193B" w:rsidRDefault="00D94758" w:rsidP="00D94758">
            <w:pPr>
              <w:spacing w:after="120" w:line="240" w:lineRule="auto"/>
              <w:jc w:val="left"/>
              <w:rPr>
                <w:rFonts w:eastAsia="Calibri"/>
                <w:bCs/>
                <w:lang w:val="en-GB"/>
              </w:rPr>
            </w:pPr>
            <w:r w:rsidRPr="00E0193B">
              <w:rPr>
                <w:rFonts w:eastAsia="Calibri"/>
                <w:bCs/>
                <w:lang w:val="en-GB"/>
              </w:rPr>
              <w:t>The support shall also include the replacement of materials harmful to the environment and health in buildings used for agricultural production</w:t>
            </w:r>
            <w:r w:rsidRPr="00E0193B">
              <w:rPr>
                <w:rFonts w:eastAsia="Calibri"/>
                <w:lang w:val="en-GB"/>
              </w:rPr>
              <w:t xml:space="preserve"> </w:t>
            </w:r>
            <w:r w:rsidRPr="00E0193B">
              <w:rPr>
                <w:rFonts w:eastAsia="Calibri"/>
                <w:bCs/>
                <w:lang w:val="en-GB"/>
              </w:rPr>
              <w:t>(…)</w:t>
            </w:r>
          </w:p>
          <w:p w14:paraId="035B0B05" w14:textId="77777777" w:rsidR="00D94758" w:rsidRPr="00E0193B" w:rsidRDefault="00D94758" w:rsidP="00D94758">
            <w:pPr>
              <w:spacing w:after="120" w:line="240" w:lineRule="auto"/>
              <w:jc w:val="left"/>
              <w:rPr>
                <w:rFonts w:eastAsia="Calibri"/>
                <w:bCs/>
                <w:strike/>
                <w:color w:val="FF0000"/>
              </w:rPr>
            </w:pPr>
            <w:r w:rsidRPr="00E0193B">
              <w:rPr>
                <w:rFonts w:eastAsia="Calibri"/>
                <w:bCs/>
                <w:lang w:val="en-GB"/>
              </w:rPr>
              <w:t xml:space="preserve">The investment shall ensure a balanced implementation of all the types of projects described in the target, considering both the specific needs of beneficiaries and the objectives of the RRF regulation. </w:t>
            </w:r>
            <w:r w:rsidRPr="00E0193B">
              <w:rPr>
                <w:rFonts w:eastAsia="Calibri"/>
                <w:bCs/>
              </w:rPr>
              <w:t>(…)</w:t>
            </w:r>
          </w:p>
          <w:p w14:paraId="56C27EE1" w14:textId="77777777" w:rsidR="00D94758" w:rsidRPr="00E0193B" w:rsidRDefault="00D94758" w:rsidP="00D94758">
            <w:pPr>
              <w:spacing w:after="120" w:line="240" w:lineRule="auto"/>
              <w:jc w:val="left"/>
              <w:rPr>
                <w:rFonts w:eastAsia="Calibri"/>
                <w:bCs/>
              </w:rPr>
            </w:pPr>
          </w:p>
          <w:p w14:paraId="7E8A6330" w14:textId="0006E279" w:rsidR="00D94758" w:rsidRPr="00E0193B" w:rsidRDefault="00AB1E2A" w:rsidP="00D94758">
            <w:pPr>
              <w:spacing w:after="120" w:line="240" w:lineRule="auto"/>
              <w:jc w:val="left"/>
              <w:rPr>
                <w:rFonts w:eastAsia="Calibri"/>
                <w:bCs/>
              </w:rPr>
            </w:pPr>
            <w:r w:rsidRPr="00E0193B">
              <w:rPr>
                <w:rFonts w:eastAsia="Calibri"/>
                <w:bCs/>
              </w:rPr>
              <w:t xml:space="preserve">Goal: </w:t>
            </w:r>
            <w:r w:rsidRPr="00E0193B">
              <w:rPr>
                <w:rFonts w:eastAsia="Calibri"/>
                <w:bCs/>
                <w:color w:val="FF0000"/>
              </w:rPr>
              <w:t>16 897</w:t>
            </w:r>
          </w:p>
          <w:p w14:paraId="1E0C2665" w14:textId="77777777" w:rsidR="00D94758" w:rsidRPr="00E0193B" w:rsidRDefault="00D94758" w:rsidP="00D94758">
            <w:pPr>
              <w:spacing w:after="120" w:line="240" w:lineRule="auto"/>
              <w:jc w:val="left"/>
              <w:rPr>
                <w:rFonts w:eastAsia="Calibri"/>
                <w:bCs/>
              </w:rPr>
            </w:pPr>
          </w:p>
          <w:p w14:paraId="12E2269C" w14:textId="656933CE" w:rsidR="00D94758" w:rsidRPr="00E0193B" w:rsidRDefault="00D94758" w:rsidP="00D94758">
            <w:pPr>
              <w:spacing w:after="120" w:line="240" w:lineRule="auto"/>
              <w:jc w:val="left"/>
              <w:rPr>
                <w:rFonts w:eastAsia="Calibri"/>
              </w:rPr>
            </w:pPr>
            <w:r w:rsidRPr="00E0193B">
              <w:rPr>
                <w:rFonts w:eastAsia="Calibri"/>
                <w:bCs/>
              </w:rPr>
              <w:t xml:space="preserve">Indicative timeline for completion: </w:t>
            </w:r>
            <w:r w:rsidRPr="00E0193B">
              <w:rPr>
                <w:rFonts w:eastAsia="Calibri"/>
                <w:bCs/>
                <w:color w:val="FF0000"/>
              </w:rPr>
              <w:t>Q2 2026</w:t>
            </w:r>
          </w:p>
        </w:tc>
      </w:tr>
      <w:tr w:rsidR="00A80460" w:rsidRPr="00E0193B" w14:paraId="2B53D648" w14:textId="77777777" w:rsidTr="00E70A4A">
        <w:trPr>
          <w:trHeight w:val="558"/>
        </w:trPr>
        <w:tc>
          <w:tcPr>
            <w:tcW w:w="1061" w:type="pct"/>
          </w:tcPr>
          <w:p w14:paraId="6955445E" w14:textId="77777777" w:rsidR="00A80460" w:rsidRPr="00E0193B" w:rsidRDefault="00A80460" w:rsidP="00D94758">
            <w:pPr>
              <w:spacing w:after="120" w:line="240" w:lineRule="auto"/>
              <w:jc w:val="left"/>
              <w:rPr>
                <w:rFonts w:eastAsia="Calibri"/>
              </w:rPr>
            </w:pPr>
          </w:p>
        </w:tc>
        <w:tc>
          <w:tcPr>
            <w:tcW w:w="1775" w:type="pct"/>
          </w:tcPr>
          <w:p w14:paraId="072CBAC5" w14:textId="48C25ECF" w:rsidR="00A80460" w:rsidRPr="00E0193B" w:rsidRDefault="001E3ABD" w:rsidP="00D94758">
            <w:pPr>
              <w:spacing w:after="120" w:line="240" w:lineRule="auto"/>
              <w:jc w:val="left"/>
              <w:rPr>
                <w:rFonts w:eastAsia="Calibri"/>
                <w:bCs/>
                <w:lang w:val="en-GB"/>
              </w:rPr>
            </w:pPr>
            <w:r w:rsidRPr="00E0193B">
              <w:rPr>
                <w:rFonts w:eastAsia="Calibri"/>
              </w:rPr>
              <w:t>Brak</w:t>
            </w:r>
          </w:p>
        </w:tc>
        <w:tc>
          <w:tcPr>
            <w:tcW w:w="2164" w:type="pct"/>
          </w:tcPr>
          <w:p w14:paraId="3F47CD7D" w14:textId="213C5785" w:rsidR="001E3ABD" w:rsidRDefault="001E3ABD" w:rsidP="001E3ABD">
            <w:pPr>
              <w:spacing w:after="120" w:line="240" w:lineRule="auto"/>
              <w:jc w:val="left"/>
              <w:rPr>
                <w:rFonts w:eastAsia="Calibri"/>
              </w:rPr>
            </w:pPr>
            <w:r w:rsidRPr="00E0193B">
              <w:rPr>
                <w:rFonts w:eastAsia="Calibri"/>
              </w:rPr>
              <w:t>Nowy wskaźnik:</w:t>
            </w:r>
          </w:p>
          <w:p w14:paraId="22F65A77" w14:textId="6B20CFE3" w:rsidR="00CA54BA" w:rsidRPr="00E0193B" w:rsidRDefault="00CA54BA" w:rsidP="001E3ABD">
            <w:pPr>
              <w:spacing w:after="120" w:line="240" w:lineRule="auto"/>
              <w:jc w:val="left"/>
              <w:rPr>
                <w:rFonts w:eastAsia="Calibri"/>
              </w:rPr>
            </w:pPr>
            <w:r w:rsidRPr="00FB7F70">
              <w:rPr>
                <w:rFonts w:eastAsia="Calibri"/>
              </w:rPr>
              <w:t>A26aG</w:t>
            </w:r>
          </w:p>
          <w:p w14:paraId="40A306FB" w14:textId="77777777" w:rsidR="001E3ABD" w:rsidRPr="00E0193B" w:rsidRDefault="001E3ABD" w:rsidP="001E3ABD">
            <w:pPr>
              <w:spacing w:after="120" w:line="240" w:lineRule="auto"/>
              <w:jc w:val="left"/>
              <w:rPr>
                <w:rFonts w:eastAsia="Calibri"/>
                <w:color w:val="FF0000"/>
              </w:rPr>
            </w:pPr>
            <w:r w:rsidRPr="00E0193B">
              <w:rPr>
                <w:rFonts w:eastAsia="Calibri"/>
                <w:color w:val="FF0000"/>
              </w:rPr>
              <w:t>Zrealizowane projekty dotyczące unowocześnienia bazy dydaktycznej i demonstracyjnej na potrzeby edukacji w zakresie rolnictwa 4.0.</w:t>
            </w:r>
          </w:p>
          <w:p w14:paraId="494FAB77" w14:textId="77777777" w:rsidR="001E3ABD" w:rsidRPr="00E0193B" w:rsidRDefault="001E3ABD" w:rsidP="001E3ABD">
            <w:pPr>
              <w:widowControl w:val="0"/>
              <w:spacing w:after="0" w:line="240" w:lineRule="auto"/>
              <w:jc w:val="left"/>
              <w:rPr>
                <w:color w:val="FF0000"/>
              </w:rPr>
            </w:pPr>
            <w:r w:rsidRPr="00E0193B">
              <w:rPr>
                <w:color w:val="FF0000"/>
              </w:rPr>
              <w:t>Jednostka miary: liczba</w:t>
            </w:r>
          </w:p>
          <w:p w14:paraId="1071DDBC" w14:textId="77777777" w:rsidR="001E3ABD" w:rsidRPr="00E0193B" w:rsidRDefault="001E3ABD" w:rsidP="001E3ABD">
            <w:pPr>
              <w:widowControl w:val="0"/>
              <w:spacing w:after="0" w:line="230" w:lineRule="auto"/>
              <w:jc w:val="left"/>
              <w:rPr>
                <w:color w:val="FF0000"/>
              </w:rPr>
            </w:pPr>
            <w:r w:rsidRPr="00E0193B">
              <w:rPr>
                <w:color w:val="FF0000"/>
              </w:rPr>
              <w:t>Poziom bazowy: 0</w:t>
            </w:r>
          </w:p>
          <w:p w14:paraId="7B541F2E" w14:textId="77777777" w:rsidR="001E3ABD" w:rsidRPr="00E0193B" w:rsidRDefault="001E3ABD" w:rsidP="001E3ABD">
            <w:pPr>
              <w:spacing w:after="120" w:line="240" w:lineRule="auto"/>
              <w:jc w:val="left"/>
              <w:rPr>
                <w:rFonts w:eastAsia="Calibri"/>
                <w:color w:val="FF0000"/>
              </w:rPr>
            </w:pPr>
            <w:r w:rsidRPr="00E0193B">
              <w:rPr>
                <w:rFonts w:eastAsia="Calibri"/>
                <w:color w:val="FF0000"/>
              </w:rPr>
              <w:t>Cel: 50</w:t>
            </w:r>
          </w:p>
          <w:p w14:paraId="653D1627" w14:textId="77777777" w:rsidR="001E3ABD" w:rsidRPr="00E0193B" w:rsidRDefault="001E3ABD" w:rsidP="001E3ABD">
            <w:pPr>
              <w:spacing w:after="120" w:line="240" w:lineRule="auto"/>
              <w:jc w:val="left"/>
              <w:rPr>
                <w:rFonts w:eastAsia="Calibri"/>
                <w:color w:val="FF0000"/>
              </w:rPr>
            </w:pPr>
            <w:r w:rsidRPr="00E0193B">
              <w:rPr>
                <w:rFonts w:eastAsia="Calibri"/>
                <w:color w:val="FF0000"/>
              </w:rPr>
              <w:t>Orientacyjny harmonogram zakończenia działania: II kwartał 2026 r.</w:t>
            </w:r>
          </w:p>
          <w:p w14:paraId="7387CC7A" w14:textId="77777777" w:rsidR="001E3ABD" w:rsidRPr="00E0193B" w:rsidRDefault="001E3ABD" w:rsidP="001E3ABD">
            <w:pPr>
              <w:spacing w:after="120" w:line="240" w:lineRule="auto"/>
              <w:jc w:val="left"/>
              <w:rPr>
                <w:rFonts w:eastAsia="Calibri"/>
                <w:color w:val="FF0000"/>
              </w:rPr>
            </w:pPr>
            <w:r w:rsidRPr="00E0193B">
              <w:rPr>
                <w:rFonts w:eastAsia="Calibri"/>
                <w:color w:val="FF0000"/>
              </w:rPr>
              <w:t>Opis: Projekty dotyczące unowocześnienia bazy dydaktycznej i demonstracyjnej na potrzeby edukacji w zakresie rolnictwa 4.0. zrealizowane przez jednostki doradztwa rolniczego i szkoły rolnicze.</w:t>
            </w:r>
          </w:p>
          <w:p w14:paraId="0A343A21" w14:textId="77777777" w:rsidR="001E3ABD" w:rsidRPr="00E0193B" w:rsidRDefault="001E3ABD" w:rsidP="001E3ABD">
            <w:pPr>
              <w:spacing w:after="120" w:line="240" w:lineRule="auto"/>
              <w:jc w:val="left"/>
              <w:rPr>
                <w:rFonts w:eastAsia="Calibri"/>
                <w:color w:val="FF0000"/>
              </w:rPr>
            </w:pPr>
            <w:r w:rsidRPr="00E0193B">
              <w:rPr>
                <w:rFonts w:eastAsia="Calibri"/>
                <w:color w:val="FF0000"/>
              </w:rPr>
              <w:t>Realizowane projekty ukierunkowane są na upowszechnianie i promowanie wśród producentów rolnych i mieszkańców wsi rozwiązań i praktyk w zakresie rolnictwa 4.0, służących zwiększeniu odporności gospodarstw rolnych na obecne i przyszłe kryzysy oraz wzmacnianiu wzorców zrównoważonej produkcji.</w:t>
            </w:r>
          </w:p>
          <w:p w14:paraId="5A05CB44" w14:textId="10A6C81A" w:rsidR="00A80460" w:rsidRPr="00E0193B" w:rsidRDefault="001E3ABD" w:rsidP="001E3ABD">
            <w:pPr>
              <w:spacing w:after="120" w:line="240" w:lineRule="auto"/>
              <w:jc w:val="left"/>
              <w:rPr>
                <w:rFonts w:eastAsia="Calibri"/>
                <w:bCs/>
              </w:rPr>
            </w:pPr>
            <w:r w:rsidRPr="00E0193B">
              <w:rPr>
                <w:rFonts w:eastAsia="Calibri"/>
                <w:color w:val="FF0000"/>
              </w:rPr>
              <w:t xml:space="preserve">Inwestycje obejmują zakup, montaż i uruchomienie urządzeń, systemów informatycznych i rozwiązań </w:t>
            </w:r>
            <w:r w:rsidRPr="00E0193B">
              <w:rPr>
                <w:rFonts w:eastAsia="Calibri"/>
                <w:color w:val="FF0000"/>
              </w:rPr>
              <w:lastRenderedPageBreak/>
              <w:t>cyfrowych w zakresie rolnictwa 4.0, w celu prowadzenia działalności dydaktycznej, demonstracyjnej i upowszechnieniowej przez jednostki doradztwa rolniczego i szkoły rolnicze. Wsparcie obejmuje zakup maszyn, sprzętu i oprogramowania do tych celów, w tym czujników, sprzętu informatycznego i oprogramowania komputerowego.</w:t>
            </w:r>
          </w:p>
        </w:tc>
      </w:tr>
      <w:tr w:rsidR="00A80460" w:rsidRPr="00935797" w14:paraId="6E66AAD5" w14:textId="77777777" w:rsidTr="00E70A4A">
        <w:trPr>
          <w:trHeight w:val="558"/>
        </w:trPr>
        <w:tc>
          <w:tcPr>
            <w:tcW w:w="1061" w:type="pct"/>
          </w:tcPr>
          <w:p w14:paraId="282A8135" w14:textId="77777777" w:rsidR="00A80460" w:rsidRPr="00E0193B" w:rsidRDefault="00A80460" w:rsidP="00D94758">
            <w:pPr>
              <w:spacing w:after="120" w:line="240" w:lineRule="auto"/>
              <w:jc w:val="left"/>
              <w:rPr>
                <w:rFonts w:eastAsia="Calibri"/>
              </w:rPr>
            </w:pPr>
          </w:p>
        </w:tc>
        <w:tc>
          <w:tcPr>
            <w:tcW w:w="1775" w:type="pct"/>
          </w:tcPr>
          <w:p w14:paraId="01AB9584" w14:textId="37A994D8" w:rsidR="00A80460" w:rsidRPr="00E0193B" w:rsidRDefault="00C2506C" w:rsidP="00D94758">
            <w:pPr>
              <w:spacing w:after="120" w:line="240" w:lineRule="auto"/>
              <w:jc w:val="left"/>
              <w:rPr>
                <w:rFonts w:eastAsia="Calibri"/>
                <w:bCs/>
                <w:lang w:val="en-GB"/>
              </w:rPr>
            </w:pPr>
            <w:r>
              <w:rPr>
                <w:rFonts w:eastAsia="Calibri"/>
                <w:bCs/>
                <w:lang w:val="en-GB"/>
              </w:rPr>
              <w:t>None</w:t>
            </w:r>
          </w:p>
        </w:tc>
        <w:tc>
          <w:tcPr>
            <w:tcW w:w="2164" w:type="pct"/>
          </w:tcPr>
          <w:p w14:paraId="5B85FCCC" w14:textId="185F04C7" w:rsidR="001E3ABD" w:rsidRPr="00E0193B" w:rsidRDefault="001E3ABD" w:rsidP="001E3ABD">
            <w:pPr>
              <w:spacing w:after="120" w:line="240" w:lineRule="auto"/>
              <w:jc w:val="left"/>
              <w:rPr>
                <w:rFonts w:eastAsia="Calibri"/>
                <w:bCs/>
                <w:lang w:val="en-GB"/>
              </w:rPr>
            </w:pPr>
            <w:r w:rsidRPr="00E0193B">
              <w:rPr>
                <w:rFonts w:eastAsia="Calibri"/>
                <w:bCs/>
                <w:lang w:val="en-GB"/>
              </w:rPr>
              <w:t xml:space="preserve">New </w:t>
            </w:r>
            <w:r w:rsidR="00FB7F70">
              <w:rPr>
                <w:rFonts w:eastAsia="Calibri"/>
                <w:bCs/>
                <w:lang w:val="en-GB"/>
              </w:rPr>
              <w:t>target</w:t>
            </w:r>
            <w:r w:rsidRPr="00E0193B">
              <w:rPr>
                <w:rFonts w:eastAsia="Calibri"/>
                <w:bCs/>
                <w:lang w:val="en-GB"/>
              </w:rPr>
              <w:t>:</w:t>
            </w:r>
          </w:p>
          <w:p w14:paraId="3E400A02" w14:textId="77777777" w:rsidR="001E3ABD" w:rsidRPr="00E0193B" w:rsidRDefault="001E3ABD" w:rsidP="001E3ABD">
            <w:pPr>
              <w:spacing w:after="120" w:line="240" w:lineRule="auto"/>
              <w:jc w:val="left"/>
              <w:rPr>
                <w:rFonts w:eastAsia="Calibri"/>
                <w:bCs/>
                <w:color w:val="FF0000"/>
                <w:lang w:val="en-GB"/>
              </w:rPr>
            </w:pPr>
            <w:r w:rsidRPr="00E0193B">
              <w:rPr>
                <w:rFonts w:eastAsia="Calibri"/>
                <w:bCs/>
                <w:color w:val="FF0000"/>
                <w:lang w:val="en-GB"/>
              </w:rPr>
              <w:t>Completed projects regarding the modernization of the teaching and demonstration base for the needs of education in the field of agriculture 4.0.</w:t>
            </w:r>
          </w:p>
          <w:p w14:paraId="39CCCEC9" w14:textId="77777777" w:rsidR="001E3ABD" w:rsidRPr="00E0193B" w:rsidRDefault="001E3ABD" w:rsidP="001E3ABD">
            <w:pPr>
              <w:spacing w:after="120" w:line="240" w:lineRule="auto"/>
              <w:jc w:val="left"/>
              <w:rPr>
                <w:rFonts w:eastAsia="Calibri"/>
                <w:bCs/>
                <w:color w:val="FF0000"/>
                <w:lang w:val="en-GB"/>
              </w:rPr>
            </w:pPr>
            <w:r w:rsidRPr="00E0193B">
              <w:rPr>
                <w:rFonts w:eastAsia="Calibri"/>
                <w:bCs/>
                <w:color w:val="FF0000"/>
                <w:lang w:val="en-GB"/>
              </w:rPr>
              <w:t>Unit of measurement: number</w:t>
            </w:r>
          </w:p>
          <w:p w14:paraId="5E7AFACD" w14:textId="77777777" w:rsidR="00A80460" w:rsidRPr="00E0193B" w:rsidRDefault="001E3ABD" w:rsidP="001E3ABD">
            <w:pPr>
              <w:spacing w:after="120" w:line="240" w:lineRule="auto"/>
              <w:jc w:val="left"/>
              <w:rPr>
                <w:rFonts w:eastAsia="Calibri"/>
                <w:bCs/>
                <w:color w:val="FF0000"/>
                <w:lang w:val="en-GB"/>
              </w:rPr>
            </w:pPr>
            <w:r w:rsidRPr="00E0193B">
              <w:rPr>
                <w:rFonts w:eastAsia="Calibri"/>
                <w:bCs/>
                <w:color w:val="FF0000"/>
                <w:lang w:val="en-GB"/>
              </w:rPr>
              <w:t>Base level: 0</w:t>
            </w:r>
          </w:p>
          <w:p w14:paraId="6177FD19" w14:textId="77777777" w:rsidR="00FB61AA" w:rsidRPr="00E0193B" w:rsidRDefault="00FB61AA" w:rsidP="00FB61AA">
            <w:pPr>
              <w:spacing w:after="120" w:line="240" w:lineRule="auto"/>
              <w:jc w:val="left"/>
              <w:rPr>
                <w:rFonts w:eastAsia="Calibri"/>
                <w:bCs/>
                <w:color w:val="FF0000"/>
                <w:lang w:val="en-GB"/>
              </w:rPr>
            </w:pPr>
            <w:r w:rsidRPr="00E0193B">
              <w:rPr>
                <w:rFonts w:eastAsia="Calibri"/>
                <w:bCs/>
                <w:color w:val="FF0000"/>
                <w:lang w:val="en-GB"/>
              </w:rPr>
              <w:t>Goal: 50</w:t>
            </w:r>
          </w:p>
          <w:p w14:paraId="53358D4F" w14:textId="77777777" w:rsidR="00FB61AA" w:rsidRPr="00E0193B" w:rsidRDefault="00FB61AA" w:rsidP="00FB61AA">
            <w:pPr>
              <w:spacing w:after="120" w:line="240" w:lineRule="auto"/>
              <w:jc w:val="left"/>
              <w:rPr>
                <w:rFonts w:eastAsia="Calibri"/>
                <w:bCs/>
                <w:color w:val="FF0000"/>
                <w:lang w:val="en-GB"/>
              </w:rPr>
            </w:pPr>
            <w:r w:rsidRPr="00E0193B">
              <w:rPr>
                <w:rFonts w:eastAsia="Calibri"/>
                <w:bCs/>
                <w:color w:val="FF0000"/>
                <w:lang w:val="en-GB"/>
              </w:rPr>
              <w:t>Indicative timetable for completion of the action: Q2 2026.</w:t>
            </w:r>
          </w:p>
          <w:p w14:paraId="487AF8C0" w14:textId="77777777" w:rsidR="00FB61AA" w:rsidRPr="00E0193B" w:rsidRDefault="00FB61AA" w:rsidP="00FB61AA">
            <w:pPr>
              <w:spacing w:after="120" w:line="240" w:lineRule="auto"/>
              <w:jc w:val="left"/>
              <w:rPr>
                <w:rFonts w:eastAsia="Calibri"/>
                <w:bCs/>
                <w:color w:val="FF0000"/>
                <w:lang w:val="en-GB"/>
              </w:rPr>
            </w:pPr>
            <w:r w:rsidRPr="00E0193B">
              <w:rPr>
                <w:rFonts w:eastAsia="Calibri"/>
                <w:bCs/>
                <w:color w:val="FF0000"/>
                <w:lang w:val="en-GB"/>
              </w:rPr>
              <w:t>Description: Projects related to the modernization of the teaching and demonstration base for the needs of education in the field of agriculture 4.0. implemented by agricultural advisory units and agricultural schools.</w:t>
            </w:r>
          </w:p>
          <w:p w14:paraId="30A5AA8E" w14:textId="77777777" w:rsidR="00FB61AA" w:rsidRPr="00E0193B" w:rsidRDefault="00FB61AA" w:rsidP="00FB61AA">
            <w:pPr>
              <w:spacing w:after="120" w:line="240" w:lineRule="auto"/>
              <w:jc w:val="left"/>
              <w:rPr>
                <w:rFonts w:eastAsia="Calibri"/>
                <w:bCs/>
                <w:color w:val="FF0000"/>
                <w:lang w:val="en-GB"/>
              </w:rPr>
            </w:pPr>
            <w:r w:rsidRPr="00E0193B">
              <w:rPr>
                <w:rFonts w:eastAsia="Calibri"/>
                <w:bCs/>
                <w:color w:val="FF0000"/>
                <w:lang w:val="en-GB"/>
              </w:rPr>
              <w:t>The implemented projects are aimed at disseminating and promoting agricultural 4.0 solutions and practices among agricultural producers and rural residents, aimed at increasing the resilience of farms to current and future crises and strengthening sustainable production patterns.</w:t>
            </w:r>
          </w:p>
          <w:p w14:paraId="2E939277" w14:textId="5E8CC407" w:rsidR="00FB61AA" w:rsidRPr="00E0193B" w:rsidRDefault="00FB61AA" w:rsidP="00FB61AA">
            <w:pPr>
              <w:spacing w:after="120" w:line="240" w:lineRule="auto"/>
              <w:jc w:val="left"/>
              <w:rPr>
                <w:rFonts w:eastAsia="Calibri"/>
                <w:bCs/>
                <w:color w:val="FF0000"/>
                <w:lang w:val="en-GB"/>
              </w:rPr>
            </w:pPr>
            <w:r w:rsidRPr="00E0193B">
              <w:rPr>
                <w:rFonts w:eastAsia="Calibri"/>
                <w:bCs/>
                <w:color w:val="FF0000"/>
                <w:lang w:val="en-GB"/>
              </w:rPr>
              <w:t>The investments include the purchase, installation and launch of devices, IT systems and digital solutions in the field of agriculture 4.0, in order to conduct teaching, demonstration and dissemination activities by agricultural advisory units and agricultural schools. Support covers the purchase of machines, hardware and software for these purposes, including sensors, IT equipment and computer software.</w:t>
            </w:r>
          </w:p>
        </w:tc>
      </w:tr>
      <w:tr w:rsidR="00D94758" w:rsidRPr="00E0193B" w14:paraId="442FF595" w14:textId="77777777" w:rsidTr="00E70A4A">
        <w:tc>
          <w:tcPr>
            <w:tcW w:w="1061" w:type="pct"/>
          </w:tcPr>
          <w:p w14:paraId="78222230" w14:textId="77777777" w:rsidR="00D94758" w:rsidRPr="00E0193B" w:rsidRDefault="00D94758" w:rsidP="00D94758">
            <w:pPr>
              <w:spacing w:after="120" w:line="240" w:lineRule="auto"/>
              <w:jc w:val="left"/>
              <w:rPr>
                <w:rFonts w:eastAsia="Calibri"/>
              </w:rPr>
            </w:pPr>
            <w:r w:rsidRPr="00E0193B">
              <w:rPr>
                <w:rFonts w:eastAsia="Calibri"/>
              </w:rPr>
              <w:t>Uzasadnienie</w:t>
            </w:r>
          </w:p>
        </w:tc>
        <w:tc>
          <w:tcPr>
            <w:tcW w:w="3939" w:type="pct"/>
            <w:gridSpan w:val="2"/>
          </w:tcPr>
          <w:p w14:paraId="508671A4" w14:textId="30E27467" w:rsidR="00D94758" w:rsidRPr="00E0193B" w:rsidRDefault="00D94758" w:rsidP="00D94758">
            <w:pPr>
              <w:spacing w:after="120" w:line="240" w:lineRule="auto"/>
              <w:jc w:val="left"/>
            </w:pPr>
            <w:bookmarkStart w:id="25" w:name="_Hlk164083189"/>
            <w:r w:rsidRPr="00E0193B">
              <w:t xml:space="preserve">Zmiany sytuacji na rynkach rolnych, które wystąpiły po I rewizji KPO wymagają zabezpieczenia interesu polskich rolników, w tym m.in. poprzez wsparcie rozwoju infrastruktury magazynowo-dystrybucyjnej, przetwórstwa rolno-spożywczego oraz infrastruktury gospodarstw rolnych, jako kluczowych dla zapewnienia bezpieczeństwa żywnościowego oraz pełniących ważną funkcję społeczną, gospodarczą i środowiskową. </w:t>
            </w:r>
          </w:p>
          <w:p w14:paraId="50C27120" w14:textId="77777777" w:rsidR="00D94758" w:rsidRPr="00E0193B" w:rsidRDefault="00D94758" w:rsidP="00D94758">
            <w:pPr>
              <w:spacing w:after="120" w:line="240" w:lineRule="auto"/>
              <w:jc w:val="left"/>
            </w:pPr>
            <w:r w:rsidRPr="00E0193B">
              <w:t xml:space="preserve">Obiektywne okoliczności związane z dynamicznie zmieniającą się sytuacją geopolityczną w związku z wojną w Ukrainie i jej skutkami dla poszczególnych rynków rolnych, w tym wysokimi cenami środków do produkcji rolniczej i działalności przetwórczej ujawniły dodatkowe potrzeby inwestycyjne w sektorze rolno-spożywczym, w szczególności te związane z zapewnieniem bezpieczeństwa żywnościowego i zwiększeniem odporności na kryzysy na rynkach rolnych wywoływane przez inflację i zaburzenia łańcuchów dostaw. </w:t>
            </w:r>
          </w:p>
          <w:p w14:paraId="4E7ABC94" w14:textId="0E917F89" w:rsidR="00D94758" w:rsidRPr="00E0193B" w:rsidRDefault="00D94758" w:rsidP="00D94758">
            <w:pPr>
              <w:spacing w:after="120" w:line="240" w:lineRule="auto"/>
              <w:jc w:val="left"/>
            </w:pPr>
            <w:bookmarkStart w:id="26" w:name="_Hlk164083181"/>
            <w:bookmarkEnd w:id="25"/>
            <w:r w:rsidRPr="00E0193B">
              <w:t>Koniunktura w polskim rolnictwie w I kwartale 2024 r. uległa dalszemu pogorszeniu. Wartość wskaźnika koniunktury (IRGAGR SGH) obniżyła się w porównaniu z IV kwartałem 2023 r. o 1,7 pkt, do wysokości -24 pkt.</w:t>
            </w:r>
          </w:p>
          <w:p w14:paraId="55A15F71" w14:textId="56416022" w:rsidR="00D94758" w:rsidRPr="00E0193B" w:rsidRDefault="004A349F" w:rsidP="00D94758">
            <w:pPr>
              <w:spacing w:after="120" w:line="240" w:lineRule="auto"/>
              <w:jc w:val="left"/>
            </w:pPr>
            <w:r w:rsidRPr="00E0193B">
              <w:t>Według danych Głównego Urzędu Statystycznego ceny produkcji budowlano-montażowej w styczniu br. były o 7,7% wyższe niż przed rokiem (wobec wzrostu o 7,5% w grudniu ub. roku), a w porównaniu z poprzednim miesiącem wzrosły o 0,5%. W styczniu 2024 r.. wzrosły w skali roku przeciętne miesięczne nominalne wynagrodzenia brutto w sektorze przedsiębiorstw bardziej niż w dwóch poprzednich miesiącach. Przeciętne miesięczne wynagrodzenie brutto w sektorze przedsiębiorstw w styczniu br. wyniosło 7768,35 zł i było o 12,8% wyższe niż przed rokiem (wobec wzrostu o 9,6% w grudniu ub. roku oraz o 13,5% w styczniu ub. roku).</w:t>
            </w:r>
            <w:r w:rsidRPr="00E0193B">
              <w:rPr>
                <w:rStyle w:val="Odwoanieprzypisudolnego"/>
                <w:rFonts w:eastAsiaTheme="minorEastAsia"/>
              </w:rPr>
              <w:footnoteReference w:id="3"/>
            </w:r>
            <w:r w:rsidRPr="00E0193B">
              <w:t xml:space="preserve"> Wzrost cen produkcji budowlano-montażowej ma kluczowe znaczenie dla realizacji inwestycji przede wszystkim w zakresie centrów przechowalniczo-dystrybucyjnych (hale magazynowe, silosy, chłodnie, infrastruktura techniczna) oraz przetwórstwa rolno-spożywczego (budowla lub modernizacja zakładów produkcyjnych). </w:t>
            </w:r>
            <w:bookmarkStart w:id="27" w:name="_Hlk164083173"/>
            <w:bookmarkEnd w:id="26"/>
            <w:r w:rsidR="00D94758" w:rsidRPr="00E0193B">
              <w:t>Polska branża rolno - spożywcza została już wcześniej dotknięta zakłóceniami rynkowymi w okresie pandemii przejawiającymi się m.in. utrudnieniami w obrocie, w tym w dostępie do rynków zbytu. Sektor rolno-spożywczy jest w sposób ciągły dotykany „kryzysami zbożowymi” i innymi związanymi z trudnościami w imporcie produktów rolnych z Ukrainy. Rosja nadal używa żywności jako broni w swojej wojnie przeciwko Ukrainie. Nadpodaż produktów rolnych z Rosji negatywnie wpływa na sytuację popytowo-podażową na europejskich rynkach rolnych. „Kryzysy żywnościowe” związane z trudnościami w imporcie i tranzycie produktów rolnych z Ukrainy skutkują spadkiem cen zakupu tych produktów w kraju i w UE. Prowadzi to również do wzrostu kosztów budowy lub zakupu magazynów i silosów zbożowych, niezbędnych dla zwiększenia powierzchni magazynowej, oraz wzrostu nadwyżek produktów koniecznych do przechowywania i dystrybucji. Powyższe okoliczności spowodowały zakłócenia na krajowym rynku rolno-spożywczym, gwałtowny wzrost cen surowców energetycznych, problemy z zapewnieniem ciągłości dostaw, co przyczyniło się do „rozlewu” niezadowolenia wśród producentów rolnych. Z drugiej strony, występuje bardzo duże zainteresowanie realizacją inwestycji po stronie wnioskodawców, dla których według stanu obecnego, brak jest środków pomocowych w ramach inwestycji A.1.4.1.</w:t>
            </w:r>
          </w:p>
          <w:p w14:paraId="2AD75E8C" w14:textId="452F318F" w:rsidR="00D94758" w:rsidRPr="00E0193B" w:rsidRDefault="00D94758" w:rsidP="00D94758">
            <w:pPr>
              <w:spacing w:after="120" w:line="240" w:lineRule="auto"/>
              <w:jc w:val="left"/>
            </w:pPr>
            <w:bookmarkStart w:id="28" w:name="_Hlk164083160"/>
            <w:bookmarkEnd w:id="27"/>
            <w:r w:rsidRPr="00E0193B">
              <w:t xml:space="preserve">W związku z nowymi wyzwaniami stojącymi przed europejskim i polskim rolnictwem, w tym wynikającymi z Europejskiego Zielonego Ładu i Planu Strategicznego WPR, konieczne jest wprowadzanie w gospodarstwach nowych i nowoczesnych rozwiązań, które docelowo pozwolą m.in. na zmniejszenie kosztów produkcji przy jednoczesnym zapewnieniu optymalnego poziomu ochrony środowiska naturalnego. Drugim aspektem jest stale postępujący rozwój nowoczesnych technologii, w tym wzrost znaczenia rolnictwa precyzyjnego, wykorzystującego autonomiczne </w:t>
            </w:r>
            <w:r w:rsidRPr="00E0193B">
              <w:lastRenderedPageBreak/>
              <w:t>maszyny i urządzenia oraz zaawansowane systemy informatyczne wspomagające procesy podejmowania decyzji.</w:t>
            </w:r>
          </w:p>
          <w:p w14:paraId="3E8D0D72" w14:textId="1B145074" w:rsidR="004A349F" w:rsidRPr="00E0193B" w:rsidRDefault="004A349F" w:rsidP="00D94758">
            <w:pPr>
              <w:spacing w:after="120" w:line="240" w:lineRule="auto"/>
              <w:jc w:val="left"/>
            </w:pPr>
            <w:r w:rsidRPr="00E0193B">
              <w:t>W związku z nowymi wyzwaniami stojącymi przez europejskim i polskim rolnictwem, w tym wynikającymi z Europejskiego Zielonego Ładu i Planu Strategicznego WPR, konieczne jest wprowadzanie w gospodarstwach nowych i nowoczesnych rozwiązań, które docelowo pozwolą m.in. na zmniejszenie kosztów produkcji przy jednoczesnym zapewnieniu optymalnego poziomu ochrony środowiska naturalnego. Drugim aspektem jest stale postępujący rozwój nowoczesnych technologii, w tym wzrost znaczenia rolnictwa precyzyjnego, wykorzystującego autonomiczne maszyny i urządzenia oraz zaawansowane systemy informatyczne wspomagające procesy podejmowania decyzji.</w:t>
            </w:r>
          </w:p>
          <w:p w14:paraId="2352FB4D" w14:textId="77777777" w:rsidR="00D94758" w:rsidRPr="00E0193B" w:rsidRDefault="00D94758" w:rsidP="00D94758">
            <w:pPr>
              <w:spacing w:after="120" w:line="240" w:lineRule="auto"/>
              <w:jc w:val="left"/>
            </w:pPr>
            <w:r w:rsidRPr="00E0193B">
              <w:t>W związku z tym, potrzeby rozwoju infrastruktury rynkowej w szczególności w zakresie przechowywania, logistyki i dystrybucji produktów rolnych i przetworzonych, nabierają szczególnego znaczenia.  Inwestycje w zakresie infrastruktury przechowalniczej będą działaby, jako bufory magazynowe w okresach nadwyżek produktów rolnych.</w:t>
            </w:r>
          </w:p>
          <w:p w14:paraId="417F75AA" w14:textId="748467D4" w:rsidR="00D94758" w:rsidRPr="00E0193B" w:rsidRDefault="00D94758" w:rsidP="00D94758">
            <w:pPr>
              <w:spacing w:after="120" w:line="240" w:lineRule="auto"/>
              <w:jc w:val="left"/>
            </w:pPr>
            <w:r w:rsidRPr="00E0193B">
              <w:t xml:space="preserve">To wszystko spowodowało zwiększenie zainteresowania przedsiębiorców inwestycjami, o czym świadczy duża liczba wniosków złożonych w ramach naborów w inwestycji A1.4.1 sprzed i po I rewizji KPO. Przykładowo w naborze rozpoczętym 15 listopada 2023 r. (i planowanym do zakończenia w dn. 15 grudnia 2023 r.) na wsparcie dla </w:t>
            </w:r>
            <w:bookmarkStart w:id="29" w:name="_Hlk164083140"/>
            <w:bookmarkEnd w:id="28"/>
            <w:r w:rsidRPr="00E0193B">
              <w:t>rolników w zakresie rolnictwa 4.0 już po 3 dniach konieczne było zamknięcie naboru w związku z olbrzymim zainteresowaniem. W naborze tym do 17 listopada 2023 r. rolnicy złożyli łącznie 10351 wniosków na kwotę 1,62 mld zł. A w ramach naboru realizowanego dla rolników i rybaków na tzw. „małe przetwórstwo” w okresie od 3 stycznia 2024 r. do 5 lutego 2024 r. złożono łącznie 4 300 wniosków na łączną kwotę 1,55 mld zł. Natomiast w naborze wniosków na wymianę pokryć dachowych z azbestu przeprowadzonym w okresie 15 grudnia 2023 – 12 stycznia 2024 r. złożono 45 422 wniosków o objęcie wsparciem na kwotę ok. 553,67 mln zł. Również I rewizja KPO podwyższająca budżet na tworzenie centrów dystrybucyjno–magazynowych w wysokości ok. 115 mln euro nie jest wystarczająca na zaspokojenie potrzeb inwestycyjnych wnioskodawców spełniających zasady przyznawania wsparcia.</w:t>
            </w:r>
            <w:bookmarkEnd w:id="29"/>
          </w:p>
          <w:p w14:paraId="7A5643E5" w14:textId="77777777" w:rsidR="00C629E2" w:rsidRPr="00E0193B" w:rsidRDefault="00C629E2" w:rsidP="00C629E2">
            <w:pPr>
              <w:spacing w:after="120" w:line="240" w:lineRule="auto"/>
              <w:jc w:val="left"/>
            </w:pPr>
            <w:r w:rsidRPr="00E0193B">
              <w:t>W zakresie zdolności magazynowych należy skupić się przede wszystkim na potrzebach dotyczących sektora zbóż, w którym występowały największe problemy rynkowe (niskie ceny, wolumen zbóż z Ukrainy). Problemy z niedoborem zdolności magazynowych występują również na rynku owoców i warzyw w związku z rosnącym importem owoców miękkich z Ukrainy w konsekwencji postanowień Umowy stowarzyszeniowej między Ukrainą a UE (liberalizacja handlu), a od 2022 r. również zmiany kierunków handlu w związku z wojną w Ukaranie.</w:t>
            </w:r>
          </w:p>
          <w:p w14:paraId="5A77A16D" w14:textId="77777777" w:rsidR="00C629E2" w:rsidRPr="00E0193B" w:rsidRDefault="00C629E2" w:rsidP="00C629E2">
            <w:pPr>
              <w:spacing w:after="120" w:line="240" w:lineRule="auto"/>
              <w:jc w:val="left"/>
            </w:pPr>
            <w:r w:rsidRPr="00E0193B">
              <w:t>Łącznie pojemności  magazynowe zbóż w Polsce wynoszą około 24,4 mln ton (dane szacunkowe oparte na Powszechnym Spisie Rolnym przeprowadzonym w 2020 roku) w tym:</w:t>
            </w:r>
          </w:p>
          <w:p w14:paraId="3A78A88B" w14:textId="77777777" w:rsidR="00C629E2" w:rsidRPr="00E0193B" w:rsidRDefault="00C629E2" w:rsidP="00C629E2">
            <w:pPr>
              <w:spacing w:after="120" w:line="240" w:lineRule="auto"/>
              <w:jc w:val="left"/>
            </w:pPr>
            <w:r w:rsidRPr="00E0193B">
              <w:t>- w kanałach rynkowych (młyny, zakłady paszowe, handlowcy, porty) ok. 8 mln ton,</w:t>
            </w:r>
          </w:p>
          <w:p w14:paraId="41E69D16" w14:textId="77777777" w:rsidR="00C629E2" w:rsidRPr="00E0193B" w:rsidRDefault="00C629E2" w:rsidP="00C629E2">
            <w:pPr>
              <w:spacing w:after="120" w:line="240" w:lineRule="auto"/>
              <w:jc w:val="left"/>
            </w:pPr>
            <w:r w:rsidRPr="00E0193B">
              <w:t>- u rolników  ok. 16,4 mln ton, z czego tylko 9,6  mln ton jest dedykowane do przechowywania zbóż, a reszta może być okazjonalnie przeznaczona do celów przechowalnictwa zbóż i innych towarów objętościowych suchych (stodoły, silosy paszowe, inne budynki gospodarcze), przy czym powierzchnie te nie gwarantują utrzymania parametrów jakościowych zbóż.</w:t>
            </w:r>
          </w:p>
          <w:p w14:paraId="47251E7F" w14:textId="77777777" w:rsidR="00C629E2" w:rsidRPr="00E0193B" w:rsidRDefault="00C629E2" w:rsidP="00C629E2">
            <w:pPr>
              <w:spacing w:after="120" w:line="240" w:lineRule="auto"/>
              <w:jc w:val="left"/>
            </w:pPr>
            <w:r w:rsidRPr="00E0193B">
              <w:t>Potrzebna powierzchnia magazynowa dla zbóż w okresie zbiorów wynosi 31,6 mln ton (=produkcja 35,8 mln ton + zapasy początkowe 8,7 mln ton – zużycie i eksport zbóż w okresie zbiorów – łącznie 12,9 mln ton). W obliczeniach nie ujęto produkcji rzepaku ok. 3,7 mln ton.</w:t>
            </w:r>
          </w:p>
          <w:p w14:paraId="760FCF3E" w14:textId="77777777" w:rsidR="00C629E2" w:rsidRPr="00E0193B" w:rsidRDefault="00C629E2" w:rsidP="00C629E2">
            <w:pPr>
              <w:spacing w:after="120" w:line="240" w:lineRule="auto"/>
              <w:jc w:val="left"/>
            </w:pPr>
            <w:r w:rsidRPr="00E0193B">
              <w:t xml:space="preserve">Zapotrzebowanie na powierzchnię magazynową dla zbóż w okresie największego zapełnienia magazynów można szacować sumując produkcję i zapasy początkowe oraz odejmując zużycie i eksport w okresie zbiorów, tj.: </w:t>
            </w:r>
          </w:p>
          <w:p w14:paraId="578E66F2" w14:textId="77777777" w:rsidR="00C629E2" w:rsidRPr="00E0193B" w:rsidRDefault="00C629E2" w:rsidP="00C629E2">
            <w:pPr>
              <w:spacing w:after="120" w:line="240" w:lineRule="auto"/>
              <w:jc w:val="left"/>
            </w:pPr>
            <w:r w:rsidRPr="00E0193B">
              <w:t>- prognozowana produkcja zbóż w  sezonie 2024/2025 - 35,8 mln ton (podobnie jak w latach ubiegłych);</w:t>
            </w:r>
          </w:p>
          <w:p w14:paraId="0D1041A3" w14:textId="49F12A67" w:rsidR="00C629E2" w:rsidRPr="00E0193B" w:rsidRDefault="00C629E2" w:rsidP="00C629E2">
            <w:pPr>
              <w:spacing w:after="120" w:line="240" w:lineRule="auto"/>
              <w:jc w:val="left"/>
            </w:pPr>
            <w:r w:rsidRPr="00E0193B">
              <w:t>- zapasy początkowe w sezonie 2024/2025 tj. na 1.07.2024 r. - 8,7 mln ton,</w:t>
            </w:r>
          </w:p>
          <w:p w14:paraId="43B2B706" w14:textId="52D21F96" w:rsidR="00C629E2" w:rsidRPr="00E0193B" w:rsidRDefault="00C629E2" w:rsidP="00C629E2">
            <w:pPr>
              <w:spacing w:after="120" w:line="240" w:lineRule="auto"/>
              <w:jc w:val="left"/>
            </w:pPr>
            <w:r w:rsidRPr="00E0193B">
              <w:t>- magazyny zapełniają się w większości od sierpnia do października/listopada, a w tym czasie zboża są zużywane oraz eksportowane - średnie zużycie w ciągu 4 miesięcy wynosi. 12,9 mln ton (4-miesięczne zużycie, czyli ok. 8,5 mln ton i eksport, czyli ok. 4,4 mln ton).</w:t>
            </w:r>
          </w:p>
          <w:p w14:paraId="3A242C7C" w14:textId="77777777" w:rsidR="00C629E2" w:rsidRPr="00E0193B" w:rsidRDefault="00C629E2" w:rsidP="00C629E2">
            <w:pPr>
              <w:spacing w:after="120" w:line="240" w:lineRule="auto"/>
              <w:jc w:val="left"/>
            </w:pPr>
            <w:r w:rsidRPr="00E0193B">
              <w:t>Tabela 1. Brakującą powierzchnia magazynowa zbóż w Polsce</w:t>
            </w:r>
          </w:p>
          <w:tbl>
            <w:tblPr>
              <w:tblW w:w="7080" w:type="dxa"/>
              <w:tblCellMar>
                <w:left w:w="70" w:type="dxa"/>
                <w:right w:w="70" w:type="dxa"/>
              </w:tblCellMar>
              <w:tblLook w:val="04A0" w:firstRow="1" w:lastRow="0" w:firstColumn="1" w:lastColumn="0" w:noHBand="0" w:noVBand="1"/>
            </w:tblPr>
            <w:tblGrid>
              <w:gridCol w:w="6398"/>
              <w:gridCol w:w="682"/>
            </w:tblGrid>
            <w:tr w:rsidR="00686C10" w:rsidRPr="00E0193B" w14:paraId="37C5FD46" w14:textId="77777777" w:rsidTr="00686C10">
              <w:trPr>
                <w:trHeight w:val="550"/>
              </w:trPr>
              <w:tc>
                <w:tcPr>
                  <w:tcW w:w="7080"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7979267A" w14:textId="77777777" w:rsidR="00686C10" w:rsidRPr="00E0193B" w:rsidRDefault="00686C10" w:rsidP="00686C10">
                  <w:pPr>
                    <w:spacing w:after="0" w:line="240" w:lineRule="auto"/>
                    <w:jc w:val="center"/>
                    <w:rPr>
                      <w:b/>
                      <w:bCs/>
                      <w:color w:val="000000"/>
                      <w:lang w:eastAsia="pl-PL"/>
                    </w:rPr>
                  </w:pPr>
                  <w:r w:rsidRPr="00E0193B">
                    <w:rPr>
                      <w:b/>
                      <w:bCs/>
                      <w:color w:val="000000"/>
                      <w:lang w:eastAsia="pl-PL"/>
                    </w:rPr>
                    <w:t>Tabela: Brakująca powierzchnia magazynowa zbóż w Polsce (mln ton)</w:t>
                  </w:r>
                </w:p>
              </w:tc>
            </w:tr>
            <w:tr w:rsidR="00686C10" w:rsidRPr="00E0193B" w14:paraId="204B84AD" w14:textId="77777777" w:rsidTr="00686C10">
              <w:trPr>
                <w:trHeight w:val="290"/>
              </w:trPr>
              <w:tc>
                <w:tcPr>
                  <w:tcW w:w="7080"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923016" w14:textId="77777777" w:rsidR="00686C10" w:rsidRPr="00E0193B" w:rsidRDefault="00686C10" w:rsidP="00686C10">
                  <w:pPr>
                    <w:spacing w:after="0" w:line="240" w:lineRule="auto"/>
                    <w:jc w:val="center"/>
                    <w:rPr>
                      <w:b/>
                      <w:bCs/>
                      <w:color w:val="000000"/>
                      <w:lang w:eastAsia="pl-PL"/>
                    </w:rPr>
                  </w:pPr>
                  <w:r w:rsidRPr="00E0193B">
                    <w:rPr>
                      <w:b/>
                      <w:bCs/>
                      <w:color w:val="000000"/>
                      <w:lang w:eastAsia="pl-PL"/>
                    </w:rPr>
                    <w:t>pojemności magazynowe</w:t>
                  </w:r>
                </w:p>
              </w:tc>
            </w:tr>
            <w:tr w:rsidR="00686C10" w:rsidRPr="00E0193B" w14:paraId="0C00D255" w14:textId="77777777" w:rsidTr="00686C10">
              <w:trPr>
                <w:trHeight w:val="290"/>
              </w:trPr>
              <w:tc>
                <w:tcPr>
                  <w:tcW w:w="6398" w:type="dxa"/>
                  <w:tcBorders>
                    <w:top w:val="nil"/>
                    <w:left w:val="single" w:sz="4" w:space="0" w:color="auto"/>
                    <w:bottom w:val="single" w:sz="4" w:space="0" w:color="auto"/>
                    <w:right w:val="single" w:sz="4" w:space="0" w:color="auto"/>
                  </w:tcBorders>
                  <w:shd w:val="clear" w:color="auto" w:fill="auto"/>
                  <w:noWrap/>
                  <w:vAlign w:val="bottom"/>
                  <w:hideMark/>
                </w:tcPr>
                <w:p w14:paraId="0C2D9BAB" w14:textId="77777777" w:rsidR="00686C10" w:rsidRPr="00E0193B" w:rsidRDefault="00686C10" w:rsidP="00686C10">
                  <w:pPr>
                    <w:spacing w:after="0" w:line="240" w:lineRule="auto"/>
                    <w:jc w:val="left"/>
                    <w:rPr>
                      <w:color w:val="000000"/>
                      <w:lang w:eastAsia="pl-PL"/>
                    </w:rPr>
                  </w:pPr>
                  <w:r w:rsidRPr="00E0193B">
                    <w:rPr>
                      <w:color w:val="000000"/>
                      <w:lang w:eastAsia="pl-PL"/>
                    </w:rPr>
                    <w:t>kanały rynkowe</w:t>
                  </w:r>
                </w:p>
              </w:tc>
              <w:tc>
                <w:tcPr>
                  <w:tcW w:w="682" w:type="dxa"/>
                  <w:tcBorders>
                    <w:top w:val="nil"/>
                    <w:left w:val="nil"/>
                    <w:bottom w:val="single" w:sz="4" w:space="0" w:color="auto"/>
                    <w:right w:val="single" w:sz="4" w:space="0" w:color="auto"/>
                  </w:tcBorders>
                  <w:shd w:val="clear" w:color="auto" w:fill="auto"/>
                  <w:noWrap/>
                  <w:vAlign w:val="bottom"/>
                  <w:hideMark/>
                </w:tcPr>
                <w:p w14:paraId="4CB9B926" w14:textId="77777777" w:rsidR="00686C10" w:rsidRPr="00E0193B" w:rsidRDefault="00686C10" w:rsidP="00686C10">
                  <w:pPr>
                    <w:spacing w:after="0" w:line="240" w:lineRule="auto"/>
                    <w:jc w:val="center"/>
                    <w:rPr>
                      <w:color w:val="000000"/>
                      <w:lang w:eastAsia="pl-PL"/>
                    </w:rPr>
                  </w:pPr>
                  <w:r w:rsidRPr="00E0193B">
                    <w:rPr>
                      <w:color w:val="000000"/>
                      <w:lang w:eastAsia="pl-PL"/>
                    </w:rPr>
                    <w:t>8</w:t>
                  </w:r>
                </w:p>
              </w:tc>
            </w:tr>
            <w:tr w:rsidR="00686C10" w:rsidRPr="00E0193B" w14:paraId="370AD6AD" w14:textId="77777777" w:rsidTr="00686C10">
              <w:trPr>
                <w:trHeight w:val="290"/>
              </w:trPr>
              <w:tc>
                <w:tcPr>
                  <w:tcW w:w="6398" w:type="dxa"/>
                  <w:tcBorders>
                    <w:top w:val="nil"/>
                    <w:left w:val="single" w:sz="4" w:space="0" w:color="auto"/>
                    <w:bottom w:val="single" w:sz="4" w:space="0" w:color="auto"/>
                    <w:right w:val="single" w:sz="4" w:space="0" w:color="auto"/>
                  </w:tcBorders>
                  <w:shd w:val="clear" w:color="auto" w:fill="auto"/>
                  <w:noWrap/>
                  <w:vAlign w:val="bottom"/>
                  <w:hideMark/>
                </w:tcPr>
                <w:p w14:paraId="1691AD18" w14:textId="77777777" w:rsidR="00686C10" w:rsidRPr="00E0193B" w:rsidRDefault="00686C10" w:rsidP="00686C10">
                  <w:pPr>
                    <w:spacing w:after="0" w:line="240" w:lineRule="auto"/>
                    <w:jc w:val="left"/>
                    <w:rPr>
                      <w:color w:val="000000"/>
                      <w:lang w:eastAsia="pl-PL"/>
                    </w:rPr>
                  </w:pPr>
                  <w:r w:rsidRPr="00E0193B">
                    <w:rPr>
                      <w:color w:val="000000"/>
                      <w:lang w:eastAsia="pl-PL"/>
                    </w:rPr>
                    <w:t>rolnicy</w:t>
                  </w:r>
                </w:p>
              </w:tc>
              <w:tc>
                <w:tcPr>
                  <w:tcW w:w="682" w:type="dxa"/>
                  <w:tcBorders>
                    <w:top w:val="nil"/>
                    <w:left w:val="nil"/>
                    <w:bottom w:val="single" w:sz="4" w:space="0" w:color="auto"/>
                    <w:right w:val="single" w:sz="4" w:space="0" w:color="auto"/>
                  </w:tcBorders>
                  <w:shd w:val="clear" w:color="auto" w:fill="auto"/>
                  <w:noWrap/>
                  <w:vAlign w:val="bottom"/>
                  <w:hideMark/>
                </w:tcPr>
                <w:p w14:paraId="6DAA3D9E" w14:textId="77777777" w:rsidR="00686C10" w:rsidRPr="00E0193B" w:rsidRDefault="00686C10" w:rsidP="00686C10">
                  <w:pPr>
                    <w:spacing w:after="0" w:line="240" w:lineRule="auto"/>
                    <w:jc w:val="center"/>
                    <w:rPr>
                      <w:color w:val="000000"/>
                      <w:lang w:eastAsia="pl-PL"/>
                    </w:rPr>
                  </w:pPr>
                  <w:r w:rsidRPr="00E0193B">
                    <w:rPr>
                      <w:color w:val="000000"/>
                      <w:lang w:eastAsia="pl-PL"/>
                    </w:rPr>
                    <w:t>16,4</w:t>
                  </w:r>
                </w:p>
              </w:tc>
            </w:tr>
            <w:tr w:rsidR="00686C10" w:rsidRPr="00E0193B" w14:paraId="7D460CCF" w14:textId="77777777" w:rsidTr="00686C10">
              <w:trPr>
                <w:trHeight w:val="290"/>
              </w:trPr>
              <w:tc>
                <w:tcPr>
                  <w:tcW w:w="6398" w:type="dxa"/>
                  <w:tcBorders>
                    <w:top w:val="nil"/>
                    <w:left w:val="single" w:sz="4" w:space="0" w:color="auto"/>
                    <w:bottom w:val="single" w:sz="4" w:space="0" w:color="auto"/>
                    <w:right w:val="single" w:sz="4" w:space="0" w:color="auto"/>
                  </w:tcBorders>
                  <w:shd w:val="clear" w:color="auto" w:fill="auto"/>
                  <w:noWrap/>
                  <w:vAlign w:val="bottom"/>
                  <w:hideMark/>
                </w:tcPr>
                <w:p w14:paraId="35DA837D" w14:textId="77777777" w:rsidR="00686C10" w:rsidRPr="00E0193B" w:rsidRDefault="00686C10" w:rsidP="00686C10">
                  <w:pPr>
                    <w:spacing w:after="0" w:line="240" w:lineRule="auto"/>
                    <w:jc w:val="left"/>
                    <w:rPr>
                      <w:b/>
                      <w:bCs/>
                      <w:i/>
                      <w:iCs/>
                      <w:color w:val="000000"/>
                      <w:lang w:eastAsia="pl-PL"/>
                    </w:rPr>
                  </w:pPr>
                  <w:r w:rsidRPr="00E0193B">
                    <w:rPr>
                      <w:b/>
                      <w:bCs/>
                      <w:i/>
                      <w:iCs/>
                      <w:color w:val="000000"/>
                      <w:lang w:eastAsia="pl-PL"/>
                    </w:rPr>
                    <w:t>łącznie</w:t>
                  </w:r>
                </w:p>
              </w:tc>
              <w:tc>
                <w:tcPr>
                  <w:tcW w:w="682" w:type="dxa"/>
                  <w:tcBorders>
                    <w:top w:val="nil"/>
                    <w:left w:val="nil"/>
                    <w:bottom w:val="single" w:sz="4" w:space="0" w:color="auto"/>
                    <w:right w:val="single" w:sz="4" w:space="0" w:color="auto"/>
                  </w:tcBorders>
                  <w:shd w:val="clear" w:color="auto" w:fill="auto"/>
                  <w:noWrap/>
                  <w:vAlign w:val="bottom"/>
                  <w:hideMark/>
                </w:tcPr>
                <w:p w14:paraId="1AF327AE" w14:textId="77777777" w:rsidR="00686C10" w:rsidRPr="00E0193B" w:rsidRDefault="00686C10" w:rsidP="00686C10">
                  <w:pPr>
                    <w:spacing w:after="0" w:line="240" w:lineRule="auto"/>
                    <w:jc w:val="center"/>
                    <w:rPr>
                      <w:b/>
                      <w:bCs/>
                      <w:i/>
                      <w:iCs/>
                      <w:color w:val="000000"/>
                      <w:lang w:eastAsia="pl-PL"/>
                    </w:rPr>
                  </w:pPr>
                  <w:r w:rsidRPr="00E0193B">
                    <w:rPr>
                      <w:b/>
                      <w:bCs/>
                      <w:i/>
                      <w:iCs/>
                      <w:color w:val="000000"/>
                      <w:lang w:eastAsia="pl-PL"/>
                    </w:rPr>
                    <w:t>24,4</w:t>
                  </w:r>
                </w:p>
              </w:tc>
            </w:tr>
            <w:tr w:rsidR="00686C10" w:rsidRPr="00E0193B" w14:paraId="070FFC7C" w14:textId="77777777" w:rsidTr="00686C10">
              <w:trPr>
                <w:trHeight w:val="290"/>
              </w:trPr>
              <w:tc>
                <w:tcPr>
                  <w:tcW w:w="7080" w:type="dxa"/>
                  <w:gridSpan w:val="2"/>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03664FCC" w14:textId="77777777" w:rsidR="00686C10" w:rsidRPr="00E0193B" w:rsidRDefault="00686C10" w:rsidP="00686C10">
                  <w:pPr>
                    <w:spacing w:after="0" w:line="240" w:lineRule="auto"/>
                    <w:jc w:val="center"/>
                    <w:rPr>
                      <w:b/>
                      <w:bCs/>
                      <w:color w:val="000000"/>
                      <w:lang w:eastAsia="pl-PL"/>
                    </w:rPr>
                  </w:pPr>
                  <w:r w:rsidRPr="00E0193B">
                    <w:rPr>
                      <w:b/>
                      <w:bCs/>
                      <w:color w:val="000000"/>
                      <w:lang w:eastAsia="pl-PL"/>
                    </w:rPr>
                    <w:t>potrzeby magazynowe</w:t>
                  </w:r>
                </w:p>
              </w:tc>
            </w:tr>
            <w:tr w:rsidR="00686C10" w:rsidRPr="00E0193B" w14:paraId="0AD49114" w14:textId="77777777" w:rsidTr="00686C10">
              <w:trPr>
                <w:trHeight w:val="290"/>
              </w:trPr>
              <w:tc>
                <w:tcPr>
                  <w:tcW w:w="6398" w:type="dxa"/>
                  <w:tcBorders>
                    <w:top w:val="nil"/>
                    <w:left w:val="single" w:sz="4" w:space="0" w:color="auto"/>
                    <w:bottom w:val="single" w:sz="4" w:space="0" w:color="auto"/>
                    <w:right w:val="single" w:sz="4" w:space="0" w:color="auto"/>
                  </w:tcBorders>
                  <w:shd w:val="clear" w:color="auto" w:fill="auto"/>
                  <w:noWrap/>
                  <w:vAlign w:val="bottom"/>
                  <w:hideMark/>
                </w:tcPr>
                <w:p w14:paraId="0B55DD71" w14:textId="77777777" w:rsidR="00686C10" w:rsidRPr="00E0193B" w:rsidRDefault="00686C10" w:rsidP="00686C10">
                  <w:pPr>
                    <w:spacing w:after="0" w:line="240" w:lineRule="auto"/>
                    <w:jc w:val="left"/>
                    <w:rPr>
                      <w:color w:val="000000"/>
                      <w:lang w:eastAsia="pl-PL"/>
                    </w:rPr>
                  </w:pPr>
                  <w:r w:rsidRPr="00E0193B">
                    <w:rPr>
                      <w:color w:val="000000"/>
                      <w:lang w:eastAsia="pl-PL"/>
                    </w:rPr>
                    <w:t>produkcja zbółż 2023/2024</w:t>
                  </w:r>
                </w:p>
              </w:tc>
              <w:tc>
                <w:tcPr>
                  <w:tcW w:w="682" w:type="dxa"/>
                  <w:tcBorders>
                    <w:top w:val="nil"/>
                    <w:left w:val="nil"/>
                    <w:bottom w:val="single" w:sz="4" w:space="0" w:color="auto"/>
                    <w:right w:val="single" w:sz="4" w:space="0" w:color="auto"/>
                  </w:tcBorders>
                  <w:shd w:val="clear" w:color="auto" w:fill="auto"/>
                  <w:noWrap/>
                  <w:vAlign w:val="bottom"/>
                  <w:hideMark/>
                </w:tcPr>
                <w:p w14:paraId="781CFAF5" w14:textId="77777777" w:rsidR="00686C10" w:rsidRPr="00E0193B" w:rsidRDefault="00686C10" w:rsidP="00686C10">
                  <w:pPr>
                    <w:spacing w:after="0" w:line="240" w:lineRule="auto"/>
                    <w:jc w:val="center"/>
                    <w:rPr>
                      <w:color w:val="000000"/>
                      <w:lang w:eastAsia="pl-PL"/>
                    </w:rPr>
                  </w:pPr>
                  <w:r w:rsidRPr="00E0193B">
                    <w:rPr>
                      <w:color w:val="000000"/>
                      <w:lang w:eastAsia="pl-PL"/>
                    </w:rPr>
                    <w:t>35,8</w:t>
                  </w:r>
                </w:p>
              </w:tc>
            </w:tr>
            <w:tr w:rsidR="00686C10" w:rsidRPr="00E0193B" w14:paraId="048136EE" w14:textId="77777777" w:rsidTr="00686C10">
              <w:trPr>
                <w:trHeight w:val="290"/>
              </w:trPr>
              <w:tc>
                <w:tcPr>
                  <w:tcW w:w="6398" w:type="dxa"/>
                  <w:tcBorders>
                    <w:top w:val="nil"/>
                    <w:left w:val="single" w:sz="4" w:space="0" w:color="auto"/>
                    <w:bottom w:val="single" w:sz="4" w:space="0" w:color="auto"/>
                    <w:right w:val="single" w:sz="4" w:space="0" w:color="auto"/>
                  </w:tcBorders>
                  <w:shd w:val="clear" w:color="auto" w:fill="auto"/>
                  <w:noWrap/>
                  <w:vAlign w:val="bottom"/>
                  <w:hideMark/>
                </w:tcPr>
                <w:p w14:paraId="17CE5A59" w14:textId="77777777" w:rsidR="00686C10" w:rsidRPr="00E0193B" w:rsidRDefault="00686C10" w:rsidP="00686C10">
                  <w:pPr>
                    <w:spacing w:after="0" w:line="240" w:lineRule="auto"/>
                    <w:jc w:val="left"/>
                    <w:rPr>
                      <w:color w:val="000000"/>
                      <w:lang w:eastAsia="pl-PL"/>
                    </w:rPr>
                  </w:pPr>
                  <w:r w:rsidRPr="00E0193B">
                    <w:rPr>
                      <w:color w:val="000000"/>
                      <w:lang w:eastAsia="pl-PL"/>
                    </w:rPr>
                    <w:t>zapasy końcowe 2023/2024</w:t>
                  </w:r>
                </w:p>
              </w:tc>
              <w:tc>
                <w:tcPr>
                  <w:tcW w:w="682" w:type="dxa"/>
                  <w:tcBorders>
                    <w:top w:val="nil"/>
                    <w:left w:val="nil"/>
                    <w:bottom w:val="single" w:sz="4" w:space="0" w:color="auto"/>
                    <w:right w:val="single" w:sz="4" w:space="0" w:color="auto"/>
                  </w:tcBorders>
                  <w:shd w:val="clear" w:color="auto" w:fill="auto"/>
                  <w:noWrap/>
                  <w:vAlign w:val="bottom"/>
                  <w:hideMark/>
                </w:tcPr>
                <w:p w14:paraId="626CD701" w14:textId="77777777" w:rsidR="00686C10" w:rsidRPr="00E0193B" w:rsidRDefault="00686C10" w:rsidP="00686C10">
                  <w:pPr>
                    <w:spacing w:after="0" w:line="240" w:lineRule="auto"/>
                    <w:jc w:val="center"/>
                    <w:rPr>
                      <w:color w:val="000000"/>
                      <w:lang w:eastAsia="pl-PL"/>
                    </w:rPr>
                  </w:pPr>
                  <w:r w:rsidRPr="00E0193B">
                    <w:rPr>
                      <w:color w:val="000000"/>
                      <w:lang w:eastAsia="pl-PL"/>
                    </w:rPr>
                    <w:t>8,7</w:t>
                  </w:r>
                </w:p>
              </w:tc>
            </w:tr>
            <w:tr w:rsidR="00686C10" w:rsidRPr="00E0193B" w14:paraId="6A1B4EB6" w14:textId="77777777" w:rsidTr="00686C10">
              <w:trPr>
                <w:trHeight w:val="290"/>
              </w:trPr>
              <w:tc>
                <w:tcPr>
                  <w:tcW w:w="6398" w:type="dxa"/>
                  <w:tcBorders>
                    <w:top w:val="nil"/>
                    <w:left w:val="single" w:sz="4" w:space="0" w:color="auto"/>
                    <w:bottom w:val="single" w:sz="4" w:space="0" w:color="auto"/>
                    <w:right w:val="single" w:sz="4" w:space="0" w:color="auto"/>
                  </w:tcBorders>
                  <w:shd w:val="clear" w:color="auto" w:fill="auto"/>
                  <w:noWrap/>
                  <w:vAlign w:val="bottom"/>
                  <w:hideMark/>
                </w:tcPr>
                <w:p w14:paraId="6C24FBB6" w14:textId="77777777" w:rsidR="00686C10" w:rsidRPr="00E0193B" w:rsidRDefault="00686C10" w:rsidP="00686C10">
                  <w:pPr>
                    <w:spacing w:after="0" w:line="240" w:lineRule="auto"/>
                    <w:jc w:val="left"/>
                    <w:rPr>
                      <w:color w:val="000000"/>
                      <w:lang w:eastAsia="pl-PL"/>
                    </w:rPr>
                  </w:pPr>
                  <w:r w:rsidRPr="00E0193B">
                    <w:rPr>
                      <w:color w:val="000000"/>
                      <w:lang w:eastAsia="pl-PL"/>
                    </w:rPr>
                    <w:t>zużycie zbóż przez 4m-ce</w:t>
                  </w:r>
                </w:p>
              </w:tc>
              <w:tc>
                <w:tcPr>
                  <w:tcW w:w="682" w:type="dxa"/>
                  <w:tcBorders>
                    <w:top w:val="nil"/>
                    <w:left w:val="nil"/>
                    <w:bottom w:val="single" w:sz="4" w:space="0" w:color="auto"/>
                    <w:right w:val="single" w:sz="4" w:space="0" w:color="auto"/>
                  </w:tcBorders>
                  <w:shd w:val="clear" w:color="auto" w:fill="auto"/>
                  <w:noWrap/>
                  <w:vAlign w:val="bottom"/>
                  <w:hideMark/>
                </w:tcPr>
                <w:p w14:paraId="61D9583F" w14:textId="77777777" w:rsidR="00686C10" w:rsidRPr="00E0193B" w:rsidRDefault="00686C10" w:rsidP="00686C10">
                  <w:pPr>
                    <w:spacing w:after="0" w:line="240" w:lineRule="auto"/>
                    <w:jc w:val="center"/>
                    <w:rPr>
                      <w:color w:val="000000"/>
                      <w:lang w:eastAsia="pl-PL"/>
                    </w:rPr>
                  </w:pPr>
                  <w:r w:rsidRPr="00E0193B">
                    <w:rPr>
                      <w:color w:val="000000"/>
                      <w:lang w:eastAsia="pl-PL"/>
                    </w:rPr>
                    <w:t>8,5</w:t>
                  </w:r>
                </w:p>
              </w:tc>
            </w:tr>
            <w:tr w:rsidR="00686C10" w:rsidRPr="00E0193B" w14:paraId="7BD6F9AC" w14:textId="77777777" w:rsidTr="00686C10">
              <w:trPr>
                <w:trHeight w:val="290"/>
              </w:trPr>
              <w:tc>
                <w:tcPr>
                  <w:tcW w:w="6398" w:type="dxa"/>
                  <w:tcBorders>
                    <w:top w:val="nil"/>
                    <w:left w:val="single" w:sz="4" w:space="0" w:color="auto"/>
                    <w:bottom w:val="single" w:sz="4" w:space="0" w:color="auto"/>
                    <w:right w:val="single" w:sz="4" w:space="0" w:color="auto"/>
                  </w:tcBorders>
                  <w:shd w:val="clear" w:color="auto" w:fill="auto"/>
                  <w:noWrap/>
                  <w:vAlign w:val="bottom"/>
                  <w:hideMark/>
                </w:tcPr>
                <w:p w14:paraId="34A7968D" w14:textId="77777777" w:rsidR="00686C10" w:rsidRPr="00E0193B" w:rsidRDefault="00686C10" w:rsidP="00686C10">
                  <w:pPr>
                    <w:spacing w:after="0" w:line="240" w:lineRule="auto"/>
                    <w:jc w:val="left"/>
                    <w:rPr>
                      <w:color w:val="000000"/>
                      <w:lang w:eastAsia="pl-PL"/>
                    </w:rPr>
                  </w:pPr>
                  <w:r w:rsidRPr="00E0193B">
                    <w:rPr>
                      <w:color w:val="000000"/>
                      <w:lang w:eastAsia="pl-PL"/>
                    </w:rPr>
                    <w:t>eksport zbóż przez 4m-ce</w:t>
                  </w:r>
                </w:p>
              </w:tc>
              <w:tc>
                <w:tcPr>
                  <w:tcW w:w="682" w:type="dxa"/>
                  <w:tcBorders>
                    <w:top w:val="nil"/>
                    <w:left w:val="nil"/>
                    <w:bottom w:val="single" w:sz="4" w:space="0" w:color="auto"/>
                    <w:right w:val="single" w:sz="4" w:space="0" w:color="auto"/>
                  </w:tcBorders>
                  <w:shd w:val="clear" w:color="auto" w:fill="auto"/>
                  <w:noWrap/>
                  <w:vAlign w:val="bottom"/>
                  <w:hideMark/>
                </w:tcPr>
                <w:p w14:paraId="1C47716C" w14:textId="77777777" w:rsidR="00686C10" w:rsidRPr="00E0193B" w:rsidRDefault="00686C10" w:rsidP="00686C10">
                  <w:pPr>
                    <w:spacing w:after="0" w:line="240" w:lineRule="auto"/>
                    <w:jc w:val="center"/>
                    <w:rPr>
                      <w:color w:val="000000"/>
                      <w:lang w:eastAsia="pl-PL"/>
                    </w:rPr>
                  </w:pPr>
                  <w:r w:rsidRPr="00E0193B">
                    <w:rPr>
                      <w:color w:val="000000"/>
                      <w:lang w:eastAsia="pl-PL"/>
                    </w:rPr>
                    <w:t>4,4</w:t>
                  </w:r>
                </w:p>
              </w:tc>
            </w:tr>
            <w:tr w:rsidR="00686C10" w:rsidRPr="00E0193B" w14:paraId="7E50A4FE" w14:textId="77777777" w:rsidTr="00686C10">
              <w:trPr>
                <w:trHeight w:val="300"/>
              </w:trPr>
              <w:tc>
                <w:tcPr>
                  <w:tcW w:w="6398" w:type="dxa"/>
                  <w:tcBorders>
                    <w:top w:val="nil"/>
                    <w:left w:val="single" w:sz="4" w:space="0" w:color="auto"/>
                    <w:bottom w:val="nil"/>
                    <w:right w:val="single" w:sz="4" w:space="0" w:color="auto"/>
                  </w:tcBorders>
                  <w:shd w:val="clear" w:color="auto" w:fill="auto"/>
                  <w:noWrap/>
                  <w:vAlign w:val="bottom"/>
                  <w:hideMark/>
                </w:tcPr>
                <w:p w14:paraId="01353998" w14:textId="77777777" w:rsidR="00686C10" w:rsidRPr="00E0193B" w:rsidRDefault="00686C10" w:rsidP="00686C10">
                  <w:pPr>
                    <w:spacing w:after="0" w:line="240" w:lineRule="auto"/>
                    <w:jc w:val="left"/>
                    <w:rPr>
                      <w:b/>
                      <w:bCs/>
                      <w:i/>
                      <w:iCs/>
                      <w:color w:val="000000"/>
                      <w:lang w:eastAsia="pl-PL"/>
                    </w:rPr>
                  </w:pPr>
                  <w:r w:rsidRPr="00E0193B">
                    <w:rPr>
                      <w:b/>
                      <w:bCs/>
                      <w:i/>
                      <w:iCs/>
                      <w:color w:val="000000"/>
                      <w:lang w:eastAsia="pl-PL"/>
                    </w:rPr>
                    <w:t>łącznie (produkcja+zapasy-zużycie-eksport)</w:t>
                  </w:r>
                </w:p>
              </w:tc>
              <w:tc>
                <w:tcPr>
                  <w:tcW w:w="682" w:type="dxa"/>
                  <w:tcBorders>
                    <w:top w:val="nil"/>
                    <w:left w:val="nil"/>
                    <w:bottom w:val="nil"/>
                    <w:right w:val="single" w:sz="4" w:space="0" w:color="auto"/>
                  </w:tcBorders>
                  <w:shd w:val="clear" w:color="auto" w:fill="auto"/>
                  <w:noWrap/>
                  <w:vAlign w:val="bottom"/>
                  <w:hideMark/>
                </w:tcPr>
                <w:p w14:paraId="71EF244D" w14:textId="77777777" w:rsidR="00686C10" w:rsidRPr="00E0193B" w:rsidRDefault="00686C10" w:rsidP="00686C10">
                  <w:pPr>
                    <w:spacing w:after="0" w:line="240" w:lineRule="auto"/>
                    <w:jc w:val="center"/>
                    <w:rPr>
                      <w:b/>
                      <w:bCs/>
                      <w:i/>
                      <w:iCs/>
                      <w:color w:val="000000"/>
                      <w:lang w:eastAsia="pl-PL"/>
                    </w:rPr>
                  </w:pPr>
                  <w:r w:rsidRPr="00E0193B">
                    <w:rPr>
                      <w:b/>
                      <w:bCs/>
                      <w:i/>
                      <w:iCs/>
                      <w:color w:val="000000"/>
                      <w:lang w:eastAsia="pl-PL"/>
                    </w:rPr>
                    <w:t>31,6</w:t>
                  </w:r>
                </w:p>
              </w:tc>
            </w:tr>
            <w:tr w:rsidR="00686C10" w:rsidRPr="00E0193B" w14:paraId="46E9900A" w14:textId="77777777" w:rsidTr="00686C10">
              <w:trPr>
                <w:trHeight w:val="300"/>
              </w:trPr>
              <w:tc>
                <w:tcPr>
                  <w:tcW w:w="6398" w:type="dxa"/>
                  <w:tcBorders>
                    <w:top w:val="single" w:sz="8" w:space="0" w:color="auto"/>
                    <w:left w:val="single" w:sz="8" w:space="0" w:color="auto"/>
                    <w:bottom w:val="single" w:sz="8" w:space="0" w:color="auto"/>
                    <w:right w:val="single" w:sz="4" w:space="0" w:color="auto"/>
                  </w:tcBorders>
                  <w:shd w:val="clear" w:color="000000" w:fill="BFBFBF"/>
                  <w:noWrap/>
                  <w:vAlign w:val="bottom"/>
                  <w:hideMark/>
                </w:tcPr>
                <w:p w14:paraId="76D695C9" w14:textId="77777777" w:rsidR="00686C10" w:rsidRPr="00E0193B" w:rsidRDefault="00686C10" w:rsidP="00686C10">
                  <w:pPr>
                    <w:spacing w:after="0" w:line="240" w:lineRule="auto"/>
                    <w:jc w:val="left"/>
                    <w:rPr>
                      <w:b/>
                      <w:bCs/>
                      <w:color w:val="000000"/>
                      <w:lang w:eastAsia="pl-PL"/>
                    </w:rPr>
                  </w:pPr>
                  <w:r w:rsidRPr="00E0193B">
                    <w:rPr>
                      <w:b/>
                      <w:bCs/>
                      <w:color w:val="000000"/>
                      <w:lang w:eastAsia="pl-PL"/>
                    </w:rPr>
                    <w:t>brakująca powierzchnia magazynowa:</w:t>
                  </w:r>
                </w:p>
              </w:tc>
              <w:tc>
                <w:tcPr>
                  <w:tcW w:w="682" w:type="dxa"/>
                  <w:tcBorders>
                    <w:top w:val="single" w:sz="8" w:space="0" w:color="auto"/>
                    <w:left w:val="nil"/>
                    <w:bottom w:val="single" w:sz="8" w:space="0" w:color="auto"/>
                    <w:right w:val="single" w:sz="8" w:space="0" w:color="auto"/>
                  </w:tcBorders>
                  <w:shd w:val="clear" w:color="000000" w:fill="BFBFBF"/>
                  <w:noWrap/>
                  <w:vAlign w:val="bottom"/>
                  <w:hideMark/>
                </w:tcPr>
                <w:p w14:paraId="213D476B" w14:textId="77777777" w:rsidR="00686C10" w:rsidRPr="00E0193B" w:rsidRDefault="00686C10" w:rsidP="00686C10">
                  <w:pPr>
                    <w:spacing w:after="0" w:line="240" w:lineRule="auto"/>
                    <w:jc w:val="center"/>
                    <w:rPr>
                      <w:b/>
                      <w:bCs/>
                      <w:color w:val="000000"/>
                      <w:lang w:eastAsia="pl-PL"/>
                    </w:rPr>
                  </w:pPr>
                  <w:r w:rsidRPr="00E0193B">
                    <w:rPr>
                      <w:b/>
                      <w:bCs/>
                      <w:color w:val="000000"/>
                      <w:lang w:eastAsia="pl-PL"/>
                    </w:rPr>
                    <w:t>7,2</w:t>
                  </w:r>
                </w:p>
              </w:tc>
            </w:tr>
          </w:tbl>
          <w:p w14:paraId="4C385603" w14:textId="77777777" w:rsidR="00C629E2" w:rsidRPr="00E0193B" w:rsidRDefault="00C629E2" w:rsidP="00C629E2">
            <w:pPr>
              <w:spacing w:after="120" w:line="240" w:lineRule="auto"/>
              <w:jc w:val="left"/>
            </w:pPr>
            <w:r w:rsidRPr="00E0193B">
              <w:t xml:space="preserve"> Źródło: Obliczenia  MRiRW</w:t>
            </w:r>
          </w:p>
          <w:p w14:paraId="2848835D" w14:textId="77777777" w:rsidR="00C629E2" w:rsidRPr="00E0193B" w:rsidRDefault="00C629E2" w:rsidP="00C629E2">
            <w:pPr>
              <w:spacing w:after="120" w:line="240" w:lineRule="auto"/>
              <w:jc w:val="left"/>
            </w:pPr>
            <w:r w:rsidRPr="00E0193B">
              <w:t>Od kilku lat systematycznie rośnie również zapotrzebowanie na powierzchnie magazynowe w tym sektorze, w tym głównie chłodnie i mroźnie, w związku z rosnącym importem owoców miękkich z terytorium Ukrainy. W szczególności należy podkreślić, że wartość importu mrożonych owoców z Ukrainy do Polski wzrosła z 37 mln euro w 2019 r. do 129 mln euro w 2022 r. W latach 2019-2023 trzykrotnie wzrósł wolumen importu mrożonych malin – z 7 tys. ton do 24 tys. ton, i w 2023 r. odpowiadał około 50% krajowej produkcji tych przetworów (mrożonych malin).</w:t>
            </w:r>
          </w:p>
          <w:p w14:paraId="00E44B33" w14:textId="77777777" w:rsidR="00C629E2" w:rsidRPr="00E0193B" w:rsidRDefault="00C629E2" w:rsidP="00C629E2">
            <w:pPr>
              <w:spacing w:after="120" w:line="240" w:lineRule="auto"/>
              <w:jc w:val="left"/>
            </w:pPr>
            <w:r w:rsidRPr="00E0193B">
              <w:t>Istniejąca luka w powierzchni magazynowej dla zbóż wynosi ok. 7 mln ton.  W ww. obliczaniach nie ujęto rzepaku, którego produkcja w sezonie 2023/2024 wynosiła 3,7 mln ton.</w:t>
            </w:r>
          </w:p>
          <w:p w14:paraId="556AE165" w14:textId="2511CC59" w:rsidR="0043379A" w:rsidRPr="00E0193B" w:rsidRDefault="00C629E2" w:rsidP="0043379A">
            <w:pPr>
              <w:widowControl w:val="0"/>
              <w:spacing w:after="100" w:line="240" w:lineRule="auto"/>
              <w:jc w:val="left"/>
            </w:pPr>
            <w:r w:rsidRPr="00E0193B">
              <w:t xml:space="preserve">Czas trwania procesu inwestycyjnego ze względu na różną skalę inwestycji w poszczególnych w instrumentach może mieć inną długość. W przypadku prostych projektów dotyczących zakupu i montażu silosów przez rolników, proces inwestycyjny może zostać zakończony relatywnie szybko. Jedynym ograniczeniem czasowym jest termin realizacji zamówienia w zakresie zakupu silosa oraz dostępność profesjonalnej ekipy montażowej. Natomiast w zakresie inwestycji o znaczącej skali jakim jest budowa dużych obiektów magazynowych czy infrastruktury logistycznej w ramach tzw. centrów przechowalniczo-dystrybucyjnych, terminy realizacji samej inwestycji mogą sięgać ponad 12 miesięcy Zgodnie z bieżącymi danymi Agencji Restrukturyzacji i Modernizacji Rolnictwa (Jednostka Wspierająca KPO) zawartymi w dotychczas zawartych umowach czas realizacji </w:t>
            </w:r>
            <w:r w:rsidRPr="00E0193B">
              <w:lastRenderedPageBreak/>
              <w:t>przedsięwzięć ma wynosić średnio 410 dni.</w:t>
            </w:r>
            <w:bookmarkStart w:id="30" w:name="_Hlk164083130"/>
            <w:r w:rsidR="0043379A" w:rsidRPr="00E0193B">
              <w:t>A1.4.1.3</w:t>
            </w:r>
          </w:p>
          <w:p w14:paraId="6CF6C799" w14:textId="2F154935" w:rsidR="0043379A" w:rsidRPr="00E0193B" w:rsidRDefault="00D94758" w:rsidP="0027600D">
            <w:pPr>
              <w:autoSpaceDE w:val="0"/>
              <w:autoSpaceDN w:val="0"/>
              <w:adjustRightInd w:val="0"/>
              <w:spacing w:after="0" w:line="240" w:lineRule="auto"/>
              <w:jc w:val="left"/>
            </w:pPr>
            <w:r w:rsidRPr="00E0193B">
              <w:t>W związku z protestami rolników, w trakcie których podnoszone są m.in. kwestie zobowiązań wynikających z Europejskiego Zielonego Ładu</w:t>
            </w:r>
            <w:r w:rsidR="0043379A" w:rsidRPr="00E0193B">
              <w:t xml:space="preserve"> oraz niskiej opłacalności produkcji rolniczej</w:t>
            </w:r>
            <w:r w:rsidRPr="00E0193B">
              <w:t xml:space="preserve">, powstała potrzeba szerszych działań ukierunkowanych na podnoszenie wiedzy i umiejętności rolników i mieszkańców wsi w zakresie wykorzystania nowoczesnych technologii, w szczególności rozwiązań rolnictwa 4.0, w sprostaniu nowym wyzwaniom. </w:t>
            </w:r>
            <w:r w:rsidR="0043379A" w:rsidRPr="00E0193B">
              <w:rPr>
                <w:rFonts w:eastAsiaTheme="minorHAnsi"/>
              </w:rPr>
              <w:t>Zgodnie z informacjami ze Zintegrowanego Systemu Rolniczej Informacji Rynkowej, w pierwszym tygodniu stycznia 2024 roku średnie ceny zakupu zbóż spadły w ciągu roku w przypadku: żyta konsumpcyjnego o 43,9%, pszenicy konsumpcyjnej o 36,3%, kukurydzy paszowej o 39,4%, natomiast ceny zakupu nasion rzepaku o 30%, bydła rzeźnego w ubojniach ogółem o 10,5%, a tuczników o 6,1%.</w:t>
            </w:r>
          </w:p>
          <w:p w14:paraId="1F29DEA5" w14:textId="0A0B708C" w:rsidR="0038031D" w:rsidRPr="00E0193B" w:rsidRDefault="00D94758" w:rsidP="001F0DFD">
            <w:pPr>
              <w:autoSpaceDE w:val="0"/>
              <w:autoSpaceDN w:val="0"/>
              <w:adjustRightInd w:val="0"/>
              <w:spacing w:after="0" w:line="240" w:lineRule="auto"/>
              <w:jc w:val="left"/>
            </w:pPr>
            <w:r w:rsidRPr="00E0193B">
              <w:t>W związku z nowymi wyzwaniami stojącymi przez europejskim i polskim rolnictwem, w tym wynikającymi z Europejskiego Zielonego Ładu i Planu Strategicznego WPR</w:t>
            </w:r>
            <w:r w:rsidR="0038031D" w:rsidRPr="00E0193B">
              <w:t xml:space="preserve"> </w:t>
            </w:r>
            <w:r w:rsidR="0038031D" w:rsidRPr="00E0193B">
              <w:rPr>
                <w:rFonts w:eastAsiaTheme="minorHAnsi"/>
              </w:rPr>
              <w:t>oraz spadkiem cen produktów</w:t>
            </w:r>
            <w:r w:rsidR="001F0DFD" w:rsidRPr="00E0193B">
              <w:rPr>
                <w:rFonts w:eastAsiaTheme="minorHAnsi"/>
              </w:rPr>
              <w:t xml:space="preserve"> </w:t>
            </w:r>
            <w:r w:rsidR="0038031D" w:rsidRPr="00E0193B">
              <w:rPr>
                <w:rFonts w:eastAsiaTheme="minorHAnsi"/>
              </w:rPr>
              <w:t>rolnych w stosunku do początku stycznia 2023 roku</w:t>
            </w:r>
            <w:r w:rsidRPr="00E0193B">
              <w:t xml:space="preserve">, konieczne jest </w:t>
            </w:r>
            <w:r w:rsidR="0038031D" w:rsidRPr="00E0193B">
              <w:t xml:space="preserve">upowszechnianie </w:t>
            </w:r>
            <w:r w:rsidRPr="00E0193B">
              <w:t xml:space="preserve">w gospodarstwach nowoczesnych rozwiązań, które docelowo pozwolą m.in. na zmniejszenie kosztów produkcji przy jednoczesnym zapewnieniu optymalnego poziomu ochrony środowiska naturalnego. </w:t>
            </w:r>
          </w:p>
          <w:p w14:paraId="51D1D98B" w14:textId="47A485D0" w:rsidR="00D94758" w:rsidRPr="00E0193B" w:rsidRDefault="00D94758" w:rsidP="0027600D">
            <w:pPr>
              <w:autoSpaceDE w:val="0"/>
              <w:autoSpaceDN w:val="0"/>
              <w:adjustRightInd w:val="0"/>
              <w:spacing w:after="0" w:line="240" w:lineRule="auto"/>
              <w:jc w:val="left"/>
            </w:pPr>
            <w:r w:rsidRPr="00E0193B">
              <w:t>Drugim aspektem jest stale postępujący rozwój nowoczesnych technologii, w tym wzrost znaczenia rolnictwa precyzyjnego, wykorzystującego autonomiczne maszyny i urządzenia oraz zaawansowane systemy informatyczne wspomagające procesy zarządzania gospodarstwem i podejmowania decyzji.</w:t>
            </w:r>
            <w:r w:rsidR="0038031D" w:rsidRPr="00E0193B">
              <w:t xml:space="preserve"> </w:t>
            </w:r>
            <w:r w:rsidR="0038031D" w:rsidRPr="00E0193B">
              <w:rPr>
                <w:rFonts w:eastAsiaTheme="minorHAnsi"/>
              </w:rPr>
              <w:t>Liczba wniosków</w:t>
            </w:r>
            <w:r w:rsidR="004A349F" w:rsidRPr="00E0193B">
              <w:rPr>
                <w:rFonts w:eastAsiaTheme="minorHAnsi"/>
              </w:rPr>
              <w:t xml:space="preserve"> </w:t>
            </w:r>
            <w:r w:rsidR="0038031D" w:rsidRPr="00E0193B">
              <w:rPr>
                <w:rFonts w:eastAsiaTheme="minorHAnsi"/>
              </w:rPr>
              <w:t>złożonych w ramach naboru na wsparcie inwestycji w zakresie</w:t>
            </w:r>
            <w:r w:rsidR="004A349F" w:rsidRPr="00E0193B">
              <w:rPr>
                <w:rFonts w:eastAsiaTheme="minorHAnsi"/>
              </w:rPr>
              <w:t xml:space="preserve"> </w:t>
            </w:r>
            <w:r w:rsidR="0038031D" w:rsidRPr="00E0193B">
              <w:rPr>
                <w:rFonts w:eastAsiaTheme="minorHAnsi"/>
              </w:rPr>
              <w:t>rolnictwa 4.0 przeprowadzonego w listopadzie 2023 r. (ponad 10 tys.)</w:t>
            </w:r>
            <w:r w:rsidR="004A349F" w:rsidRPr="00E0193B">
              <w:rPr>
                <w:rFonts w:eastAsiaTheme="minorHAnsi"/>
              </w:rPr>
              <w:t xml:space="preserve"> </w:t>
            </w:r>
            <w:r w:rsidR="0038031D" w:rsidRPr="00E0193B">
              <w:rPr>
                <w:rFonts w:eastAsiaTheme="minorHAnsi"/>
              </w:rPr>
              <w:t>świadczy o dużym zainteresowaniu rolników wykorzystaniem</w:t>
            </w:r>
            <w:r w:rsidR="004A349F" w:rsidRPr="00E0193B">
              <w:rPr>
                <w:rFonts w:eastAsiaTheme="minorHAnsi"/>
              </w:rPr>
              <w:t xml:space="preserve"> </w:t>
            </w:r>
            <w:r w:rsidR="0038031D" w:rsidRPr="00E0193B">
              <w:rPr>
                <w:rFonts w:eastAsiaTheme="minorHAnsi"/>
              </w:rPr>
              <w:t>nowoczesnych rozwiązań. Wynika z tego potrzeba zapewnienia</w:t>
            </w:r>
            <w:r w:rsidR="004A349F" w:rsidRPr="00E0193B">
              <w:rPr>
                <w:rFonts w:eastAsiaTheme="minorHAnsi"/>
              </w:rPr>
              <w:t xml:space="preserve"> </w:t>
            </w:r>
            <w:r w:rsidR="0038031D" w:rsidRPr="00E0193B">
              <w:rPr>
                <w:rFonts w:eastAsiaTheme="minorHAnsi"/>
              </w:rPr>
              <w:t>odpowiedniej edukacji i doradztwa w celu przygotowania rolników do</w:t>
            </w:r>
            <w:r w:rsidR="004A349F" w:rsidRPr="00E0193B">
              <w:rPr>
                <w:rFonts w:eastAsiaTheme="minorHAnsi"/>
              </w:rPr>
              <w:t xml:space="preserve"> </w:t>
            </w:r>
            <w:r w:rsidR="0038031D" w:rsidRPr="00E0193B">
              <w:rPr>
                <w:rFonts w:eastAsiaTheme="minorHAnsi"/>
              </w:rPr>
              <w:t>efektywnego stosowania innowacyjnych rozwiązań.</w:t>
            </w:r>
          </w:p>
          <w:bookmarkEnd w:id="30"/>
          <w:p w14:paraId="7A937AB7" w14:textId="77777777" w:rsidR="00D94758" w:rsidRPr="00E0193B" w:rsidRDefault="00D94758" w:rsidP="00D94758">
            <w:pPr>
              <w:widowControl w:val="0"/>
              <w:spacing w:after="100" w:line="240" w:lineRule="auto"/>
              <w:jc w:val="left"/>
            </w:pPr>
            <w:r w:rsidRPr="00E0193B">
              <w:t>W celu prowadzenia działań edukacyjnych w powyższym zakresie, niezbędne jest unowocześnienie bazy dydaktyczno-demonstracyjnej jednostek doradztwa rolniczego i szkół rolniczych.</w:t>
            </w:r>
          </w:p>
          <w:p w14:paraId="4646D4D5" w14:textId="22BCE353" w:rsidR="00D94758" w:rsidRPr="00E0193B" w:rsidRDefault="00D94758" w:rsidP="001F0DFD">
            <w:pPr>
              <w:widowControl w:val="0"/>
              <w:spacing w:after="0" w:line="240" w:lineRule="auto"/>
              <w:jc w:val="left"/>
            </w:pPr>
            <w:r w:rsidRPr="00E0193B">
              <w:t>Jednostki doradztwa rolniczego są państwowymi jednostkami organizacyjnymi posiadającymi osobowość prawną, których główne zadania ustawowe to prowadzenie doradztwa rolniczego oraz podnoszenie poziomu kwalifikacji zawodowych rolników i innych mieszkańców obszarów wiejskich. Jednostki te wspierają postęp w rolnictwie, dostarczając rolnikom i mieszkańcom obszarów wiejskich niezbędnej wiedzy i umiejętności w zakresie rolnictwa i jego otoczenia. Aby zapewnić rolnikom możliwość praktycznego zapoznania się z nowoczesnymi i innowacyjnymi rozwiązaniami</w:t>
            </w:r>
            <w:r w:rsidR="001F0DFD" w:rsidRPr="00E0193B">
              <w:t xml:space="preserve"> </w:t>
            </w:r>
            <w:r w:rsidRPr="00E0193B">
              <w:t>w produkcji rolnej, niezbędna jest odpowiednia baza dydaktyczna do</w:t>
            </w:r>
            <w:r w:rsidR="001F0DFD" w:rsidRPr="00E0193B">
              <w:t xml:space="preserve"> </w:t>
            </w:r>
            <w:r w:rsidRPr="00E0193B">
              <w:t>prowadzenia praktycznych szkoleń, demonstracji, pokazów, a tym samym - promocji wdrażania innowacyjnych rozwiązań w gospodarstwach rolnych.</w:t>
            </w:r>
          </w:p>
          <w:p w14:paraId="45B0BB3F" w14:textId="77777777" w:rsidR="00D94758" w:rsidRPr="00E0193B" w:rsidRDefault="00D94758" w:rsidP="00D94758">
            <w:pPr>
              <w:spacing w:after="120" w:line="240" w:lineRule="auto"/>
              <w:jc w:val="left"/>
              <w:rPr>
                <w:rFonts w:eastAsia="Calibri"/>
              </w:rPr>
            </w:pPr>
            <w:r w:rsidRPr="00E0193B">
              <w:rPr>
                <w:rFonts w:eastAsia="Calibri"/>
              </w:rPr>
              <w:t>Szkoły rolnicze są instytucjami publicznymi działającymi w obszarze oświaty i wychowania, których działalnością statutową jest edukacja, wychowanie i opieka ale jednocześnie są placówkami posiadającymi i prowadzącymi gospodarstwa rolnicze. Zapewniają nowoczesne kształcenie wspierając postęp w rolnictwie, dostarczając uczniom niezbędnej wiedzy i umiejętności w zakresie rolnictwa i jego otoczenia. Przygotowują wykwalifikowaną kadrę, odznaczającą wysokim poziomem wiedzy merytorycznej i zawodowej do wejścia na lokalny rynek pracy, w tym do prowadzenia produkcji rolniczej we własnym gospodarstwie. Aby spełnić swoją rolę i tym samym zapewnić uczniom możliwość praktycznego zapoznania się z nowoczesnymi i innowacyjnymi rozwiązaniami w produkcji rolnej, niezbędna jest odpowiednia baza dydaktyczna do prowadzenia praktycznej nauki zawodu, gdzie uczeń zdobędzie wiedzę, umiejętności i praktykę poprzez obserwację, naukę a przede wszystkim doświadczenie i działanie.</w:t>
            </w:r>
          </w:p>
          <w:p w14:paraId="38BF5D74" w14:textId="048997BC" w:rsidR="00002DBD" w:rsidRPr="00E0193B" w:rsidRDefault="00002DBD" w:rsidP="00002DBD">
            <w:pPr>
              <w:autoSpaceDE w:val="0"/>
              <w:autoSpaceDN w:val="0"/>
              <w:adjustRightInd w:val="0"/>
              <w:spacing w:after="0" w:line="240" w:lineRule="auto"/>
              <w:jc w:val="left"/>
              <w:rPr>
                <w:rFonts w:eastAsiaTheme="minorHAnsi"/>
              </w:rPr>
            </w:pPr>
            <w:r w:rsidRPr="00E0193B">
              <w:rPr>
                <w:rFonts w:eastAsiaTheme="minorHAnsi"/>
              </w:rPr>
              <w:t>W okresie między pierwszą a drugą rewizją KPO ponownie poddano analizie kwestię postępu w zakresie wykorzystania rozwiązań cyfrowych, w którym pominięto istotne ogniwo jakim są młodzi ludzie kształcący się w zawodach związanych z szeroko pojętym rolnictwem.</w:t>
            </w:r>
          </w:p>
          <w:p w14:paraId="0C113B16" w14:textId="30E8E8AE" w:rsidR="00002DBD" w:rsidRPr="00E0193B" w:rsidRDefault="00002DBD" w:rsidP="00002DBD">
            <w:pPr>
              <w:autoSpaceDE w:val="0"/>
              <w:autoSpaceDN w:val="0"/>
              <w:adjustRightInd w:val="0"/>
              <w:spacing w:after="0" w:line="240" w:lineRule="auto"/>
              <w:jc w:val="left"/>
              <w:rPr>
                <w:rFonts w:eastAsiaTheme="minorHAnsi"/>
              </w:rPr>
            </w:pPr>
            <w:r w:rsidRPr="00E0193B">
              <w:rPr>
                <w:rFonts w:eastAsiaTheme="minorHAnsi"/>
              </w:rPr>
              <w:t>Aby w pełni sprostać wyzwaniom stojącym przed europejskim i polskim rolnictwem przy jednoczesnym wykorzystaniu potencjału młodego pokolenia przyszłych rolników, uzasadnionym jest uznanie w gronie beneficjentów szkoły rolnicze.</w:t>
            </w:r>
          </w:p>
          <w:p w14:paraId="265FCC5E" w14:textId="6EB7F52B" w:rsidR="00002DBD" w:rsidRPr="00E0193B" w:rsidRDefault="00002DBD" w:rsidP="00E502F6">
            <w:pPr>
              <w:autoSpaceDE w:val="0"/>
              <w:autoSpaceDN w:val="0"/>
              <w:adjustRightInd w:val="0"/>
              <w:spacing w:after="0" w:line="240" w:lineRule="auto"/>
              <w:jc w:val="left"/>
              <w:rPr>
                <w:rFonts w:eastAsia="Calibri"/>
              </w:rPr>
            </w:pPr>
            <w:r w:rsidRPr="00E0193B">
              <w:rPr>
                <w:rFonts w:eastAsiaTheme="minorHAnsi"/>
              </w:rPr>
              <w:t>Ważnym aspektem dotyczącym Rolnictwa 4.0 jest wyposażenie absolwentów szkól rolniczych w wiedzę i doświadczenie umożliwiające w przyszłości efektywne i trafne zarządzanie gospodarstwami. Cyfrowe mechanizmy dostarczają wielu istotnych informacji co znacząco ułatwia i przyspiesza proces precyzyjnego zarządzania. Reasumując niezbędnym jest uzupełnienie bazy dydaktycznej o wyspecjalizowany sprzęt oraz precyzyjne instrumenty pomiarowe w zakresie uprawy i prowadzenia wzorcowego szkolnego gospodarstwa rolnego.</w:t>
            </w:r>
          </w:p>
        </w:tc>
      </w:tr>
      <w:tr w:rsidR="00D94758" w:rsidRPr="00E0193B" w14:paraId="68556010" w14:textId="77777777" w:rsidTr="00E70A4A">
        <w:tc>
          <w:tcPr>
            <w:tcW w:w="1061" w:type="pct"/>
          </w:tcPr>
          <w:p w14:paraId="7EED413F" w14:textId="77777777" w:rsidR="00D94758" w:rsidRPr="00E0193B" w:rsidRDefault="00D94758" w:rsidP="00D94758">
            <w:pPr>
              <w:spacing w:after="120" w:line="240" w:lineRule="auto"/>
              <w:jc w:val="left"/>
              <w:rPr>
                <w:rFonts w:eastAsia="Calibri"/>
              </w:rPr>
            </w:pPr>
            <w:r w:rsidRPr="00E0193B">
              <w:rPr>
                <w:rFonts w:eastAsia="Calibri"/>
              </w:rPr>
              <w:lastRenderedPageBreak/>
              <w:t>Szacowany koszt</w:t>
            </w:r>
          </w:p>
        </w:tc>
        <w:tc>
          <w:tcPr>
            <w:tcW w:w="3939" w:type="pct"/>
            <w:gridSpan w:val="2"/>
          </w:tcPr>
          <w:p w14:paraId="6EED1235" w14:textId="77777777" w:rsidR="00D94758" w:rsidRPr="00E0193B" w:rsidRDefault="00D94758" w:rsidP="00D94758">
            <w:pPr>
              <w:spacing w:after="120" w:line="240" w:lineRule="auto"/>
              <w:jc w:val="left"/>
              <w:rPr>
                <w:rFonts w:eastAsia="Calibri"/>
              </w:rPr>
            </w:pPr>
            <w:r w:rsidRPr="00E0193B">
              <w:rPr>
                <w:rFonts w:eastAsia="Calibri"/>
              </w:rPr>
              <w:t xml:space="preserve">Zwiększenie budżetu inwestycji A1.4.1 </w:t>
            </w:r>
            <w:r w:rsidRPr="00E0193B">
              <w:rPr>
                <w:rFonts w:eastAsia="Calibri"/>
                <w:i/>
              </w:rPr>
              <w:t>Inwestycje na rzecz dywersyfikacji i skracania łańcucha dostaw produktów rolnych i spożywczych oraz budowy odporności podmiotów uczestniczących w łańcuchu</w:t>
            </w:r>
            <w:r w:rsidRPr="00E0193B">
              <w:rPr>
                <w:rFonts w:eastAsia="Calibri"/>
              </w:rPr>
              <w:t xml:space="preserve"> o 600 000 000,00 EUR. Kwota ta obejmuje:</w:t>
            </w:r>
          </w:p>
          <w:p w14:paraId="17E07311" w14:textId="77777777" w:rsidR="00D94758" w:rsidRPr="00E0193B" w:rsidRDefault="00D94758" w:rsidP="00A1213F">
            <w:pPr>
              <w:numPr>
                <w:ilvl w:val="0"/>
                <w:numId w:val="11"/>
              </w:numPr>
              <w:spacing w:after="120" w:line="240" w:lineRule="auto"/>
              <w:contextualSpacing/>
              <w:jc w:val="left"/>
            </w:pPr>
            <w:r w:rsidRPr="00E0193B">
              <w:t>Zwiększenie subbudżetu A1.4.1.1 do wartości 1 705 674 444,29  EUR (wzrost o 434 112 121,00 EUR)</w:t>
            </w:r>
          </w:p>
          <w:p w14:paraId="13A9942B" w14:textId="77777777" w:rsidR="0028335E" w:rsidRPr="00E0193B" w:rsidRDefault="00D94758" w:rsidP="00A1213F">
            <w:pPr>
              <w:numPr>
                <w:ilvl w:val="0"/>
                <w:numId w:val="11"/>
              </w:numPr>
              <w:spacing w:after="120" w:line="240" w:lineRule="auto"/>
              <w:contextualSpacing/>
              <w:jc w:val="left"/>
            </w:pPr>
            <w:r w:rsidRPr="00E0193B">
              <w:t>Zwiększenie subbudżetu A1.4.1.2 rolnictwo 4.0 do wartości 253 167 879,00 EUR (wzrost o 143 387 879,00 EUR)</w:t>
            </w:r>
          </w:p>
          <w:p w14:paraId="76BA68DA" w14:textId="7FBD13B2" w:rsidR="00D94758" w:rsidRPr="00E0193B" w:rsidRDefault="00D94758" w:rsidP="00A1213F">
            <w:pPr>
              <w:numPr>
                <w:ilvl w:val="0"/>
                <w:numId w:val="11"/>
              </w:numPr>
              <w:spacing w:after="120" w:line="240" w:lineRule="auto"/>
              <w:contextualSpacing/>
              <w:jc w:val="left"/>
            </w:pPr>
            <w:r w:rsidRPr="00E0193B">
              <w:t xml:space="preserve">Dodanie nowego subbudżetu dla nowej subinwestycji A1.4.1.3 </w:t>
            </w:r>
            <w:r w:rsidRPr="00E0193B">
              <w:rPr>
                <w:i/>
              </w:rPr>
              <w:t>Unowocześnienie bazy dydaktycznej i demonstracyjnej na potrzeby edukacji w zakresie rolnictwa 4.0</w:t>
            </w:r>
            <w:r w:rsidRPr="00E0193B">
              <w:t xml:space="preserve"> o wartości 22,5 mln EUR </w:t>
            </w:r>
          </w:p>
        </w:tc>
      </w:tr>
      <w:tr w:rsidR="00D94758" w:rsidRPr="00E0193B" w14:paraId="1A1C1BF2" w14:textId="77777777" w:rsidTr="00E70A4A">
        <w:tc>
          <w:tcPr>
            <w:tcW w:w="1061" w:type="pct"/>
          </w:tcPr>
          <w:p w14:paraId="2E53432B" w14:textId="77777777" w:rsidR="00D94758" w:rsidRPr="00E0193B" w:rsidRDefault="00D94758" w:rsidP="00D94758">
            <w:pPr>
              <w:spacing w:after="120" w:line="240" w:lineRule="auto"/>
              <w:jc w:val="left"/>
              <w:rPr>
                <w:rFonts w:eastAsia="Calibri"/>
              </w:rPr>
            </w:pPr>
            <w:r w:rsidRPr="00E0193B">
              <w:rPr>
                <w:rFonts w:eastAsia="Calibri"/>
              </w:rPr>
              <w:t xml:space="preserve">Cyfrowy i klimatyczny tagging </w:t>
            </w:r>
          </w:p>
        </w:tc>
        <w:tc>
          <w:tcPr>
            <w:tcW w:w="3939" w:type="pct"/>
            <w:gridSpan w:val="2"/>
          </w:tcPr>
          <w:p w14:paraId="4B449E0A" w14:textId="77777777" w:rsidR="00D94758" w:rsidRPr="00E0193B" w:rsidRDefault="00D94758" w:rsidP="00D94758">
            <w:pPr>
              <w:widowControl w:val="0"/>
              <w:spacing w:after="100" w:line="240" w:lineRule="auto"/>
              <w:jc w:val="left"/>
              <w:rPr>
                <w:color w:val="000000"/>
                <w:lang w:eastAsia="pl-PL" w:bidi="pl-PL"/>
              </w:rPr>
            </w:pPr>
            <w:r w:rsidRPr="00E0193B">
              <w:rPr>
                <w:color w:val="000000"/>
                <w:lang w:eastAsia="pl-PL" w:bidi="pl-PL"/>
              </w:rPr>
              <w:t>Zmiana ma pozytywny wpływ na tagging cyfrowy.</w:t>
            </w:r>
          </w:p>
          <w:p w14:paraId="226FC22C" w14:textId="77777777" w:rsidR="00D94758" w:rsidRPr="00E0193B" w:rsidRDefault="00D94758" w:rsidP="00D94758">
            <w:pPr>
              <w:widowControl w:val="0"/>
              <w:spacing w:after="100" w:line="240" w:lineRule="auto"/>
              <w:jc w:val="left"/>
            </w:pPr>
            <w:r w:rsidRPr="00E0193B">
              <w:t>Zwiększany jest budżet na subinwestycję A1.4.1.2, w ramach której wszystkie wspierane przedsięwzięcia związane będą z wprowadzeniem rozwiązań cyfrowych (wzrost o 143 387 879,00 EUR)</w:t>
            </w:r>
          </w:p>
          <w:p w14:paraId="3478D1F9" w14:textId="77777777" w:rsidR="00D94758" w:rsidRPr="00E0193B" w:rsidRDefault="00D94758" w:rsidP="00D94758">
            <w:pPr>
              <w:spacing w:after="120" w:line="240" w:lineRule="auto"/>
              <w:jc w:val="left"/>
              <w:rPr>
                <w:rFonts w:eastAsia="Calibri"/>
              </w:rPr>
            </w:pPr>
            <w:r w:rsidRPr="00E0193B">
              <w:rPr>
                <w:rFonts w:eastAsia="Calibri"/>
              </w:rPr>
              <w:t>Unowocześnienie bazy dydaktycznej i demonstracyjnej jednostek prowadzących działania edukacyjne dla rolników i mieszkańców obszarów wiejskich będzie miało pozytywny wpływ na realizację celów klimatycznych.</w:t>
            </w:r>
          </w:p>
        </w:tc>
      </w:tr>
      <w:tr w:rsidR="00D94758" w:rsidRPr="00E0193B" w14:paraId="5B0C7CA8" w14:textId="77777777" w:rsidTr="00E70A4A">
        <w:tc>
          <w:tcPr>
            <w:tcW w:w="1061" w:type="pct"/>
            <w:tcBorders>
              <w:bottom w:val="single" w:sz="4" w:space="0" w:color="auto"/>
            </w:tcBorders>
          </w:tcPr>
          <w:p w14:paraId="4368C843" w14:textId="77777777" w:rsidR="00D94758" w:rsidRPr="00E0193B" w:rsidRDefault="00D94758" w:rsidP="00D94758">
            <w:pPr>
              <w:spacing w:after="120" w:line="240" w:lineRule="auto"/>
              <w:jc w:val="left"/>
              <w:rPr>
                <w:rFonts w:eastAsia="Calibri"/>
              </w:rPr>
            </w:pPr>
            <w:r w:rsidRPr="00E0193B">
              <w:rPr>
                <w:rFonts w:eastAsia="Calibri"/>
              </w:rPr>
              <w:t xml:space="preserve">Zasada DNSH </w:t>
            </w:r>
          </w:p>
        </w:tc>
        <w:tc>
          <w:tcPr>
            <w:tcW w:w="3939" w:type="pct"/>
            <w:gridSpan w:val="2"/>
            <w:tcBorders>
              <w:bottom w:val="single" w:sz="4" w:space="0" w:color="auto"/>
            </w:tcBorders>
          </w:tcPr>
          <w:p w14:paraId="25D798C5" w14:textId="77777777" w:rsidR="00D94758" w:rsidRPr="00E0193B" w:rsidRDefault="00D94758" w:rsidP="00D94758">
            <w:pPr>
              <w:spacing w:after="120" w:line="240" w:lineRule="auto"/>
              <w:jc w:val="left"/>
              <w:rPr>
                <w:rFonts w:eastAsia="Calibri"/>
              </w:rPr>
            </w:pPr>
            <w:r w:rsidRPr="00E0193B">
              <w:rPr>
                <w:rFonts w:eastAsia="Calibri"/>
              </w:rPr>
              <w:t>Zmiana nie ma wpływu na DNSH</w:t>
            </w:r>
            <w:r w:rsidRPr="00E0193B" w:rsidDel="00372527">
              <w:rPr>
                <w:rFonts w:eastAsia="Calibri"/>
              </w:rPr>
              <w:t xml:space="preserve"> </w:t>
            </w:r>
          </w:p>
        </w:tc>
      </w:tr>
      <w:tr w:rsidR="00D94758" w:rsidRPr="00E0193B" w14:paraId="0501983F" w14:textId="77777777" w:rsidTr="00E70A4A">
        <w:tc>
          <w:tcPr>
            <w:tcW w:w="1061" w:type="pct"/>
            <w:tcBorders>
              <w:bottom w:val="single" w:sz="4" w:space="0" w:color="auto"/>
            </w:tcBorders>
          </w:tcPr>
          <w:p w14:paraId="091710A0" w14:textId="77777777" w:rsidR="00D94758" w:rsidRPr="00E0193B" w:rsidRDefault="00D94758" w:rsidP="00D94758">
            <w:pPr>
              <w:spacing w:after="120" w:line="240" w:lineRule="auto"/>
              <w:jc w:val="left"/>
              <w:rPr>
                <w:rFonts w:eastAsia="Calibri"/>
              </w:rPr>
            </w:pPr>
            <w:r w:rsidRPr="00E0193B">
              <w:rPr>
                <w:rFonts w:eastAsia="Calibri"/>
              </w:rPr>
              <w:t xml:space="preserve">Pomoc publiczna </w:t>
            </w:r>
          </w:p>
        </w:tc>
        <w:tc>
          <w:tcPr>
            <w:tcW w:w="3939" w:type="pct"/>
            <w:gridSpan w:val="2"/>
            <w:tcBorders>
              <w:bottom w:val="single" w:sz="4" w:space="0" w:color="auto"/>
            </w:tcBorders>
          </w:tcPr>
          <w:p w14:paraId="54E58A90" w14:textId="77777777" w:rsidR="00D94758" w:rsidRPr="00E0193B" w:rsidRDefault="00D94758" w:rsidP="00D94758">
            <w:pPr>
              <w:spacing w:after="120" w:line="240" w:lineRule="auto"/>
              <w:jc w:val="left"/>
              <w:rPr>
                <w:rFonts w:eastAsia="Calibri"/>
              </w:rPr>
            </w:pPr>
            <w:r w:rsidRPr="00E0193B">
              <w:rPr>
                <w:rFonts w:eastAsia="Calibri"/>
              </w:rPr>
              <w:t>Zmiana ma wpływ na pomoc publiczną. W przypadku podwyższenia kwoty zmodyfikowane programy pomocowe zostaną ponownie przekazane do KE.</w:t>
            </w:r>
          </w:p>
        </w:tc>
      </w:tr>
    </w:tbl>
    <w:p w14:paraId="293A6BE0" w14:textId="77777777" w:rsidR="00D94758" w:rsidRPr="00E0193B" w:rsidRDefault="00D94758" w:rsidP="00D94758">
      <w:pPr>
        <w:spacing w:after="120" w:line="240" w:lineRule="auto"/>
        <w:jc w:val="left"/>
        <w:rPr>
          <w:rFonts w:eastAsia="Calibri"/>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3"/>
        <w:gridCol w:w="3251"/>
        <w:gridCol w:w="3642"/>
      </w:tblGrid>
      <w:tr w:rsidR="00D94758" w:rsidRPr="00E0193B" w14:paraId="63D58B63" w14:textId="77777777" w:rsidTr="00FB7F70">
        <w:tc>
          <w:tcPr>
            <w:tcW w:w="1177" w:type="pct"/>
            <w:tcBorders>
              <w:top w:val="single" w:sz="4" w:space="0" w:color="auto"/>
              <w:left w:val="single" w:sz="4" w:space="0" w:color="auto"/>
              <w:bottom w:val="single" w:sz="4" w:space="0" w:color="auto"/>
              <w:right w:val="single" w:sz="4" w:space="0" w:color="auto"/>
            </w:tcBorders>
            <w:hideMark/>
          </w:tcPr>
          <w:p w14:paraId="414932B0" w14:textId="77777777" w:rsidR="00D94758" w:rsidRPr="00E0193B" w:rsidRDefault="00D94758" w:rsidP="00D94758">
            <w:pPr>
              <w:spacing w:after="120" w:line="240" w:lineRule="auto"/>
              <w:jc w:val="left"/>
              <w:rPr>
                <w:rFonts w:eastAsia="Calibri"/>
                <w:b/>
                <w:bCs/>
                <w:lang w:val="en-US"/>
              </w:rPr>
            </w:pPr>
            <w:r w:rsidRPr="00E0193B">
              <w:rPr>
                <w:rFonts w:eastAsia="Calibri"/>
                <w:b/>
                <w:bCs/>
                <w:lang w:val="en-US"/>
              </w:rPr>
              <w:t>Numer inwestycji</w:t>
            </w:r>
          </w:p>
        </w:tc>
        <w:tc>
          <w:tcPr>
            <w:tcW w:w="3823" w:type="pct"/>
            <w:gridSpan w:val="2"/>
            <w:tcBorders>
              <w:top w:val="single" w:sz="4" w:space="0" w:color="auto"/>
              <w:left w:val="single" w:sz="4" w:space="0" w:color="auto"/>
              <w:bottom w:val="single" w:sz="4" w:space="0" w:color="auto"/>
              <w:right w:val="single" w:sz="4" w:space="0" w:color="auto"/>
            </w:tcBorders>
            <w:hideMark/>
          </w:tcPr>
          <w:p w14:paraId="302A5A43" w14:textId="77777777" w:rsidR="00D94758" w:rsidRPr="00E0193B" w:rsidRDefault="00D94758" w:rsidP="00D94758">
            <w:pPr>
              <w:spacing w:after="120" w:line="256" w:lineRule="auto"/>
              <w:ind w:left="34"/>
              <w:contextualSpacing/>
              <w:rPr>
                <w:b/>
                <w:bCs/>
              </w:rPr>
            </w:pPr>
            <w:r w:rsidRPr="00E0193B">
              <w:rPr>
                <w:b/>
                <w:bCs/>
              </w:rPr>
              <w:t>A2.4.1.</w:t>
            </w:r>
          </w:p>
        </w:tc>
      </w:tr>
      <w:tr w:rsidR="00D94758" w:rsidRPr="00E0193B" w14:paraId="3BA9FD4D" w14:textId="77777777" w:rsidTr="00FB7F70">
        <w:tc>
          <w:tcPr>
            <w:tcW w:w="1177" w:type="pct"/>
            <w:tcBorders>
              <w:top w:val="single" w:sz="4" w:space="0" w:color="auto"/>
              <w:left w:val="single" w:sz="4" w:space="0" w:color="auto"/>
              <w:bottom w:val="single" w:sz="4" w:space="0" w:color="auto"/>
              <w:right w:val="single" w:sz="4" w:space="0" w:color="auto"/>
            </w:tcBorders>
            <w:hideMark/>
          </w:tcPr>
          <w:p w14:paraId="12514702" w14:textId="77777777" w:rsidR="00D94758" w:rsidRPr="00E0193B" w:rsidRDefault="00D94758" w:rsidP="00D94758">
            <w:pPr>
              <w:spacing w:after="120" w:line="256" w:lineRule="auto"/>
              <w:contextualSpacing/>
              <w:rPr>
                <w:b/>
                <w:bCs/>
              </w:rPr>
            </w:pPr>
            <w:r w:rsidRPr="00E0193B">
              <w:rPr>
                <w:b/>
                <w:bCs/>
              </w:rPr>
              <w:t xml:space="preserve">Nazwa inwestycji </w:t>
            </w:r>
          </w:p>
        </w:tc>
        <w:tc>
          <w:tcPr>
            <w:tcW w:w="3823" w:type="pct"/>
            <w:gridSpan w:val="2"/>
            <w:tcBorders>
              <w:top w:val="single" w:sz="4" w:space="0" w:color="auto"/>
              <w:left w:val="single" w:sz="4" w:space="0" w:color="auto"/>
              <w:bottom w:val="single" w:sz="4" w:space="0" w:color="auto"/>
              <w:right w:val="single" w:sz="4" w:space="0" w:color="auto"/>
            </w:tcBorders>
            <w:hideMark/>
          </w:tcPr>
          <w:p w14:paraId="531DDCBC" w14:textId="77777777" w:rsidR="00D94758" w:rsidRPr="00E0193B" w:rsidRDefault="00D94758" w:rsidP="00D94758">
            <w:pPr>
              <w:spacing w:after="120" w:line="256" w:lineRule="auto"/>
              <w:contextualSpacing/>
              <w:rPr>
                <w:b/>
                <w:bCs/>
              </w:rPr>
            </w:pPr>
            <w:r w:rsidRPr="00E0193B">
              <w:rPr>
                <w:b/>
                <w:bCs/>
              </w:rPr>
              <w:t>Inwestycje w rozbudowę potencjału badawczego</w:t>
            </w:r>
          </w:p>
        </w:tc>
      </w:tr>
      <w:tr w:rsidR="00D94758" w:rsidRPr="00E0193B" w14:paraId="67EDFC7E" w14:textId="77777777" w:rsidTr="00FB7F70">
        <w:tc>
          <w:tcPr>
            <w:tcW w:w="1177" w:type="pct"/>
            <w:tcBorders>
              <w:top w:val="single" w:sz="4" w:space="0" w:color="auto"/>
              <w:left w:val="single" w:sz="4" w:space="0" w:color="auto"/>
              <w:bottom w:val="single" w:sz="4" w:space="0" w:color="auto"/>
              <w:right w:val="single" w:sz="4" w:space="0" w:color="auto"/>
            </w:tcBorders>
            <w:hideMark/>
          </w:tcPr>
          <w:p w14:paraId="0367471F" w14:textId="77777777" w:rsidR="00D94758" w:rsidRPr="00E0193B" w:rsidRDefault="00D94758" w:rsidP="00D94758">
            <w:pPr>
              <w:spacing w:after="120" w:line="256" w:lineRule="auto"/>
              <w:ind w:left="67"/>
              <w:contextualSpacing/>
            </w:pPr>
            <w:r w:rsidRPr="00E0193B">
              <w:t>Rodzaj wprowadzonej zmiany w odniesieniu do CID</w:t>
            </w:r>
          </w:p>
        </w:tc>
        <w:tc>
          <w:tcPr>
            <w:tcW w:w="3823" w:type="pct"/>
            <w:gridSpan w:val="2"/>
            <w:tcBorders>
              <w:top w:val="single" w:sz="4" w:space="0" w:color="auto"/>
              <w:left w:val="single" w:sz="4" w:space="0" w:color="auto"/>
              <w:bottom w:val="single" w:sz="4" w:space="0" w:color="auto"/>
              <w:right w:val="single" w:sz="4" w:space="0" w:color="auto"/>
            </w:tcBorders>
            <w:hideMark/>
          </w:tcPr>
          <w:p w14:paraId="2C202311" w14:textId="77777777" w:rsidR="00D94758" w:rsidRPr="00E0193B" w:rsidRDefault="00D94758" w:rsidP="00D94758">
            <w:pPr>
              <w:spacing w:after="120" w:line="256" w:lineRule="auto"/>
              <w:contextualSpacing/>
            </w:pPr>
            <w:r w:rsidRPr="00E0193B">
              <w:t>Modyfikacja opisu i przesunięcie terminu realizacji wskaźnika A40G</w:t>
            </w:r>
          </w:p>
        </w:tc>
      </w:tr>
      <w:tr w:rsidR="00E71AA6" w:rsidRPr="00E0193B" w14:paraId="676AF4AD" w14:textId="77777777" w:rsidTr="00FB7F70">
        <w:tc>
          <w:tcPr>
            <w:tcW w:w="1177" w:type="pct"/>
            <w:tcBorders>
              <w:top w:val="single" w:sz="4" w:space="0" w:color="auto"/>
              <w:left w:val="single" w:sz="4" w:space="0" w:color="auto"/>
              <w:bottom w:val="single" w:sz="4" w:space="0" w:color="auto"/>
              <w:right w:val="single" w:sz="4" w:space="0" w:color="auto"/>
            </w:tcBorders>
            <w:shd w:val="clear" w:color="auto" w:fill="FFFFFF"/>
            <w:hideMark/>
          </w:tcPr>
          <w:p w14:paraId="2FFC6C41" w14:textId="77777777" w:rsidR="00D94758" w:rsidRPr="00E0193B" w:rsidRDefault="00D94758" w:rsidP="00D94758">
            <w:pPr>
              <w:spacing w:after="120" w:line="256" w:lineRule="auto"/>
              <w:ind w:left="67"/>
              <w:contextualSpacing/>
            </w:pPr>
            <w:r w:rsidRPr="00E0193B">
              <w:t>Podstawa prawna zmiany</w:t>
            </w:r>
          </w:p>
        </w:tc>
        <w:tc>
          <w:tcPr>
            <w:tcW w:w="3823"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01D1C479" w14:textId="77777777" w:rsidR="00D94758" w:rsidRPr="00E0193B" w:rsidRDefault="00D94758" w:rsidP="00D94758">
            <w:pPr>
              <w:spacing w:after="120" w:line="240" w:lineRule="auto"/>
              <w:jc w:val="left"/>
              <w:rPr>
                <w:rFonts w:eastAsia="Calibri"/>
              </w:rPr>
            </w:pPr>
            <w:r w:rsidRPr="00E0193B">
              <w:rPr>
                <w:rFonts w:eastAsia="Calibri"/>
              </w:rPr>
              <w:t xml:space="preserve">Artykuł 21 rozporządzenia RRF – zmiana wynikająca z obiektywnych okoliczności </w:t>
            </w:r>
          </w:p>
        </w:tc>
      </w:tr>
      <w:tr w:rsidR="00D94758" w:rsidRPr="00E0193B" w14:paraId="7F4A9EB0" w14:textId="77777777" w:rsidTr="00FB7F70">
        <w:tc>
          <w:tcPr>
            <w:tcW w:w="1177" w:type="pct"/>
            <w:tcBorders>
              <w:top w:val="single" w:sz="4" w:space="0" w:color="auto"/>
              <w:left w:val="single" w:sz="4" w:space="0" w:color="auto"/>
              <w:bottom w:val="single" w:sz="4" w:space="0" w:color="auto"/>
              <w:right w:val="single" w:sz="4" w:space="0" w:color="auto"/>
            </w:tcBorders>
            <w:shd w:val="clear" w:color="auto" w:fill="D9D9D9"/>
            <w:hideMark/>
          </w:tcPr>
          <w:p w14:paraId="0D397CD3" w14:textId="77777777" w:rsidR="00D94758" w:rsidRPr="00E0193B" w:rsidRDefault="00D94758" w:rsidP="00D94758">
            <w:pPr>
              <w:spacing w:after="120" w:line="240" w:lineRule="auto"/>
              <w:jc w:val="left"/>
              <w:rPr>
                <w:rFonts w:eastAsia="Calibri"/>
                <w:highlight w:val="lightGray"/>
                <w:lang w:val="en-US"/>
              </w:rPr>
            </w:pPr>
            <w:r w:rsidRPr="00E0193B">
              <w:rPr>
                <w:rFonts w:eastAsia="Calibri"/>
                <w:highlight w:val="lightGray"/>
                <w:lang w:val="en-US"/>
              </w:rPr>
              <w:t>Modyfikowany element</w:t>
            </w:r>
          </w:p>
        </w:tc>
        <w:tc>
          <w:tcPr>
            <w:tcW w:w="1803" w:type="pct"/>
            <w:tcBorders>
              <w:top w:val="single" w:sz="4" w:space="0" w:color="auto"/>
              <w:left w:val="single" w:sz="4" w:space="0" w:color="auto"/>
              <w:bottom w:val="single" w:sz="4" w:space="0" w:color="auto"/>
              <w:right w:val="single" w:sz="4" w:space="0" w:color="auto"/>
            </w:tcBorders>
            <w:shd w:val="clear" w:color="auto" w:fill="D9D9D9"/>
            <w:hideMark/>
          </w:tcPr>
          <w:p w14:paraId="71766B50" w14:textId="77777777" w:rsidR="00D94758" w:rsidRPr="00E0193B" w:rsidRDefault="00D94758" w:rsidP="00D94758">
            <w:pPr>
              <w:spacing w:after="120" w:line="240" w:lineRule="auto"/>
              <w:jc w:val="center"/>
              <w:rPr>
                <w:rFonts w:eastAsia="Calibri"/>
                <w:highlight w:val="lightGray"/>
                <w:lang w:val="en-US"/>
              </w:rPr>
            </w:pPr>
            <w:r w:rsidRPr="00E0193B">
              <w:rPr>
                <w:rFonts w:eastAsia="Calibri"/>
                <w:highlight w:val="lightGray"/>
                <w:lang w:val="en-US"/>
              </w:rPr>
              <w:t>Wersja aktualna</w:t>
            </w:r>
          </w:p>
        </w:tc>
        <w:tc>
          <w:tcPr>
            <w:tcW w:w="2020" w:type="pct"/>
            <w:tcBorders>
              <w:top w:val="single" w:sz="4" w:space="0" w:color="auto"/>
              <w:left w:val="single" w:sz="4" w:space="0" w:color="auto"/>
              <w:bottom w:val="single" w:sz="4" w:space="0" w:color="auto"/>
              <w:right w:val="single" w:sz="4" w:space="0" w:color="auto"/>
            </w:tcBorders>
            <w:shd w:val="clear" w:color="auto" w:fill="D9D9D9"/>
            <w:hideMark/>
          </w:tcPr>
          <w:p w14:paraId="66FFD2E6" w14:textId="77777777" w:rsidR="00D94758" w:rsidRPr="00E0193B" w:rsidRDefault="00D94758" w:rsidP="00D94758">
            <w:pPr>
              <w:spacing w:after="120" w:line="240" w:lineRule="auto"/>
              <w:jc w:val="center"/>
              <w:rPr>
                <w:rFonts w:eastAsia="Calibri"/>
                <w:highlight w:val="lightGray"/>
                <w:lang w:val="en-US"/>
              </w:rPr>
            </w:pPr>
            <w:r w:rsidRPr="00E0193B">
              <w:rPr>
                <w:rFonts w:eastAsia="Calibri"/>
                <w:highlight w:val="lightGray"/>
                <w:lang w:val="en-US"/>
              </w:rPr>
              <w:t>Wersja zmieniona</w:t>
            </w:r>
          </w:p>
        </w:tc>
      </w:tr>
      <w:tr w:rsidR="00D94758" w:rsidRPr="00E0193B" w14:paraId="69F38D5D" w14:textId="77777777" w:rsidTr="00FB7F70">
        <w:tc>
          <w:tcPr>
            <w:tcW w:w="1177" w:type="pct"/>
            <w:tcBorders>
              <w:top w:val="single" w:sz="4" w:space="0" w:color="auto"/>
              <w:left w:val="single" w:sz="4" w:space="0" w:color="auto"/>
              <w:bottom w:val="single" w:sz="4" w:space="0" w:color="auto"/>
              <w:right w:val="single" w:sz="4" w:space="0" w:color="auto"/>
            </w:tcBorders>
            <w:hideMark/>
          </w:tcPr>
          <w:p w14:paraId="6CB6BDAC" w14:textId="77777777" w:rsidR="00D94758" w:rsidRPr="00E0193B" w:rsidRDefault="00D94758" w:rsidP="00D94758">
            <w:pPr>
              <w:spacing w:after="120" w:line="240" w:lineRule="auto"/>
              <w:jc w:val="left"/>
              <w:rPr>
                <w:rFonts w:eastAsia="Calibri"/>
              </w:rPr>
            </w:pPr>
            <w:r w:rsidRPr="00E0193B">
              <w:rPr>
                <w:rFonts w:eastAsia="Calibri"/>
              </w:rPr>
              <w:lastRenderedPageBreak/>
              <w:t>Opis kamienia milowego lub wskaźnika.</w:t>
            </w:r>
          </w:p>
        </w:tc>
        <w:tc>
          <w:tcPr>
            <w:tcW w:w="1803" w:type="pct"/>
            <w:tcBorders>
              <w:top w:val="single" w:sz="4" w:space="0" w:color="auto"/>
              <w:left w:val="single" w:sz="4" w:space="0" w:color="auto"/>
              <w:bottom w:val="single" w:sz="4" w:space="0" w:color="auto"/>
              <w:right w:val="single" w:sz="4" w:space="0" w:color="auto"/>
            </w:tcBorders>
            <w:hideMark/>
          </w:tcPr>
          <w:p w14:paraId="2817870B" w14:textId="2C670FF4" w:rsidR="00D94758" w:rsidRPr="00E0193B" w:rsidRDefault="00D94758" w:rsidP="00D94758">
            <w:pPr>
              <w:spacing w:after="120" w:line="256" w:lineRule="auto"/>
              <w:contextualSpacing/>
            </w:pPr>
            <w:r w:rsidRPr="00E0193B">
              <w:t>A40G</w:t>
            </w:r>
          </w:p>
          <w:p w14:paraId="29A487D7" w14:textId="77777777" w:rsidR="00D94758" w:rsidRPr="00E0193B" w:rsidRDefault="00D94758" w:rsidP="00D94758">
            <w:pPr>
              <w:spacing w:after="120" w:line="256" w:lineRule="auto"/>
              <w:contextualSpacing/>
            </w:pPr>
            <w:r w:rsidRPr="00E0193B">
              <w:t xml:space="preserve">Nazwa: Laboratoria z nowoczesną infrastrukturą badawczą i analityczną w instytucjach podległych i/lub nadzorowanych przez Ministerstwo Edukacji i Nauki oraz Ministerstwo Rolnictwa i Rozwoju Wsi  </w:t>
            </w:r>
          </w:p>
          <w:p w14:paraId="27FC0A97" w14:textId="77777777" w:rsidR="00D94758" w:rsidRPr="00E0193B" w:rsidRDefault="00D94758" w:rsidP="00D94758">
            <w:pPr>
              <w:spacing w:after="120" w:line="256" w:lineRule="auto"/>
              <w:contextualSpacing/>
            </w:pPr>
          </w:p>
          <w:p w14:paraId="0B2F0146" w14:textId="77777777" w:rsidR="00D94758" w:rsidRPr="00E0193B" w:rsidRDefault="00D94758" w:rsidP="00D94758">
            <w:pPr>
              <w:spacing w:after="120" w:line="256" w:lineRule="auto"/>
              <w:contextualSpacing/>
            </w:pPr>
            <w:r w:rsidRPr="00E0193B">
              <w:t>Opis: Budowa i modernizacja laboratoriów instytutów nadzorowanych przez Ministerstwo Edukacji i Nauki oraz Ministerstwo Rolnictwa i Rozwoju Wsi i Główny Inspektorat Jakości Handlowej Artykułów Rolno-Spożywczych lub im podlegających związana z realizacją celów.</w:t>
            </w:r>
          </w:p>
          <w:p w14:paraId="255099AC" w14:textId="77777777" w:rsidR="00D94758" w:rsidRPr="00E0193B" w:rsidRDefault="00D94758" w:rsidP="00D94758">
            <w:pPr>
              <w:spacing w:after="120" w:line="256" w:lineRule="auto"/>
              <w:contextualSpacing/>
            </w:pPr>
            <w:r w:rsidRPr="00E0193B">
              <w:t>IV kw. 2025 r.</w:t>
            </w:r>
          </w:p>
        </w:tc>
        <w:tc>
          <w:tcPr>
            <w:tcW w:w="2020" w:type="pct"/>
            <w:tcBorders>
              <w:top w:val="single" w:sz="4" w:space="0" w:color="auto"/>
              <w:left w:val="single" w:sz="4" w:space="0" w:color="auto"/>
              <w:bottom w:val="single" w:sz="4" w:space="0" w:color="auto"/>
              <w:right w:val="single" w:sz="4" w:space="0" w:color="auto"/>
            </w:tcBorders>
          </w:tcPr>
          <w:p w14:paraId="5BA270F7" w14:textId="31BC0C2F" w:rsidR="00D94758" w:rsidRPr="00E0193B" w:rsidRDefault="00D94758" w:rsidP="00D94758">
            <w:pPr>
              <w:spacing w:after="120" w:line="240" w:lineRule="auto"/>
              <w:jc w:val="left"/>
              <w:rPr>
                <w:rFonts w:eastAsia="Calibri"/>
              </w:rPr>
            </w:pPr>
            <w:r w:rsidRPr="00E0193B">
              <w:rPr>
                <w:rFonts w:eastAsia="Calibri"/>
              </w:rPr>
              <w:t>A40G</w:t>
            </w:r>
          </w:p>
          <w:p w14:paraId="01D4960A" w14:textId="77777777" w:rsidR="00D94758" w:rsidRPr="00E0193B" w:rsidRDefault="00D94758" w:rsidP="00D94758">
            <w:pPr>
              <w:spacing w:after="120" w:line="240" w:lineRule="auto"/>
              <w:jc w:val="left"/>
              <w:rPr>
                <w:rFonts w:eastAsia="Calibri"/>
              </w:rPr>
            </w:pPr>
            <w:r w:rsidRPr="00E0193B">
              <w:rPr>
                <w:rFonts w:eastAsia="Calibri"/>
              </w:rPr>
              <w:t xml:space="preserve">Nazwa: Laboratoria z nowoczesną infrastrukturą badawczą i analityczną w instytucjach podległych i/lub nadzorowanych przez Ministerstwo </w:t>
            </w:r>
            <w:r w:rsidRPr="00E0193B">
              <w:rPr>
                <w:rFonts w:eastAsia="Calibri"/>
                <w:color w:val="FF0000"/>
              </w:rPr>
              <w:t xml:space="preserve">Nauki i Szkolnictwa Wyższego </w:t>
            </w:r>
            <w:r w:rsidRPr="00E0193B">
              <w:rPr>
                <w:rFonts w:eastAsia="Calibri"/>
              </w:rPr>
              <w:t xml:space="preserve">oraz Ministerstwo Rolnictwa i Rozwoju Wsi </w:t>
            </w:r>
          </w:p>
          <w:p w14:paraId="538CBD19" w14:textId="36D93D90" w:rsidR="00D94758" w:rsidRPr="00E0193B" w:rsidRDefault="00D94758" w:rsidP="00D94758">
            <w:pPr>
              <w:spacing w:after="120" w:line="240" w:lineRule="auto"/>
              <w:jc w:val="left"/>
              <w:rPr>
                <w:rFonts w:eastAsia="Calibri"/>
              </w:rPr>
            </w:pPr>
            <w:r w:rsidRPr="00E0193B">
              <w:rPr>
                <w:rFonts w:eastAsia="Calibri"/>
              </w:rPr>
              <w:t xml:space="preserve">Opis: Budowa i modernizacja laboratoriów </w:t>
            </w:r>
            <w:r w:rsidRPr="00E0193B">
              <w:rPr>
                <w:rFonts w:eastAsia="Calibri"/>
                <w:color w:val="FF0000"/>
              </w:rPr>
              <w:t xml:space="preserve">oraz zakup laboratoriów mobilnych przez instytucje nadzorowane </w:t>
            </w:r>
            <w:r w:rsidRPr="00E0193B">
              <w:rPr>
                <w:rFonts w:eastAsia="Calibri"/>
              </w:rPr>
              <w:t xml:space="preserve">przez Ministerstwo </w:t>
            </w:r>
            <w:r w:rsidRPr="00E0193B">
              <w:rPr>
                <w:rFonts w:eastAsia="Calibri"/>
                <w:color w:val="FF0000"/>
              </w:rPr>
              <w:t>Nauki i Szkolnictwa Wyższego</w:t>
            </w:r>
            <w:r w:rsidRPr="00E0193B">
              <w:rPr>
                <w:rFonts w:eastAsia="Calibri"/>
              </w:rPr>
              <w:t xml:space="preserve"> oraz Ministerstwo Rolnictwa i Rozwoju Wsi i Główny Inspektorat Jakości Handlowej Artykułów Rolno-Spożywczych lub</w:t>
            </w:r>
            <w:r w:rsidR="00FB61AA" w:rsidRPr="00E0193B">
              <w:rPr>
                <w:rFonts w:eastAsia="Calibri"/>
              </w:rPr>
              <w:t xml:space="preserve"> </w:t>
            </w:r>
            <w:r w:rsidRPr="00E0193B">
              <w:rPr>
                <w:rFonts w:eastAsia="Calibri"/>
              </w:rPr>
              <w:t xml:space="preserve">im </w:t>
            </w:r>
            <w:r w:rsidRPr="00E0193B">
              <w:rPr>
                <w:rFonts w:eastAsia="Calibri"/>
                <w:color w:val="FF0000"/>
              </w:rPr>
              <w:t xml:space="preserve">podlegające, związane </w:t>
            </w:r>
            <w:r w:rsidRPr="00E0193B">
              <w:rPr>
                <w:rFonts w:eastAsia="Calibri"/>
              </w:rPr>
              <w:t>z realizacją celów.</w:t>
            </w:r>
          </w:p>
          <w:p w14:paraId="593F3C27" w14:textId="77777777" w:rsidR="00D94758" w:rsidRPr="00E0193B" w:rsidRDefault="00D94758" w:rsidP="00D94758">
            <w:pPr>
              <w:spacing w:after="120" w:line="240" w:lineRule="auto"/>
              <w:jc w:val="left"/>
              <w:rPr>
                <w:rFonts w:eastAsia="Calibri"/>
                <w:lang w:val="en-US"/>
              </w:rPr>
            </w:pPr>
            <w:r w:rsidRPr="00E0193B">
              <w:rPr>
                <w:rFonts w:eastAsia="Calibri"/>
                <w:color w:val="FF0000"/>
                <w:lang w:val="en-US"/>
              </w:rPr>
              <w:t>II kw. 2026 r.</w:t>
            </w:r>
          </w:p>
        </w:tc>
      </w:tr>
      <w:tr w:rsidR="00FB61AA" w:rsidRPr="00935797" w14:paraId="6BA44D92" w14:textId="77777777" w:rsidTr="00FB7F70">
        <w:tc>
          <w:tcPr>
            <w:tcW w:w="1177" w:type="pct"/>
            <w:tcBorders>
              <w:top w:val="single" w:sz="4" w:space="0" w:color="auto"/>
              <w:left w:val="single" w:sz="4" w:space="0" w:color="auto"/>
              <w:bottom w:val="single" w:sz="4" w:space="0" w:color="auto"/>
              <w:right w:val="single" w:sz="4" w:space="0" w:color="auto"/>
            </w:tcBorders>
          </w:tcPr>
          <w:p w14:paraId="71084D2B" w14:textId="77777777" w:rsidR="00FB61AA" w:rsidRPr="00E0193B" w:rsidRDefault="00FB61AA" w:rsidP="00D94758">
            <w:pPr>
              <w:spacing w:after="120" w:line="240" w:lineRule="auto"/>
              <w:jc w:val="left"/>
              <w:rPr>
                <w:rFonts w:eastAsia="Calibri"/>
              </w:rPr>
            </w:pPr>
          </w:p>
        </w:tc>
        <w:tc>
          <w:tcPr>
            <w:tcW w:w="1803" w:type="pct"/>
            <w:tcBorders>
              <w:top w:val="single" w:sz="4" w:space="0" w:color="auto"/>
              <w:left w:val="single" w:sz="4" w:space="0" w:color="auto"/>
              <w:bottom w:val="single" w:sz="4" w:space="0" w:color="auto"/>
              <w:right w:val="single" w:sz="4" w:space="0" w:color="auto"/>
            </w:tcBorders>
          </w:tcPr>
          <w:p w14:paraId="2CD9BC79" w14:textId="77777777" w:rsidR="00FB61AA" w:rsidRPr="00E0193B" w:rsidRDefault="00FB61AA" w:rsidP="00FB61AA">
            <w:pPr>
              <w:spacing w:after="120" w:line="256" w:lineRule="auto"/>
              <w:contextualSpacing/>
              <w:rPr>
                <w:lang w:val="en-US"/>
              </w:rPr>
            </w:pPr>
            <w:r w:rsidRPr="00E0193B">
              <w:rPr>
                <w:lang w:val="en-US"/>
              </w:rPr>
              <w:t xml:space="preserve">A40G </w:t>
            </w:r>
          </w:p>
          <w:p w14:paraId="2B82E313" w14:textId="40BCFA43" w:rsidR="00FB61AA" w:rsidRPr="00E0193B" w:rsidRDefault="00FB61AA" w:rsidP="00FB61AA">
            <w:pPr>
              <w:spacing w:after="120" w:line="256" w:lineRule="auto"/>
              <w:contextualSpacing/>
              <w:rPr>
                <w:lang w:val="en-US"/>
              </w:rPr>
            </w:pPr>
            <w:r w:rsidRPr="00E0193B">
              <w:rPr>
                <w:lang w:val="en-US"/>
              </w:rPr>
              <w:t>Laboratories with modern research and analytical infrastructure in institutions supervised and/or subordinated to the Ministry of Education and Science and the Ministry of Agriculture and Rural Development</w:t>
            </w:r>
          </w:p>
          <w:p w14:paraId="0030E838" w14:textId="36A3BCC6" w:rsidR="00FB61AA" w:rsidRPr="00E0193B" w:rsidRDefault="00FB61AA" w:rsidP="00D94758">
            <w:pPr>
              <w:spacing w:after="120" w:line="256" w:lineRule="auto"/>
              <w:contextualSpacing/>
              <w:rPr>
                <w:lang w:val="en-US"/>
              </w:rPr>
            </w:pPr>
          </w:p>
          <w:p w14:paraId="428DD417" w14:textId="538826F7" w:rsidR="000D7ABC" w:rsidRPr="00E0193B" w:rsidRDefault="000D7ABC" w:rsidP="00D94758">
            <w:pPr>
              <w:spacing w:after="120" w:line="256" w:lineRule="auto"/>
              <w:contextualSpacing/>
              <w:rPr>
                <w:lang w:val="en-US"/>
              </w:rPr>
            </w:pPr>
            <w:r w:rsidRPr="00E0193B">
              <w:rPr>
                <w:lang w:val="en-US"/>
              </w:rPr>
              <w:t>Construction and modernisation of laboratories in institutions supervised and/or subordinated to the Ministry of Education and Science, and the Ministry of Agriculture and Rural Development and Main Inspectorate of Agricultural and Food Quality Inspection related to the objectives.</w:t>
            </w:r>
          </w:p>
          <w:p w14:paraId="008E842A" w14:textId="77777777" w:rsidR="000D7ABC" w:rsidRPr="00E0193B" w:rsidRDefault="000D7ABC" w:rsidP="00D94758">
            <w:pPr>
              <w:spacing w:after="120" w:line="256" w:lineRule="auto"/>
              <w:contextualSpacing/>
              <w:rPr>
                <w:lang w:val="en-US"/>
              </w:rPr>
            </w:pPr>
          </w:p>
          <w:p w14:paraId="66857191" w14:textId="6943B8E3" w:rsidR="00FB61AA" w:rsidRPr="00E0193B" w:rsidRDefault="00FB61AA" w:rsidP="00D94758">
            <w:pPr>
              <w:spacing w:after="120" w:line="256" w:lineRule="auto"/>
              <w:contextualSpacing/>
              <w:rPr>
                <w:lang w:val="en-US"/>
              </w:rPr>
            </w:pPr>
            <w:r w:rsidRPr="00E0193B">
              <w:rPr>
                <w:rFonts w:eastAsia="Calibri"/>
                <w:bCs/>
                <w:lang w:val="en-US"/>
              </w:rPr>
              <w:t>Indicative timeline for completion: Q</w:t>
            </w:r>
            <w:r w:rsidR="000D7ABC" w:rsidRPr="00E0193B">
              <w:rPr>
                <w:rFonts w:eastAsia="Calibri"/>
                <w:bCs/>
                <w:lang w:val="en-US"/>
              </w:rPr>
              <w:t>4</w:t>
            </w:r>
            <w:r w:rsidRPr="00E0193B">
              <w:rPr>
                <w:rFonts w:eastAsia="Calibri"/>
                <w:bCs/>
                <w:lang w:val="en-US"/>
              </w:rPr>
              <w:t xml:space="preserve"> 202</w:t>
            </w:r>
            <w:r w:rsidR="000D7ABC" w:rsidRPr="00E0193B">
              <w:rPr>
                <w:rFonts w:eastAsia="Calibri"/>
                <w:bCs/>
                <w:lang w:val="en-US"/>
              </w:rPr>
              <w:t>5</w:t>
            </w:r>
          </w:p>
        </w:tc>
        <w:tc>
          <w:tcPr>
            <w:tcW w:w="2020" w:type="pct"/>
            <w:tcBorders>
              <w:top w:val="single" w:sz="4" w:space="0" w:color="auto"/>
              <w:left w:val="single" w:sz="4" w:space="0" w:color="auto"/>
              <w:bottom w:val="single" w:sz="4" w:space="0" w:color="auto"/>
              <w:right w:val="single" w:sz="4" w:space="0" w:color="auto"/>
            </w:tcBorders>
          </w:tcPr>
          <w:p w14:paraId="2316E787" w14:textId="77777777" w:rsidR="00FB61AA" w:rsidRPr="00E0193B" w:rsidRDefault="00FB61AA" w:rsidP="00D94758">
            <w:pPr>
              <w:spacing w:after="120" w:line="256" w:lineRule="auto"/>
              <w:ind w:left="55"/>
              <w:contextualSpacing/>
              <w:rPr>
                <w:lang w:val="en-US"/>
              </w:rPr>
            </w:pPr>
            <w:r w:rsidRPr="00E0193B">
              <w:rPr>
                <w:lang w:val="en-US"/>
              </w:rPr>
              <w:t xml:space="preserve">A40G </w:t>
            </w:r>
          </w:p>
          <w:p w14:paraId="1F1DBBF5" w14:textId="3849B473" w:rsidR="00FB61AA" w:rsidRPr="00E0193B" w:rsidRDefault="00FB61AA" w:rsidP="00D94758">
            <w:pPr>
              <w:spacing w:after="120" w:line="256" w:lineRule="auto"/>
              <w:ind w:left="55"/>
              <w:contextualSpacing/>
              <w:rPr>
                <w:lang w:val="en-US"/>
              </w:rPr>
            </w:pPr>
            <w:r w:rsidRPr="00E0193B">
              <w:rPr>
                <w:lang w:val="en-US"/>
              </w:rPr>
              <w:t xml:space="preserve">Laboratories with modern research and analytical infrastructure in institutions supervised and/or subordinated to the Ministry </w:t>
            </w:r>
            <w:r w:rsidRPr="00E0193B">
              <w:rPr>
                <w:color w:val="FF0000"/>
                <w:lang w:val="en-US"/>
              </w:rPr>
              <w:t>of Science</w:t>
            </w:r>
            <w:r w:rsidRPr="00E0193B">
              <w:rPr>
                <w:lang w:val="en-US"/>
              </w:rPr>
              <w:t xml:space="preserve"> </w:t>
            </w:r>
            <w:r w:rsidRPr="00E0193B">
              <w:rPr>
                <w:color w:val="FF0000"/>
                <w:lang w:val="en-US"/>
              </w:rPr>
              <w:t xml:space="preserve">and Higher Education </w:t>
            </w:r>
            <w:r w:rsidRPr="00E0193B">
              <w:rPr>
                <w:lang w:val="en-US"/>
              </w:rPr>
              <w:t>and the Ministry of Agriculture and Rural Development</w:t>
            </w:r>
          </w:p>
          <w:p w14:paraId="7E9C82AE" w14:textId="2428EB66" w:rsidR="000D7ABC" w:rsidRPr="00E0193B" w:rsidRDefault="000D7ABC" w:rsidP="00D94758">
            <w:pPr>
              <w:spacing w:after="120" w:line="256" w:lineRule="auto"/>
              <w:ind w:left="55"/>
              <w:contextualSpacing/>
              <w:rPr>
                <w:lang w:val="en-US"/>
              </w:rPr>
            </w:pPr>
          </w:p>
          <w:p w14:paraId="1DDD9BF9" w14:textId="0D5E7734" w:rsidR="000D7ABC" w:rsidRPr="00E0193B" w:rsidRDefault="000D7ABC" w:rsidP="000D7ABC">
            <w:pPr>
              <w:spacing w:after="120" w:line="256" w:lineRule="auto"/>
              <w:contextualSpacing/>
              <w:rPr>
                <w:lang w:val="en-US"/>
              </w:rPr>
            </w:pPr>
            <w:r w:rsidRPr="00E0193B">
              <w:rPr>
                <w:lang w:val="en-US"/>
              </w:rPr>
              <w:t xml:space="preserve">Construction and modernisation of laboratories </w:t>
            </w:r>
            <w:r w:rsidRPr="00E0193B">
              <w:rPr>
                <w:color w:val="FF0000"/>
                <w:lang w:val="en-US"/>
              </w:rPr>
              <w:t xml:space="preserve">and purchase of mobile laboratories by </w:t>
            </w:r>
            <w:r w:rsidRPr="00E0193B">
              <w:rPr>
                <w:lang w:val="en-US"/>
              </w:rPr>
              <w:t>institutions supervised and/or subordinated to the Ministry of Education and Science</w:t>
            </w:r>
            <w:r w:rsidR="00D812E3" w:rsidRPr="00E0193B">
              <w:rPr>
                <w:lang w:val="en-US"/>
              </w:rPr>
              <w:t xml:space="preserve"> </w:t>
            </w:r>
            <w:r w:rsidR="00D812E3" w:rsidRPr="00E0193B">
              <w:rPr>
                <w:color w:val="FF0000"/>
                <w:lang w:val="en-US"/>
              </w:rPr>
              <w:t>and Higher Education</w:t>
            </w:r>
            <w:r w:rsidRPr="00E0193B">
              <w:rPr>
                <w:lang w:val="en-US"/>
              </w:rPr>
              <w:t>, and the Ministry of Agriculture and Rural Development and Main Inspectorate of Agricultural and Food Quality Inspection related to the objectives.</w:t>
            </w:r>
          </w:p>
          <w:p w14:paraId="5275FA31" w14:textId="77777777" w:rsidR="000D7ABC" w:rsidRPr="00E0193B" w:rsidRDefault="000D7ABC" w:rsidP="00D94758">
            <w:pPr>
              <w:spacing w:after="120" w:line="256" w:lineRule="auto"/>
              <w:ind w:left="55"/>
              <w:contextualSpacing/>
              <w:rPr>
                <w:lang w:val="en-US"/>
              </w:rPr>
            </w:pPr>
          </w:p>
          <w:p w14:paraId="2862A6C3" w14:textId="52C05A01" w:rsidR="000D7ABC" w:rsidRPr="00E0193B" w:rsidRDefault="000D7ABC" w:rsidP="00D94758">
            <w:pPr>
              <w:spacing w:after="120" w:line="256" w:lineRule="auto"/>
              <w:ind w:left="55"/>
              <w:contextualSpacing/>
              <w:rPr>
                <w:lang w:val="en-US"/>
              </w:rPr>
            </w:pPr>
            <w:r w:rsidRPr="00E0193B">
              <w:rPr>
                <w:rFonts w:eastAsia="Calibri"/>
                <w:bCs/>
                <w:lang w:val="en-US"/>
              </w:rPr>
              <w:t xml:space="preserve">Indicative timeline for completion: </w:t>
            </w:r>
            <w:r w:rsidRPr="00E0193B">
              <w:rPr>
                <w:rFonts w:eastAsia="Calibri"/>
                <w:bCs/>
                <w:color w:val="FF0000"/>
                <w:lang w:val="en-US"/>
              </w:rPr>
              <w:t>Q2 2026</w:t>
            </w:r>
          </w:p>
        </w:tc>
      </w:tr>
      <w:tr w:rsidR="00D94758" w:rsidRPr="00E0193B" w14:paraId="116FA8FC" w14:textId="77777777" w:rsidTr="00FB7F70">
        <w:tc>
          <w:tcPr>
            <w:tcW w:w="1177" w:type="pct"/>
            <w:tcBorders>
              <w:top w:val="single" w:sz="4" w:space="0" w:color="auto"/>
              <w:left w:val="single" w:sz="4" w:space="0" w:color="auto"/>
              <w:bottom w:val="single" w:sz="4" w:space="0" w:color="auto"/>
              <w:right w:val="single" w:sz="4" w:space="0" w:color="auto"/>
            </w:tcBorders>
            <w:hideMark/>
          </w:tcPr>
          <w:p w14:paraId="3F8329E3" w14:textId="77777777" w:rsidR="00D94758" w:rsidRPr="00E0193B" w:rsidRDefault="00D94758" w:rsidP="00D94758">
            <w:pPr>
              <w:spacing w:after="120" w:line="240" w:lineRule="auto"/>
              <w:jc w:val="left"/>
              <w:rPr>
                <w:rFonts w:eastAsia="Calibri"/>
                <w:lang w:val="en-US"/>
              </w:rPr>
            </w:pPr>
            <w:r w:rsidRPr="00E0193B">
              <w:rPr>
                <w:rFonts w:eastAsia="Calibri"/>
                <w:lang w:val="en-US"/>
              </w:rPr>
              <w:t>Uzasadnienie</w:t>
            </w:r>
          </w:p>
        </w:tc>
        <w:tc>
          <w:tcPr>
            <w:tcW w:w="3823" w:type="pct"/>
            <w:gridSpan w:val="2"/>
            <w:tcBorders>
              <w:top w:val="single" w:sz="4" w:space="0" w:color="auto"/>
              <w:left w:val="single" w:sz="4" w:space="0" w:color="auto"/>
              <w:bottom w:val="single" w:sz="4" w:space="0" w:color="auto"/>
              <w:right w:val="single" w:sz="4" w:space="0" w:color="auto"/>
            </w:tcBorders>
            <w:hideMark/>
          </w:tcPr>
          <w:p w14:paraId="25EAC208" w14:textId="77777777" w:rsidR="00D94758" w:rsidRPr="00E0193B" w:rsidRDefault="00D94758" w:rsidP="00D94758">
            <w:pPr>
              <w:spacing w:after="120" w:line="240" w:lineRule="auto"/>
              <w:jc w:val="left"/>
              <w:rPr>
                <w:rFonts w:eastAsia="Calibri"/>
              </w:rPr>
            </w:pPr>
            <w:r w:rsidRPr="00E0193B">
              <w:rPr>
                <w:rFonts w:eastAsia="Calibri"/>
              </w:rPr>
              <w:t xml:space="preserve">W związku z zapotrzebowaniem na badania prowadzone w gospodarstwach rolnych </w:t>
            </w:r>
            <w:r w:rsidRPr="00E0193B">
              <w:rPr>
                <w:rFonts w:eastAsia="Calibri"/>
                <w:color w:val="000000"/>
              </w:rPr>
              <w:t xml:space="preserve">proponuje się uwzględnić wsparcie rozwoju potencjału analityczno-laboratoryjnego jednostek doradztwa rolniczego i stacji chemiczno-rolniczych, poprzez doposażenie </w:t>
            </w:r>
            <w:r w:rsidRPr="00E0193B">
              <w:rPr>
                <w:rFonts w:eastAsia="Calibri"/>
              </w:rPr>
              <w:t>ich w infrastrukturę laboratoryjną, laboratoria mobilne i sprzęt do pobierania prób.</w:t>
            </w:r>
          </w:p>
          <w:p w14:paraId="3A227B35" w14:textId="77777777" w:rsidR="00D94758" w:rsidRPr="00E0193B" w:rsidRDefault="00D94758" w:rsidP="00D94758">
            <w:pPr>
              <w:spacing w:after="120" w:line="240" w:lineRule="auto"/>
              <w:jc w:val="left"/>
              <w:rPr>
                <w:rFonts w:eastAsia="Calibri"/>
              </w:rPr>
            </w:pPr>
            <w:r w:rsidRPr="00E0193B">
              <w:rPr>
                <w:rFonts w:eastAsia="Calibri"/>
              </w:rPr>
              <w:t>Proponowana zmiana wiąże się z:</w:t>
            </w:r>
          </w:p>
          <w:p w14:paraId="57DD72F9" w14:textId="77777777" w:rsidR="00D94758" w:rsidRPr="00E0193B" w:rsidRDefault="00D94758" w:rsidP="00A1213F">
            <w:pPr>
              <w:numPr>
                <w:ilvl w:val="0"/>
                <w:numId w:val="13"/>
              </w:numPr>
              <w:spacing w:after="120" w:line="240" w:lineRule="auto"/>
              <w:jc w:val="left"/>
              <w:rPr>
                <w:rFonts w:eastAsia="Calibri"/>
              </w:rPr>
            </w:pPr>
            <w:r w:rsidRPr="00E0193B">
              <w:rPr>
                <w:rFonts w:eastAsia="Calibri"/>
              </w:rPr>
              <w:t>rozszerzeniem grupy ostatecznych odbiorców wsparcia o jednostki doradztwa rolniczego oraz stacje chemiczno-rolnicze;</w:t>
            </w:r>
          </w:p>
          <w:p w14:paraId="6590A8AD" w14:textId="77777777" w:rsidR="00D94758" w:rsidRPr="00E0193B" w:rsidRDefault="00D94758" w:rsidP="00A1213F">
            <w:pPr>
              <w:numPr>
                <w:ilvl w:val="0"/>
                <w:numId w:val="13"/>
              </w:numPr>
              <w:spacing w:after="120" w:line="240" w:lineRule="auto"/>
              <w:jc w:val="left"/>
              <w:rPr>
                <w:rFonts w:eastAsia="Calibri"/>
              </w:rPr>
            </w:pPr>
            <w:r w:rsidRPr="00E0193B">
              <w:rPr>
                <w:rFonts w:eastAsia="Calibri"/>
              </w:rPr>
              <w:t xml:space="preserve">rozszerzeniem zakresu wsparcia o zakup laboratoriów mobilnych i sprzętu do pobierania prób. </w:t>
            </w:r>
          </w:p>
          <w:p w14:paraId="79A3D61A" w14:textId="1A697DE1" w:rsidR="00D94758" w:rsidRPr="00E0193B" w:rsidRDefault="00D94758" w:rsidP="00E502F6">
            <w:pPr>
              <w:autoSpaceDE w:val="0"/>
              <w:autoSpaceDN w:val="0"/>
              <w:adjustRightInd w:val="0"/>
              <w:spacing w:after="0" w:line="240" w:lineRule="auto"/>
              <w:jc w:val="left"/>
              <w:rPr>
                <w:rFonts w:eastAsia="Calibri"/>
              </w:rPr>
            </w:pPr>
            <w:r w:rsidRPr="00E0193B">
              <w:rPr>
                <w:rFonts w:eastAsia="Calibri"/>
              </w:rPr>
              <w:t xml:space="preserve">Proponowane rozwiązanie stanowi przede wszystkim odpowiedź na wyzwania stojące przed polskim rolnictwem, w tym wynikające z Europejskiego Zielonego Ładu i Planu Strategicznego WPR. W związku z protestami rolników, w trakcie których podnoszone są m.in. kwestie zobowiązań wynikających z Europejskiego Zielonego Ładu, istnieje potrzeba upowszechnienia rozwiązań wspierających zarządzanie gospodarstwem, w tym zwiększenia dostępności badań gleby jako podstawowego elementu planowania racjonalnego nawożenia gleby. </w:t>
            </w:r>
            <w:r w:rsidR="00AE0561" w:rsidRPr="00E0193B">
              <w:rPr>
                <w:rFonts w:eastAsiaTheme="minorHAnsi"/>
              </w:rPr>
              <w:t xml:space="preserve">Zgodnie z informacją przekazaną przez Krajową Stację Chemiczno- Rolniczą na koniec 2023 roku, zapotrzebowanie na badania gleby dla potrzeb doradztwa nawozowego w 2023 roku wzrosło o blisko 60% w porównaniu do roku 2022. W 2023 roku KSChR wykonała ponad 760 tys. badań gleby (pH, P, K, Mg, N) dla potrzeb doradztwa nawozowego. </w:t>
            </w:r>
            <w:r w:rsidRPr="00E0193B">
              <w:rPr>
                <w:rFonts w:eastAsia="Calibri"/>
              </w:rPr>
              <w:t xml:space="preserve">Poprawa infrastruktury laboratoryjnej przyczyni się do automatyzacji procesów analitycznych, skracając czas oczekiwania na wyniki badań oraz poszerzając ich zakres. Zakup </w:t>
            </w:r>
            <w:r w:rsidR="00AE0561" w:rsidRPr="00E0193B">
              <w:rPr>
                <w:rFonts w:eastAsia="Calibri"/>
              </w:rPr>
              <w:t xml:space="preserve">infrastruktury laboratoryjnej, </w:t>
            </w:r>
            <w:r w:rsidRPr="00E0193B">
              <w:rPr>
                <w:rFonts w:eastAsia="Calibri"/>
              </w:rPr>
              <w:t>mobilnych laboratoriów i ich wykorzystanie przyczyni się do szerszego wykorzystania badań gleby w procesie planowania nawożenia składnikami odżywczymi (posiadanie danych nt. zasobności gleb w składniki pokarmowe daje możliwości bardziej precyzyjnego doboru dawek/ilości nawozów), a w konsekwencji do zmniejszenia kosztów produkcji w gospodarstwie przy jednoczesnym zapewnieniu optymalnego poziomu ochrony środowiska naturalnego.</w:t>
            </w:r>
          </w:p>
          <w:p w14:paraId="1D599ACF" w14:textId="77777777" w:rsidR="00D94758" w:rsidRPr="00E0193B" w:rsidRDefault="00D94758" w:rsidP="00D94758">
            <w:pPr>
              <w:spacing w:after="120" w:line="240" w:lineRule="auto"/>
              <w:jc w:val="left"/>
              <w:rPr>
                <w:rFonts w:eastAsia="Calibri"/>
              </w:rPr>
            </w:pPr>
            <w:r w:rsidRPr="00E0193B">
              <w:rPr>
                <w:rFonts w:eastAsia="Calibri"/>
              </w:rPr>
              <w:t>Drugim aspektem jest stale postępujący rozwój nowoczesnych technologii, w tym wzrost znaczenia rolnictwa precyzyjnego, wykorzystującego autonomiczne maszyny i urządzenia oraz zaawansowane systemy informatyczne wspomagające procesy zarządzania gospodarstwem i podejmowania decyzji. Elementem istotnym w tym zakresie jest posiadanie przez rolników aktualnych informacji o zasobności gleby.</w:t>
            </w:r>
          </w:p>
          <w:p w14:paraId="1194B851" w14:textId="77777777" w:rsidR="00D94758" w:rsidRPr="00E0193B" w:rsidRDefault="00D94758" w:rsidP="00D94758">
            <w:pPr>
              <w:spacing w:after="120" w:line="240" w:lineRule="auto"/>
              <w:jc w:val="left"/>
              <w:rPr>
                <w:rFonts w:eastAsia="Calibri"/>
              </w:rPr>
            </w:pPr>
            <w:r w:rsidRPr="00E0193B">
              <w:rPr>
                <w:rFonts w:eastAsia="Calibri"/>
              </w:rPr>
              <w:t>Biorąc pod uwagę termin możliwego uruchomienia kolejnych naborów konieczne jest przedłużenie terminu realizacji ww. inwestycji do końca II kwartału 2026 r.</w:t>
            </w:r>
          </w:p>
        </w:tc>
      </w:tr>
      <w:tr w:rsidR="00D94758" w:rsidRPr="00E0193B" w14:paraId="65D85E17" w14:textId="77777777" w:rsidTr="00FB7F70">
        <w:tc>
          <w:tcPr>
            <w:tcW w:w="1177" w:type="pct"/>
            <w:tcBorders>
              <w:top w:val="single" w:sz="4" w:space="0" w:color="auto"/>
              <w:left w:val="single" w:sz="4" w:space="0" w:color="auto"/>
              <w:bottom w:val="single" w:sz="4" w:space="0" w:color="auto"/>
              <w:right w:val="single" w:sz="4" w:space="0" w:color="auto"/>
            </w:tcBorders>
            <w:hideMark/>
          </w:tcPr>
          <w:p w14:paraId="03B28FD0" w14:textId="77777777" w:rsidR="00D94758" w:rsidRPr="00E0193B" w:rsidRDefault="00D94758" w:rsidP="00D94758">
            <w:pPr>
              <w:spacing w:after="120" w:line="240" w:lineRule="auto"/>
              <w:jc w:val="left"/>
              <w:rPr>
                <w:rFonts w:eastAsia="Calibri"/>
                <w:lang w:val="en-US"/>
              </w:rPr>
            </w:pPr>
            <w:r w:rsidRPr="00E0193B">
              <w:rPr>
                <w:rFonts w:eastAsia="Calibri"/>
                <w:lang w:val="en-US"/>
              </w:rPr>
              <w:t>Szacowany koszt</w:t>
            </w:r>
          </w:p>
        </w:tc>
        <w:tc>
          <w:tcPr>
            <w:tcW w:w="3823" w:type="pct"/>
            <w:gridSpan w:val="2"/>
            <w:tcBorders>
              <w:top w:val="single" w:sz="4" w:space="0" w:color="auto"/>
              <w:left w:val="single" w:sz="4" w:space="0" w:color="auto"/>
              <w:bottom w:val="single" w:sz="4" w:space="0" w:color="auto"/>
              <w:right w:val="single" w:sz="4" w:space="0" w:color="auto"/>
            </w:tcBorders>
            <w:hideMark/>
          </w:tcPr>
          <w:p w14:paraId="7443BDE1" w14:textId="77777777" w:rsidR="00D94758" w:rsidRPr="00E0193B" w:rsidRDefault="00D94758" w:rsidP="00D94758">
            <w:pPr>
              <w:spacing w:after="120" w:line="240" w:lineRule="auto"/>
              <w:jc w:val="left"/>
              <w:rPr>
                <w:rFonts w:eastAsia="Calibri"/>
              </w:rPr>
            </w:pPr>
            <w:r w:rsidRPr="00E0193B">
              <w:rPr>
                <w:rFonts w:eastAsia="Calibri"/>
              </w:rPr>
              <w:t>Zmiana nie ma wpływu na szacowany koszt</w:t>
            </w:r>
          </w:p>
        </w:tc>
      </w:tr>
      <w:tr w:rsidR="00D94758" w:rsidRPr="00E0193B" w14:paraId="02B8EA7F" w14:textId="77777777" w:rsidTr="00FB7F70">
        <w:tc>
          <w:tcPr>
            <w:tcW w:w="1177" w:type="pct"/>
            <w:tcBorders>
              <w:top w:val="single" w:sz="4" w:space="0" w:color="auto"/>
              <w:left w:val="single" w:sz="4" w:space="0" w:color="auto"/>
              <w:bottom w:val="single" w:sz="4" w:space="0" w:color="auto"/>
              <w:right w:val="single" w:sz="4" w:space="0" w:color="auto"/>
            </w:tcBorders>
            <w:hideMark/>
          </w:tcPr>
          <w:p w14:paraId="389E9436" w14:textId="77777777" w:rsidR="00D94758" w:rsidRPr="00E0193B" w:rsidRDefault="00D94758" w:rsidP="00D94758">
            <w:pPr>
              <w:spacing w:after="120" w:line="240" w:lineRule="auto"/>
              <w:jc w:val="left"/>
              <w:rPr>
                <w:rFonts w:eastAsia="Calibri"/>
                <w:lang w:val="en-US"/>
              </w:rPr>
            </w:pPr>
            <w:r w:rsidRPr="00E0193B">
              <w:rPr>
                <w:rFonts w:eastAsia="Calibri"/>
                <w:lang w:val="en-US"/>
              </w:rPr>
              <w:t xml:space="preserve">Cyfrowy i klimatyczny tagging </w:t>
            </w:r>
          </w:p>
        </w:tc>
        <w:tc>
          <w:tcPr>
            <w:tcW w:w="3823" w:type="pct"/>
            <w:gridSpan w:val="2"/>
            <w:tcBorders>
              <w:top w:val="single" w:sz="4" w:space="0" w:color="auto"/>
              <w:left w:val="single" w:sz="4" w:space="0" w:color="auto"/>
              <w:bottom w:val="single" w:sz="4" w:space="0" w:color="auto"/>
              <w:right w:val="single" w:sz="4" w:space="0" w:color="auto"/>
            </w:tcBorders>
            <w:hideMark/>
          </w:tcPr>
          <w:p w14:paraId="36A8BF1F" w14:textId="77777777" w:rsidR="00D94758" w:rsidRPr="00E0193B" w:rsidRDefault="00D94758" w:rsidP="00D94758">
            <w:pPr>
              <w:spacing w:after="120" w:line="240" w:lineRule="auto"/>
              <w:jc w:val="left"/>
              <w:rPr>
                <w:rFonts w:eastAsia="Calibri"/>
              </w:rPr>
            </w:pPr>
            <w:r w:rsidRPr="00E0193B">
              <w:rPr>
                <w:rFonts w:eastAsia="Calibri"/>
              </w:rPr>
              <w:t>Zmiana nie ma wpływu na tagging klimatyczny i cyfrowy.</w:t>
            </w:r>
          </w:p>
        </w:tc>
      </w:tr>
      <w:tr w:rsidR="00D94758" w:rsidRPr="00E0193B" w14:paraId="593F23CF" w14:textId="77777777" w:rsidTr="00FB7F70">
        <w:tc>
          <w:tcPr>
            <w:tcW w:w="1177" w:type="pct"/>
            <w:tcBorders>
              <w:top w:val="single" w:sz="4" w:space="0" w:color="auto"/>
              <w:left w:val="single" w:sz="4" w:space="0" w:color="auto"/>
              <w:bottom w:val="single" w:sz="4" w:space="0" w:color="auto"/>
              <w:right w:val="single" w:sz="4" w:space="0" w:color="auto"/>
            </w:tcBorders>
            <w:hideMark/>
          </w:tcPr>
          <w:p w14:paraId="0B08C2A3" w14:textId="77777777" w:rsidR="00D94758" w:rsidRPr="00E0193B" w:rsidRDefault="00D94758" w:rsidP="00D94758">
            <w:pPr>
              <w:spacing w:after="120" w:line="240" w:lineRule="auto"/>
              <w:jc w:val="left"/>
              <w:rPr>
                <w:rFonts w:eastAsia="Calibri"/>
                <w:lang w:val="en-US"/>
              </w:rPr>
            </w:pPr>
            <w:r w:rsidRPr="00E0193B">
              <w:rPr>
                <w:rFonts w:eastAsia="Calibri"/>
                <w:lang w:val="en-US"/>
              </w:rPr>
              <w:t xml:space="preserve">Zasada DNSH </w:t>
            </w:r>
          </w:p>
        </w:tc>
        <w:tc>
          <w:tcPr>
            <w:tcW w:w="3823" w:type="pct"/>
            <w:gridSpan w:val="2"/>
            <w:tcBorders>
              <w:top w:val="single" w:sz="4" w:space="0" w:color="auto"/>
              <w:left w:val="single" w:sz="4" w:space="0" w:color="auto"/>
              <w:bottom w:val="single" w:sz="4" w:space="0" w:color="auto"/>
              <w:right w:val="single" w:sz="4" w:space="0" w:color="auto"/>
            </w:tcBorders>
            <w:hideMark/>
          </w:tcPr>
          <w:p w14:paraId="6A1F990B" w14:textId="77777777" w:rsidR="00D94758" w:rsidRPr="00E0193B" w:rsidRDefault="00D94758" w:rsidP="00D94758">
            <w:pPr>
              <w:spacing w:after="120" w:line="240" w:lineRule="auto"/>
              <w:jc w:val="left"/>
              <w:rPr>
                <w:rFonts w:eastAsia="Calibri"/>
              </w:rPr>
            </w:pPr>
            <w:r w:rsidRPr="00E0193B">
              <w:rPr>
                <w:rFonts w:eastAsia="Calibri"/>
              </w:rPr>
              <w:t>Zmiana nie ma wpływu na DNSH.</w:t>
            </w:r>
          </w:p>
        </w:tc>
      </w:tr>
      <w:tr w:rsidR="00D94758" w:rsidRPr="00E0193B" w14:paraId="2AEC8A9A" w14:textId="77777777" w:rsidTr="00FB7F70">
        <w:tc>
          <w:tcPr>
            <w:tcW w:w="1177" w:type="pct"/>
            <w:tcBorders>
              <w:top w:val="single" w:sz="4" w:space="0" w:color="auto"/>
              <w:left w:val="single" w:sz="4" w:space="0" w:color="auto"/>
              <w:bottom w:val="single" w:sz="4" w:space="0" w:color="auto"/>
              <w:right w:val="single" w:sz="4" w:space="0" w:color="auto"/>
            </w:tcBorders>
            <w:hideMark/>
          </w:tcPr>
          <w:p w14:paraId="664DB189" w14:textId="77777777" w:rsidR="00D94758" w:rsidRPr="00E0193B" w:rsidRDefault="00D94758" w:rsidP="00D94758">
            <w:pPr>
              <w:spacing w:after="120" w:line="240" w:lineRule="auto"/>
              <w:jc w:val="left"/>
              <w:rPr>
                <w:rFonts w:eastAsia="Calibri"/>
                <w:lang w:val="en-US"/>
              </w:rPr>
            </w:pPr>
            <w:r w:rsidRPr="00E0193B">
              <w:rPr>
                <w:rFonts w:eastAsia="Calibri"/>
                <w:lang w:val="en-US"/>
              </w:rPr>
              <w:t xml:space="preserve">Pomoc publiczna </w:t>
            </w:r>
          </w:p>
        </w:tc>
        <w:tc>
          <w:tcPr>
            <w:tcW w:w="3823" w:type="pct"/>
            <w:gridSpan w:val="2"/>
            <w:tcBorders>
              <w:top w:val="single" w:sz="4" w:space="0" w:color="auto"/>
              <w:left w:val="single" w:sz="4" w:space="0" w:color="auto"/>
              <w:bottom w:val="single" w:sz="4" w:space="0" w:color="auto"/>
              <w:right w:val="single" w:sz="4" w:space="0" w:color="auto"/>
            </w:tcBorders>
            <w:hideMark/>
          </w:tcPr>
          <w:p w14:paraId="4DA0BFD7" w14:textId="77777777" w:rsidR="00D94758" w:rsidRPr="00E0193B" w:rsidRDefault="00D94758" w:rsidP="00D94758">
            <w:pPr>
              <w:spacing w:after="120" w:line="240" w:lineRule="auto"/>
              <w:jc w:val="left"/>
              <w:rPr>
                <w:rFonts w:eastAsia="Calibri"/>
                <w:lang w:val="en-US"/>
              </w:rPr>
            </w:pPr>
            <w:r w:rsidRPr="00E0193B">
              <w:rPr>
                <w:rFonts w:eastAsia="Calibri"/>
                <w:lang w:val="en-US"/>
              </w:rPr>
              <w:t>Może występować pomoc publiczna</w:t>
            </w:r>
          </w:p>
        </w:tc>
      </w:tr>
    </w:tbl>
    <w:p w14:paraId="4F8DF436" w14:textId="43A96B84" w:rsidR="00D94758" w:rsidRPr="00E0193B" w:rsidRDefault="00D94758" w:rsidP="00D94758">
      <w:pPr>
        <w:spacing w:after="120" w:line="240" w:lineRule="auto"/>
        <w:jc w:val="left"/>
        <w:rPr>
          <w:rFonts w:eastAsia="Calibri"/>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3339"/>
        <w:gridCol w:w="3551"/>
      </w:tblGrid>
      <w:tr w:rsidR="00491CB3" w:rsidRPr="00E0193B" w14:paraId="6094CD8D" w14:textId="77777777" w:rsidTr="008C1B0D">
        <w:tc>
          <w:tcPr>
            <w:tcW w:w="1088" w:type="pct"/>
          </w:tcPr>
          <w:p w14:paraId="099D91B2" w14:textId="77777777" w:rsidR="00491CB3" w:rsidRPr="00E0193B" w:rsidRDefault="00491CB3" w:rsidP="00491CB3">
            <w:pPr>
              <w:spacing w:after="120" w:line="240" w:lineRule="auto"/>
              <w:jc w:val="left"/>
              <w:rPr>
                <w:rFonts w:eastAsia="Calibri"/>
                <w:b/>
                <w:bCs/>
              </w:rPr>
            </w:pPr>
            <w:r w:rsidRPr="00E0193B">
              <w:rPr>
                <w:rFonts w:eastAsia="Calibri"/>
                <w:b/>
                <w:bCs/>
              </w:rPr>
              <w:t>Numer reformy</w:t>
            </w:r>
          </w:p>
        </w:tc>
        <w:tc>
          <w:tcPr>
            <w:tcW w:w="3912" w:type="pct"/>
            <w:gridSpan w:val="2"/>
          </w:tcPr>
          <w:p w14:paraId="7CEB0E69" w14:textId="77777777" w:rsidR="00491CB3" w:rsidRPr="00E0193B" w:rsidRDefault="00491CB3" w:rsidP="00491CB3">
            <w:pPr>
              <w:spacing w:after="120" w:line="240" w:lineRule="auto"/>
              <w:jc w:val="left"/>
              <w:rPr>
                <w:rFonts w:eastAsia="Calibri"/>
                <w:b/>
                <w:bCs/>
              </w:rPr>
            </w:pPr>
            <w:r w:rsidRPr="00E0193B">
              <w:rPr>
                <w:rFonts w:eastAsia="Calibri"/>
                <w:b/>
                <w:bCs/>
              </w:rPr>
              <w:t>A4.1.</w:t>
            </w:r>
          </w:p>
        </w:tc>
      </w:tr>
      <w:tr w:rsidR="00491CB3" w:rsidRPr="00E0193B" w14:paraId="23F83C41" w14:textId="77777777" w:rsidTr="008C1B0D">
        <w:tc>
          <w:tcPr>
            <w:tcW w:w="1088" w:type="pct"/>
          </w:tcPr>
          <w:p w14:paraId="479E7A5B" w14:textId="77777777" w:rsidR="00491CB3" w:rsidRPr="00E0193B" w:rsidRDefault="00491CB3" w:rsidP="00491CB3">
            <w:pPr>
              <w:spacing w:after="120" w:line="240" w:lineRule="auto"/>
              <w:jc w:val="left"/>
              <w:rPr>
                <w:rFonts w:eastAsia="Calibri"/>
                <w:b/>
                <w:bCs/>
              </w:rPr>
            </w:pPr>
            <w:r w:rsidRPr="00E0193B">
              <w:rPr>
                <w:rFonts w:eastAsia="Calibri"/>
                <w:b/>
                <w:bCs/>
              </w:rPr>
              <w:t>Nazwa reformy</w:t>
            </w:r>
          </w:p>
        </w:tc>
        <w:tc>
          <w:tcPr>
            <w:tcW w:w="3912" w:type="pct"/>
            <w:gridSpan w:val="2"/>
          </w:tcPr>
          <w:p w14:paraId="25C8D09F" w14:textId="77777777" w:rsidR="00491CB3" w:rsidRPr="00E0193B" w:rsidRDefault="00491CB3" w:rsidP="00491CB3">
            <w:pPr>
              <w:spacing w:after="120" w:line="240" w:lineRule="auto"/>
              <w:jc w:val="left"/>
              <w:rPr>
                <w:rFonts w:eastAsia="Calibri"/>
                <w:b/>
                <w:bCs/>
              </w:rPr>
            </w:pPr>
            <w:r w:rsidRPr="00E0193B">
              <w:rPr>
                <w:rFonts w:eastAsia="Calibri"/>
                <w:b/>
                <w:bCs/>
              </w:rPr>
              <w:t>Efektywne instytucje na rzecz rynku pracy</w:t>
            </w:r>
          </w:p>
        </w:tc>
      </w:tr>
      <w:tr w:rsidR="00491CB3" w:rsidRPr="00E0193B" w14:paraId="3CB71BF5" w14:textId="77777777" w:rsidTr="008C1B0D">
        <w:tc>
          <w:tcPr>
            <w:tcW w:w="1088" w:type="pct"/>
            <w:shd w:val="clear" w:color="auto" w:fill="auto"/>
          </w:tcPr>
          <w:p w14:paraId="052C50F3" w14:textId="77777777" w:rsidR="00491CB3" w:rsidRPr="00E0193B" w:rsidRDefault="00491CB3" w:rsidP="00491CB3">
            <w:pPr>
              <w:spacing w:after="120" w:line="240" w:lineRule="auto"/>
              <w:jc w:val="left"/>
              <w:rPr>
                <w:rFonts w:eastAsia="Calibri"/>
              </w:rPr>
            </w:pPr>
            <w:r w:rsidRPr="00E0193B">
              <w:rPr>
                <w:rFonts w:eastAsia="Calibri"/>
              </w:rPr>
              <w:t>Rodzaj wprowadzonej zmiany w odniesieniu do CID</w:t>
            </w:r>
          </w:p>
        </w:tc>
        <w:tc>
          <w:tcPr>
            <w:tcW w:w="3912" w:type="pct"/>
            <w:gridSpan w:val="2"/>
            <w:shd w:val="clear" w:color="auto" w:fill="auto"/>
          </w:tcPr>
          <w:p w14:paraId="102A2AC2" w14:textId="77777777" w:rsidR="00491CB3" w:rsidRPr="00E0193B" w:rsidRDefault="00491CB3" w:rsidP="00491CB3">
            <w:pPr>
              <w:spacing w:after="120" w:line="240" w:lineRule="auto"/>
              <w:jc w:val="left"/>
              <w:rPr>
                <w:rFonts w:eastAsia="Calibri"/>
              </w:rPr>
            </w:pPr>
            <w:r w:rsidRPr="00E0193B">
              <w:rPr>
                <w:rFonts w:eastAsia="Calibri"/>
              </w:rPr>
              <w:t xml:space="preserve">Przesunięcie terminu realizacji kamienia milowego A51G </w:t>
            </w:r>
            <w:r w:rsidRPr="00E0193B">
              <w:rPr>
                <w:rFonts w:eastAsia="Calibri"/>
                <w:i/>
                <w:iCs/>
              </w:rPr>
              <w:t xml:space="preserve"> </w:t>
            </w:r>
            <w:r w:rsidRPr="00E0193B">
              <w:rPr>
                <w:rFonts w:eastAsia="Calibri"/>
              </w:rPr>
              <w:t xml:space="preserve">i kamienia milowego A52G </w:t>
            </w:r>
          </w:p>
        </w:tc>
      </w:tr>
      <w:tr w:rsidR="00491CB3" w:rsidRPr="00E0193B" w14:paraId="72AAA980" w14:textId="77777777" w:rsidTr="008C1B0D">
        <w:tc>
          <w:tcPr>
            <w:tcW w:w="1088" w:type="pct"/>
            <w:shd w:val="clear" w:color="auto" w:fill="auto"/>
          </w:tcPr>
          <w:p w14:paraId="57B86AC8" w14:textId="77777777" w:rsidR="00491CB3" w:rsidRPr="00E0193B" w:rsidRDefault="00491CB3" w:rsidP="00491CB3">
            <w:pPr>
              <w:spacing w:after="120" w:line="240" w:lineRule="auto"/>
              <w:jc w:val="left"/>
              <w:rPr>
                <w:rFonts w:eastAsia="Calibri"/>
              </w:rPr>
            </w:pPr>
            <w:r w:rsidRPr="00E0193B">
              <w:rPr>
                <w:rFonts w:eastAsia="Calibri"/>
              </w:rPr>
              <w:t>Podstawa prawna zmiany</w:t>
            </w:r>
          </w:p>
        </w:tc>
        <w:tc>
          <w:tcPr>
            <w:tcW w:w="3912" w:type="pct"/>
            <w:gridSpan w:val="2"/>
            <w:shd w:val="clear" w:color="auto" w:fill="auto"/>
          </w:tcPr>
          <w:p w14:paraId="58E56042" w14:textId="77777777" w:rsidR="00491CB3" w:rsidRPr="00E0193B" w:rsidRDefault="00491CB3" w:rsidP="00491CB3">
            <w:pPr>
              <w:spacing w:after="120" w:line="240" w:lineRule="auto"/>
              <w:jc w:val="left"/>
              <w:rPr>
                <w:rFonts w:eastAsia="Calibri"/>
              </w:rPr>
            </w:pPr>
            <w:r w:rsidRPr="00E0193B">
              <w:rPr>
                <w:rFonts w:eastAsia="Calibri"/>
              </w:rPr>
              <w:t>art. 21 rozporządzenia Parlamentu Europejskiego i Rady (UE) 2021/241 z dnia 12 lutego 2021 r. ustanawiające Instrument na rzecz Odbudowy i Zwiększania Odporności</w:t>
            </w:r>
          </w:p>
        </w:tc>
      </w:tr>
      <w:tr w:rsidR="00491CB3" w:rsidRPr="00E0193B" w14:paraId="044E4EAD" w14:textId="77777777" w:rsidTr="00491CB3">
        <w:tc>
          <w:tcPr>
            <w:tcW w:w="1088" w:type="pct"/>
            <w:shd w:val="clear" w:color="auto" w:fill="D9D9D9"/>
          </w:tcPr>
          <w:p w14:paraId="1835986D" w14:textId="77777777" w:rsidR="00491CB3" w:rsidRPr="00E0193B" w:rsidRDefault="00491CB3" w:rsidP="00491CB3">
            <w:pPr>
              <w:spacing w:after="120" w:line="240" w:lineRule="auto"/>
              <w:jc w:val="left"/>
              <w:rPr>
                <w:rFonts w:eastAsia="Calibri"/>
                <w:highlight w:val="lightGray"/>
              </w:rPr>
            </w:pPr>
            <w:r w:rsidRPr="00E0193B">
              <w:rPr>
                <w:rFonts w:eastAsia="Calibri"/>
                <w:highlight w:val="lightGray"/>
              </w:rPr>
              <w:t>Modyfikowany element</w:t>
            </w:r>
          </w:p>
        </w:tc>
        <w:tc>
          <w:tcPr>
            <w:tcW w:w="1897" w:type="pct"/>
            <w:shd w:val="clear" w:color="auto" w:fill="D9D9D9"/>
          </w:tcPr>
          <w:p w14:paraId="5B254A10" w14:textId="77777777" w:rsidR="00491CB3" w:rsidRPr="00E0193B" w:rsidRDefault="00491CB3" w:rsidP="00491CB3">
            <w:pPr>
              <w:spacing w:after="120" w:line="240" w:lineRule="auto"/>
              <w:jc w:val="left"/>
              <w:rPr>
                <w:rFonts w:eastAsia="Calibri"/>
                <w:highlight w:val="lightGray"/>
              </w:rPr>
            </w:pPr>
            <w:r w:rsidRPr="00E0193B">
              <w:rPr>
                <w:rFonts w:eastAsia="Calibri"/>
                <w:highlight w:val="lightGray"/>
              </w:rPr>
              <w:t>Bieżąca wersja</w:t>
            </w:r>
          </w:p>
        </w:tc>
        <w:tc>
          <w:tcPr>
            <w:tcW w:w="2015" w:type="pct"/>
            <w:shd w:val="clear" w:color="auto" w:fill="D9D9D9"/>
          </w:tcPr>
          <w:p w14:paraId="4097380E" w14:textId="77777777" w:rsidR="00491CB3" w:rsidRPr="00E0193B" w:rsidRDefault="00491CB3" w:rsidP="00491CB3">
            <w:pPr>
              <w:spacing w:after="120" w:line="240" w:lineRule="auto"/>
              <w:jc w:val="left"/>
              <w:rPr>
                <w:rFonts w:eastAsia="Calibri"/>
                <w:highlight w:val="lightGray"/>
              </w:rPr>
            </w:pPr>
            <w:r w:rsidRPr="00E0193B">
              <w:rPr>
                <w:rFonts w:eastAsia="Calibri"/>
                <w:highlight w:val="lightGray"/>
              </w:rPr>
              <w:t>Wersja zmieniona</w:t>
            </w:r>
          </w:p>
        </w:tc>
      </w:tr>
      <w:tr w:rsidR="00491CB3" w:rsidRPr="00E0193B" w14:paraId="01A13F3A" w14:textId="77777777" w:rsidTr="008C1B0D">
        <w:tc>
          <w:tcPr>
            <w:tcW w:w="1088" w:type="pct"/>
            <w:vMerge w:val="restart"/>
          </w:tcPr>
          <w:p w14:paraId="4B2CF14E" w14:textId="77777777" w:rsidR="00491CB3" w:rsidRPr="00E0193B" w:rsidRDefault="00491CB3" w:rsidP="00491CB3">
            <w:pPr>
              <w:spacing w:after="0" w:line="240" w:lineRule="auto"/>
              <w:jc w:val="left"/>
              <w:rPr>
                <w:rFonts w:eastAsia="Calibri"/>
              </w:rPr>
            </w:pPr>
            <w:r w:rsidRPr="00E0193B">
              <w:rPr>
                <w:rFonts w:eastAsia="Calibri"/>
              </w:rPr>
              <w:lastRenderedPageBreak/>
              <w:t>Opis komponentu oraz/lub działania (inwestycji/reformy)</w:t>
            </w:r>
          </w:p>
        </w:tc>
        <w:tc>
          <w:tcPr>
            <w:tcW w:w="1897" w:type="pct"/>
          </w:tcPr>
          <w:p w14:paraId="1632087E" w14:textId="77777777" w:rsidR="00491CB3" w:rsidRPr="00E0193B" w:rsidRDefault="00491CB3" w:rsidP="00491CB3">
            <w:pPr>
              <w:spacing w:after="0" w:line="240" w:lineRule="auto"/>
              <w:jc w:val="left"/>
              <w:rPr>
                <w:rFonts w:eastAsia="Calibri"/>
              </w:rPr>
            </w:pPr>
            <w:r w:rsidRPr="00E0193B">
              <w:rPr>
                <w:rFonts w:eastAsia="Calibri"/>
              </w:rPr>
              <w:t>A51G Wejście w życie nowej ustawy o publicznych służbach zatrudnienia, ustawy o zatrudnianiu obywateli państw trzecich oraz ustawy o zawieraniu niektórych umów o pracę w sposób elektroniczny: – wprowadzanie zmian w publicznych służbach zatrudnienia i aktywnej polityce rynku pracy w celu zwiększenia aktywności zawodowej – zmniejszanie barier administracyjnych przy zatrudnianiu cudzoziemców – upraszczanie procesu zawierania niektórych umów</w:t>
            </w:r>
          </w:p>
          <w:p w14:paraId="187C845F" w14:textId="77777777" w:rsidR="00491CB3" w:rsidRPr="00E0193B" w:rsidRDefault="00491CB3" w:rsidP="00491CB3">
            <w:pPr>
              <w:spacing w:after="0" w:line="240" w:lineRule="auto"/>
              <w:jc w:val="left"/>
              <w:rPr>
                <w:rFonts w:eastAsia="Calibri"/>
              </w:rPr>
            </w:pPr>
          </w:p>
          <w:p w14:paraId="7BEEE5A2" w14:textId="77777777" w:rsidR="00491CB3" w:rsidRPr="00E0193B" w:rsidRDefault="00491CB3" w:rsidP="00491CB3">
            <w:pPr>
              <w:spacing w:after="0" w:line="240" w:lineRule="auto"/>
              <w:jc w:val="left"/>
              <w:rPr>
                <w:rFonts w:eastAsia="Calibri"/>
              </w:rPr>
            </w:pPr>
            <w:r w:rsidRPr="00E0193B">
              <w:rPr>
                <w:rFonts w:eastAsia="Calibri"/>
              </w:rPr>
              <w:t xml:space="preserve">Termin realizacji: IV kw. 2022r. </w:t>
            </w:r>
          </w:p>
        </w:tc>
        <w:tc>
          <w:tcPr>
            <w:tcW w:w="2015" w:type="pct"/>
          </w:tcPr>
          <w:p w14:paraId="16EC6FBD" w14:textId="77777777" w:rsidR="00491CB3" w:rsidRPr="00E0193B" w:rsidRDefault="00491CB3" w:rsidP="00491CB3">
            <w:pPr>
              <w:spacing w:after="0" w:line="240" w:lineRule="auto"/>
              <w:jc w:val="left"/>
              <w:rPr>
                <w:rFonts w:eastAsia="Calibri"/>
              </w:rPr>
            </w:pPr>
            <w:r w:rsidRPr="00E0193B">
              <w:rPr>
                <w:rFonts w:eastAsia="Calibri"/>
              </w:rPr>
              <w:t>A51G Wejście w życie nowej ustawy o publicznych służbach zatrudnienia, ustawy o zatrudnianiu obywateli państw trzecich oraz ustawy o zawieraniu niektórych umów o pracę w sposób elektroniczny: – wprowadzanie zmian w publicznych służbach zatrudnienia i aktywnej polityce rynku pracy w celu zwiększenia aktywności zawodowej – zmniejszanie barier administracyjnych przy zatrudnianiu cudzoziemców – upraszczanie procesu zawierania niektórych umów</w:t>
            </w:r>
          </w:p>
          <w:p w14:paraId="0787711E" w14:textId="77777777" w:rsidR="00491CB3" w:rsidRPr="00E0193B" w:rsidRDefault="00491CB3" w:rsidP="00491CB3">
            <w:pPr>
              <w:spacing w:after="0" w:line="240" w:lineRule="auto"/>
              <w:jc w:val="left"/>
              <w:rPr>
                <w:rFonts w:eastAsia="Calibri"/>
              </w:rPr>
            </w:pPr>
          </w:p>
          <w:p w14:paraId="3409BD5E" w14:textId="77777777" w:rsidR="00491CB3" w:rsidRPr="00E0193B" w:rsidRDefault="00491CB3" w:rsidP="00491CB3">
            <w:pPr>
              <w:spacing w:after="0" w:line="240" w:lineRule="auto"/>
              <w:jc w:val="left"/>
              <w:rPr>
                <w:rFonts w:eastAsia="Calibri"/>
              </w:rPr>
            </w:pPr>
          </w:p>
          <w:p w14:paraId="74B2923E" w14:textId="13DA3DAF" w:rsidR="00491CB3" w:rsidRPr="00E0193B" w:rsidRDefault="00491CB3" w:rsidP="00491CB3">
            <w:pPr>
              <w:spacing w:after="0" w:line="240" w:lineRule="auto"/>
              <w:jc w:val="left"/>
              <w:rPr>
                <w:rFonts w:eastAsia="Calibri"/>
              </w:rPr>
            </w:pPr>
            <w:r w:rsidRPr="00E0193B">
              <w:rPr>
                <w:rFonts w:eastAsia="Calibri"/>
              </w:rPr>
              <w:t xml:space="preserve">Termin realizacji: </w:t>
            </w:r>
            <w:r w:rsidR="0018134F" w:rsidRPr="00E0193B">
              <w:rPr>
                <w:rFonts w:eastAsia="Calibri"/>
                <w:color w:val="FF0000"/>
              </w:rPr>
              <w:t>IV</w:t>
            </w:r>
            <w:r w:rsidR="00640085" w:rsidRPr="00E0193B">
              <w:rPr>
                <w:rFonts w:eastAsia="Calibri"/>
                <w:color w:val="FF0000"/>
              </w:rPr>
              <w:t xml:space="preserve"> </w:t>
            </w:r>
            <w:r w:rsidRPr="00E0193B">
              <w:rPr>
                <w:rFonts w:eastAsia="Calibri"/>
                <w:color w:val="FF0000"/>
              </w:rPr>
              <w:t>kw. 2024r.</w:t>
            </w:r>
          </w:p>
        </w:tc>
      </w:tr>
      <w:tr w:rsidR="00491CB3" w:rsidRPr="00E0193B" w14:paraId="07A55A92" w14:textId="77777777" w:rsidTr="008C1B0D">
        <w:tc>
          <w:tcPr>
            <w:tcW w:w="1088" w:type="pct"/>
            <w:vMerge/>
          </w:tcPr>
          <w:p w14:paraId="22033A5C" w14:textId="77777777" w:rsidR="00491CB3" w:rsidRPr="00E0193B" w:rsidRDefault="00491CB3" w:rsidP="00491CB3">
            <w:pPr>
              <w:spacing w:after="120" w:line="240" w:lineRule="auto"/>
              <w:jc w:val="left"/>
              <w:rPr>
                <w:rFonts w:eastAsia="Calibri"/>
              </w:rPr>
            </w:pPr>
          </w:p>
        </w:tc>
        <w:tc>
          <w:tcPr>
            <w:tcW w:w="1897" w:type="pct"/>
          </w:tcPr>
          <w:p w14:paraId="70E2AE4B" w14:textId="77777777" w:rsidR="00491CB3" w:rsidRPr="00E0193B" w:rsidRDefault="00491CB3" w:rsidP="00491CB3">
            <w:pPr>
              <w:spacing w:after="0" w:line="240" w:lineRule="auto"/>
              <w:jc w:val="left"/>
              <w:rPr>
                <w:rFonts w:eastAsia="Calibri"/>
              </w:rPr>
            </w:pPr>
            <w:r w:rsidRPr="00E0193B">
              <w:rPr>
                <w:rFonts w:eastAsia="Calibri"/>
              </w:rPr>
              <w:t>A52G Nowe normy i ramy wykonania w</w:t>
            </w:r>
          </w:p>
          <w:p w14:paraId="4345548A" w14:textId="77777777" w:rsidR="00491CB3" w:rsidRPr="00E0193B" w:rsidRDefault="00491CB3" w:rsidP="00491CB3">
            <w:pPr>
              <w:spacing w:after="0" w:line="240" w:lineRule="auto"/>
              <w:jc w:val="left"/>
              <w:rPr>
                <w:rFonts w:eastAsia="Calibri"/>
              </w:rPr>
            </w:pPr>
            <w:r w:rsidRPr="00E0193B">
              <w:rPr>
                <w:rFonts w:eastAsia="Calibri"/>
              </w:rPr>
              <w:t>zakresie funkcjonowania i</w:t>
            </w:r>
          </w:p>
          <w:p w14:paraId="55C919E8" w14:textId="77777777" w:rsidR="00491CB3" w:rsidRPr="00E0193B" w:rsidRDefault="00491CB3" w:rsidP="00491CB3">
            <w:pPr>
              <w:spacing w:after="0" w:line="240" w:lineRule="auto"/>
              <w:jc w:val="left"/>
              <w:rPr>
                <w:rFonts w:eastAsia="Calibri"/>
              </w:rPr>
            </w:pPr>
            <w:r w:rsidRPr="00E0193B">
              <w:rPr>
                <w:rFonts w:eastAsia="Calibri"/>
              </w:rPr>
              <w:t>koordynacji publicznych służb</w:t>
            </w:r>
          </w:p>
          <w:p w14:paraId="1EF3C914" w14:textId="77777777" w:rsidR="00491CB3" w:rsidRPr="00E0193B" w:rsidRDefault="00491CB3" w:rsidP="00491CB3">
            <w:pPr>
              <w:spacing w:after="0" w:line="240" w:lineRule="auto"/>
              <w:jc w:val="left"/>
              <w:rPr>
                <w:rFonts w:eastAsia="Calibri"/>
              </w:rPr>
            </w:pPr>
            <w:r w:rsidRPr="00E0193B">
              <w:rPr>
                <w:rFonts w:eastAsia="Calibri"/>
              </w:rPr>
              <w:t>zatrudnienia</w:t>
            </w:r>
            <w:r w:rsidRPr="00E0193B">
              <w:rPr>
                <w:rFonts w:eastAsia="Calibri"/>
              </w:rPr>
              <w:br/>
            </w:r>
          </w:p>
          <w:p w14:paraId="0975B80B" w14:textId="77777777" w:rsidR="00491CB3" w:rsidRPr="00E0193B" w:rsidRDefault="00491CB3" w:rsidP="00491CB3">
            <w:pPr>
              <w:spacing w:after="0" w:line="240" w:lineRule="auto"/>
              <w:jc w:val="left"/>
              <w:rPr>
                <w:rFonts w:eastAsia="Calibri"/>
              </w:rPr>
            </w:pPr>
            <w:r w:rsidRPr="00E0193B">
              <w:rPr>
                <w:rFonts w:eastAsia="Calibri"/>
              </w:rPr>
              <w:t>Termin realizacji: IV kw. 2023r.</w:t>
            </w:r>
          </w:p>
        </w:tc>
        <w:tc>
          <w:tcPr>
            <w:tcW w:w="2015" w:type="pct"/>
          </w:tcPr>
          <w:p w14:paraId="0422452F" w14:textId="77777777" w:rsidR="00491CB3" w:rsidRPr="00E0193B" w:rsidRDefault="00491CB3" w:rsidP="00491CB3">
            <w:pPr>
              <w:spacing w:after="0" w:line="240" w:lineRule="auto"/>
              <w:jc w:val="left"/>
              <w:rPr>
                <w:rFonts w:eastAsia="Calibri"/>
              </w:rPr>
            </w:pPr>
            <w:r w:rsidRPr="00E0193B">
              <w:rPr>
                <w:rFonts w:eastAsia="Calibri"/>
              </w:rPr>
              <w:t>A52G Nowe normy i ramy wykonania w</w:t>
            </w:r>
          </w:p>
          <w:p w14:paraId="31C4BE9E" w14:textId="77777777" w:rsidR="00491CB3" w:rsidRPr="00E0193B" w:rsidRDefault="00491CB3" w:rsidP="00491CB3">
            <w:pPr>
              <w:spacing w:after="0" w:line="240" w:lineRule="auto"/>
              <w:jc w:val="left"/>
              <w:rPr>
                <w:rFonts w:eastAsia="Calibri"/>
              </w:rPr>
            </w:pPr>
            <w:r w:rsidRPr="00E0193B">
              <w:rPr>
                <w:rFonts w:eastAsia="Calibri"/>
              </w:rPr>
              <w:t>zakresie funkcjonowania i</w:t>
            </w:r>
          </w:p>
          <w:p w14:paraId="63D1831F" w14:textId="77777777" w:rsidR="00491CB3" w:rsidRPr="00E0193B" w:rsidRDefault="00491CB3" w:rsidP="00491CB3">
            <w:pPr>
              <w:spacing w:after="0" w:line="240" w:lineRule="auto"/>
              <w:jc w:val="left"/>
              <w:rPr>
                <w:rFonts w:eastAsia="Calibri"/>
              </w:rPr>
            </w:pPr>
            <w:r w:rsidRPr="00E0193B">
              <w:rPr>
                <w:rFonts w:eastAsia="Calibri"/>
              </w:rPr>
              <w:t>koordynacji publicznych służb</w:t>
            </w:r>
          </w:p>
          <w:p w14:paraId="77A0204A" w14:textId="77777777" w:rsidR="00491CB3" w:rsidRPr="00E0193B" w:rsidRDefault="00491CB3" w:rsidP="00491CB3">
            <w:pPr>
              <w:spacing w:after="0" w:line="240" w:lineRule="auto"/>
              <w:jc w:val="left"/>
              <w:rPr>
                <w:rFonts w:eastAsia="Calibri"/>
              </w:rPr>
            </w:pPr>
            <w:r w:rsidRPr="00E0193B">
              <w:rPr>
                <w:rFonts w:eastAsia="Calibri"/>
              </w:rPr>
              <w:t>zatrudnienia</w:t>
            </w:r>
            <w:r w:rsidRPr="00E0193B">
              <w:rPr>
                <w:rFonts w:eastAsia="Calibri"/>
              </w:rPr>
              <w:br/>
            </w:r>
          </w:p>
          <w:p w14:paraId="5503A387" w14:textId="77777777" w:rsidR="00491CB3" w:rsidRPr="00E0193B" w:rsidRDefault="00491CB3" w:rsidP="00491CB3">
            <w:pPr>
              <w:spacing w:after="0" w:line="240" w:lineRule="auto"/>
              <w:jc w:val="left"/>
              <w:rPr>
                <w:rFonts w:eastAsia="Calibri"/>
              </w:rPr>
            </w:pPr>
            <w:r w:rsidRPr="00E0193B">
              <w:rPr>
                <w:rFonts w:eastAsia="Calibri"/>
              </w:rPr>
              <w:t>Termin realizacji:</w:t>
            </w:r>
            <w:r w:rsidRPr="00E0193B">
              <w:rPr>
                <w:rFonts w:eastAsia="Calibri"/>
                <w:color w:val="FF0000"/>
              </w:rPr>
              <w:t xml:space="preserve"> II kw. 2025r.</w:t>
            </w:r>
          </w:p>
        </w:tc>
      </w:tr>
      <w:tr w:rsidR="00491CB3" w:rsidRPr="00935797" w14:paraId="3AC30CC5" w14:textId="77777777" w:rsidTr="008C1B0D">
        <w:tc>
          <w:tcPr>
            <w:tcW w:w="1088" w:type="pct"/>
          </w:tcPr>
          <w:p w14:paraId="6D90556C" w14:textId="77777777" w:rsidR="00491CB3" w:rsidRPr="00E0193B" w:rsidRDefault="00491CB3" w:rsidP="00491CB3">
            <w:pPr>
              <w:spacing w:after="120" w:line="240" w:lineRule="auto"/>
              <w:jc w:val="left"/>
              <w:rPr>
                <w:rFonts w:eastAsia="Calibri"/>
              </w:rPr>
            </w:pPr>
          </w:p>
        </w:tc>
        <w:tc>
          <w:tcPr>
            <w:tcW w:w="1897" w:type="pct"/>
          </w:tcPr>
          <w:p w14:paraId="552A0DE3" w14:textId="77777777" w:rsidR="00491CB3" w:rsidRPr="00E0193B" w:rsidRDefault="00491CB3" w:rsidP="00491CB3">
            <w:pPr>
              <w:spacing w:after="0" w:line="240" w:lineRule="auto"/>
              <w:jc w:val="left"/>
              <w:rPr>
                <w:rFonts w:eastAsia="Calibri"/>
                <w:lang w:val="en-US"/>
              </w:rPr>
            </w:pPr>
            <w:r w:rsidRPr="00E0193B">
              <w:rPr>
                <w:rFonts w:eastAsia="Calibri"/>
                <w:lang w:val="en-US"/>
              </w:rPr>
              <w:t>A51G Entry into force of new laws on public employment services,</w:t>
            </w:r>
          </w:p>
          <w:p w14:paraId="4963AED5" w14:textId="77777777" w:rsidR="00491CB3" w:rsidRPr="00E0193B" w:rsidRDefault="00491CB3" w:rsidP="00491CB3">
            <w:pPr>
              <w:spacing w:after="0" w:line="240" w:lineRule="auto"/>
              <w:jc w:val="left"/>
              <w:rPr>
                <w:rFonts w:eastAsia="Calibri"/>
                <w:lang w:val="en-US"/>
              </w:rPr>
            </w:pPr>
            <w:r w:rsidRPr="00E0193B">
              <w:rPr>
                <w:rFonts w:eastAsia="Calibri"/>
                <w:lang w:val="en-US"/>
              </w:rPr>
              <w:t>employment of third country nationals, and on an electronic conclusion of certain job contracts: - introducing changes to public employment services and active labour market policies to increase labour force participation - lowering the administrative barriers to employment of foreigners - simplifying the process of concluding certain contracts</w:t>
            </w:r>
          </w:p>
          <w:p w14:paraId="1036F467" w14:textId="77777777" w:rsidR="00491CB3" w:rsidRPr="00E0193B" w:rsidRDefault="00491CB3" w:rsidP="00491CB3">
            <w:pPr>
              <w:spacing w:after="0" w:line="240" w:lineRule="auto"/>
              <w:jc w:val="left"/>
              <w:rPr>
                <w:rFonts w:eastAsia="Calibri"/>
                <w:lang w:val="en-US"/>
              </w:rPr>
            </w:pPr>
          </w:p>
          <w:p w14:paraId="274AD0C9" w14:textId="77777777" w:rsidR="00491CB3" w:rsidRPr="00E0193B" w:rsidRDefault="00491CB3" w:rsidP="00491CB3">
            <w:pPr>
              <w:spacing w:after="0" w:line="240" w:lineRule="auto"/>
              <w:jc w:val="left"/>
              <w:rPr>
                <w:rFonts w:eastAsia="Calibri"/>
                <w:lang w:val="en-US"/>
              </w:rPr>
            </w:pPr>
            <w:r w:rsidRPr="00E0193B">
              <w:rPr>
                <w:rFonts w:eastAsia="Calibri"/>
                <w:lang w:val="en-US"/>
              </w:rPr>
              <w:t>Indicative timeline</w:t>
            </w:r>
          </w:p>
          <w:p w14:paraId="7C387FCA" w14:textId="77777777" w:rsidR="00491CB3" w:rsidRPr="00E0193B" w:rsidRDefault="00491CB3" w:rsidP="00491CB3">
            <w:pPr>
              <w:spacing w:after="0" w:line="240" w:lineRule="auto"/>
              <w:jc w:val="left"/>
              <w:rPr>
                <w:rFonts w:eastAsia="Calibri"/>
                <w:lang w:val="en-US"/>
              </w:rPr>
            </w:pPr>
            <w:r w:rsidRPr="00E0193B">
              <w:rPr>
                <w:rFonts w:eastAsia="Calibri"/>
                <w:lang w:val="en-US"/>
              </w:rPr>
              <w:t>for completion: Q4 2022</w:t>
            </w:r>
          </w:p>
          <w:p w14:paraId="1E8B613F" w14:textId="77777777" w:rsidR="00491CB3" w:rsidRPr="00E0193B" w:rsidRDefault="00491CB3" w:rsidP="00491CB3">
            <w:pPr>
              <w:spacing w:after="0" w:line="240" w:lineRule="auto"/>
              <w:jc w:val="left"/>
              <w:rPr>
                <w:rFonts w:eastAsia="Calibri"/>
                <w:lang w:val="en-US"/>
              </w:rPr>
            </w:pPr>
          </w:p>
          <w:p w14:paraId="641E60E9" w14:textId="77777777" w:rsidR="00491CB3" w:rsidRPr="00E0193B" w:rsidRDefault="00491CB3" w:rsidP="00491CB3">
            <w:pPr>
              <w:spacing w:after="0" w:line="240" w:lineRule="auto"/>
              <w:jc w:val="left"/>
              <w:rPr>
                <w:rFonts w:eastAsia="Calibri"/>
                <w:lang w:val="en-US"/>
              </w:rPr>
            </w:pPr>
            <w:r w:rsidRPr="00E0193B">
              <w:rPr>
                <w:rFonts w:eastAsia="Calibri"/>
                <w:lang w:val="en-US"/>
              </w:rPr>
              <w:t>A52G New standards and performance framework on functioning and coordination of the Public Employment Services</w:t>
            </w:r>
          </w:p>
          <w:p w14:paraId="7C78BF3B" w14:textId="77777777" w:rsidR="00491CB3" w:rsidRPr="00E0193B" w:rsidRDefault="00491CB3" w:rsidP="00491CB3">
            <w:pPr>
              <w:spacing w:after="0" w:line="240" w:lineRule="auto"/>
              <w:jc w:val="left"/>
              <w:rPr>
                <w:rFonts w:eastAsia="Calibri"/>
                <w:lang w:val="en-US"/>
              </w:rPr>
            </w:pPr>
          </w:p>
          <w:p w14:paraId="3F4D2C8D" w14:textId="77777777" w:rsidR="00491CB3" w:rsidRPr="00E0193B" w:rsidRDefault="00491CB3" w:rsidP="00491CB3">
            <w:pPr>
              <w:spacing w:after="0" w:line="240" w:lineRule="auto"/>
              <w:jc w:val="left"/>
              <w:rPr>
                <w:rFonts w:eastAsia="Calibri"/>
                <w:lang w:val="en-US"/>
              </w:rPr>
            </w:pPr>
            <w:r w:rsidRPr="00E0193B">
              <w:rPr>
                <w:rFonts w:eastAsia="Calibri"/>
                <w:lang w:val="en-US"/>
              </w:rPr>
              <w:t>Indicative timeline</w:t>
            </w:r>
          </w:p>
          <w:p w14:paraId="0EB2E947" w14:textId="77777777" w:rsidR="00491CB3" w:rsidRPr="00E0193B" w:rsidRDefault="00491CB3" w:rsidP="00491CB3">
            <w:pPr>
              <w:spacing w:after="0" w:line="240" w:lineRule="auto"/>
              <w:jc w:val="left"/>
              <w:rPr>
                <w:rFonts w:eastAsia="Calibri"/>
                <w:lang w:val="en-US"/>
              </w:rPr>
            </w:pPr>
            <w:r w:rsidRPr="00E0193B">
              <w:rPr>
                <w:rFonts w:eastAsia="Calibri"/>
                <w:lang w:val="en-US"/>
              </w:rPr>
              <w:t>for completion: Q4 2023</w:t>
            </w:r>
          </w:p>
          <w:p w14:paraId="00AC0A49" w14:textId="77777777" w:rsidR="00491CB3" w:rsidRPr="00E0193B" w:rsidRDefault="00491CB3" w:rsidP="00491CB3">
            <w:pPr>
              <w:spacing w:after="0" w:line="240" w:lineRule="auto"/>
              <w:jc w:val="left"/>
              <w:rPr>
                <w:rFonts w:eastAsia="Calibri"/>
                <w:lang w:val="en-US"/>
              </w:rPr>
            </w:pPr>
          </w:p>
        </w:tc>
        <w:tc>
          <w:tcPr>
            <w:tcW w:w="2015" w:type="pct"/>
          </w:tcPr>
          <w:p w14:paraId="63133C8D" w14:textId="77777777" w:rsidR="00491CB3" w:rsidRPr="00E0193B" w:rsidRDefault="00491CB3" w:rsidP="00491CB3">
            <w:pPr>
              <w:spacing w:after="0" w:line="240" w:lineRule="auto"/>
              <w:jc w:val="left"/>
              <w:rPr>
                <w:rFonts w:eastAsia="Calibri"/>
                <w:lang w:val="en-US"/>
              </w:rPr>
            </w:pPr>
            <w:r w:rsidRPr="00E0193B">
              <w:rPr>
                <w:rFonts w:eastAsia="Calibri"/>
                <w:lang w:val="en-US"/>
              </w:rPr>
              <w:t>A51G Entry into force of new laws on public employment services,</w:t>
            </w:r>
          </w:p>
          <w:p w14:paraId="7406E99A" w14:textId="77777777" w:rsidR="00491CB3" w:rsidRPr="00E0193B" w:rsidRDefault="00491CB3" w:rsidP="00491CB3">
            <w:pPr>
              <w:spacing w:after="0" w:line="240" w:lineRule="auto"/>
              <w:jc w:val="left"/>
              <w:rPr>
                <w:rFonts w:eastAsia="Calibri"/>
                <w:lang w:val="en-US"/>
              </w:rPr>
            </w:pPr>
            <w:r w:rsidRPr="00E0193B">
              <w:rPr>
                <w:rFonts w:eastAsia="Calibri"/>
                <w:lang w:val="en-US"/>
              </w:rPr>
              <w:t>employment of third country nationals, and on an electronic conclusion of certain job contracts: - introducing changes to public employment services and active labour market policies to increase labour force participation - lowering the administrative barriers to employment of foreigners - simplifying the process of concluding certain contracts</w:t>
            </w:r>
          </w:p>
          <w:p w14:paraId="483CB254" w14:textId="77777777" w:rsidR="00491CB3" w:rsidRPr="00E0193B" w:rsidRDefault="00491CB3" w:rsidP="00491CB3">
            <w:pPr>
              <w:spacing w:after="0" w:line="240" w:lineRule="auto"/>
              <w:jc w:val="left"/>
              <w:rPr>
                <w:rFonts w:eastAsia="Calibri"/>
                <w:lang w:val="en-US"/>
              </w:rPr>
            </w:pPr>
          </w:p>
          <w:p w14:paraId="5B92243E" w14:textId="77777777" w:rsidR="00491CB3" w:rsidRPr="00E0193B" w:rsidRDefault="00491CB3" w:rsidP="00491CB3">
            <w:pPr>
              <w:spacing w:after="0" w:line="240" w:lineRule="auto"/>
              <w:jc w:val="left"/>
              <w:rPr>
                <w:rFonts w:eastAsia="Calibri"/>
                <w:lang w:val="en-US"/>
              </w:rPr>
            </w:pPr>
            <w:r w:rsidRPr="00E0193B">
              <w:rPr>
                <w:rFonts w:eastAsia="Calibri"/>
                <w:lang w:val="en-US"/>
              </w:rPr>
              <w:t>Indicative timeline</w:t>
            </w:r>
          </w:p>
          <w:p w14:paraId="108555AA" w14:textId="78B81766" w:rsidR="00491CB3" w:rsidRPr="00E0193B" w:rsidRDefault="00491CB3" w:rsidP="00491CB3">
            <w:pPr>
              <w:spacing w:after="0" w:line="240" w:lineRule="auto"/>
              <w:jc w:val="left"/>
              <w:rPr>
                <w:rFonts w:eastAsia="Calibri"/>
                <w:lang w:val="en-US"/>
              </w:rPr>
            </w:pPr>
            <w:r w:rsidRPr="00E0193B">
              <w:rPr>
                <w:rFonts w:eastAsia="Calibri"/>
                <w:lang w:val="en-US"/>
              </w:rPr>
              <w:t xml:space="preserve">for completion: </w:t>
            </w:r>
            <w:r w:rsidR="00640085" w:rsidRPr="00E0193B">
              <w:rPr>
                <w:rFonts w:eastAsia="Calibri"/>
                <w:color w:val="FF0000"/>
                <w:lang w:val="en-US"/>
              </w:rPr>
              <w:t>Q</w:t>
            </w:r>
            <w:r w:rsidR="0018134F" w:rsidRPr="00E0193B">
              <w:rPr>
                <w:rFonts w:eastAsia="Calibri"/>
                <w:color w:val="FF0000"/>
                <w:lang w:val="en-US"/>
              </w:rPr>
              <w:t>4</w:t>
            </w:r>
            <w:r w:rsidR="00640085" w:rsidRPr="00E0193B">
              <w:rPr>
                <w:rFonts w:eastAsia="Calibri"/>
                <w:color w:val="FF0000"/>
                <w:lang w:val="en-US"/>
              </w:rPr>
              <w:t xml:space="preserve"> </w:t>
            </w:r>
            <w:r w:rsidRPr="00E0193B">
              <w:rPr>
                <w:rFonts w:eastAsia="Calibri"/>
                <w:color w:val="FF0000"/>
                <w:lang w:val="en-US"/>
              </w:rPr>
              <w:t>2024</w:t>
            </w:r>
          </w:p>
          <w:p w14:paraId="663406E3" w14:textId="77777777" w:rsidR="00491CB3" w:rsidRPr="00E0193B" w:rsidRDefault="00491CB3" w:rsidP="00491CB3">
            <w:pPr>
              <w:spacing w:after="0" w:line="240" w:lineRule="auto"/>
              <w:jc w:val="left"/>
              <w:rPr>
                <w:rFonts w:eastAsia="Calibri"/>
                <w:lang w:val="en-US"/>
              </w:rPr>
            </w:pPr>
          </w:p>
          <w:p w14:paraId="74F93224" w14:textId="77777777" w:rsidR="00491CB3" w:rsidRPr="00E0193B" w:rsidRDefault="00491CB3" w:rsidP="00491CB3">
            <w:pPr>
              <w:spacing w:after="0" w:line="240" w:lineRule="auto"/>
              <w:jc w:val="left"/>
              <w:rPr>
                <w:rFonts w:eastAsia="Calibri"/>
                <w:lang w:val="en-US"/>
              </w:rPr>
            </w:pPr>
            <w:r w:rsidRPr="00E0193B">
              <w:rPr>
                <w:rFonts w:eastAsia="Calibri"/>
                <w:lang w:val="en-US"/>
              </w:rPr>
              <w:t>A52G New standards and performance framework on functioning and coordination of the Public Employment Services</w:t>
            </w:r>
          </w:p>
          <w:p w14:paraId="17057CB3" w14:textId="77777777" w:rsidR="00491CB3" w:rsidRPr="00E0193B" w:rsidRDefault="00491CB3" w:rsidP="00491CB3">
            <w:pPr>
              <w:spacing w:after="0" w:line="240" w:lineRule="auto"/>
              <w:jc w:val="left"/>
              <w:rPr>
                <w:rFonts w:eastAsia="Calibri"/>
                <w:lang w:val="en-US"/>
              </w:rPr>
            </w:pPr>
          </w:p>
          <w:p w14:paraId="7E7E7F63" w14:textId="77777777" w:rsidR="00491CB3" w:rsidRPr="00E0193B" w:rsidRDefault="00491CB3" w:rsidP="00491CB3">
            <w:pPr>
              <w:spacing w:after="0" w:line="240" w:lineRule="auto"/>
              <w:jc w:val="left"/>
              <w:rPr>
                <w:rFonts w:eastAsia="Calibri"/>
                <w:lang w:val="en-US"/>
              </w:rPr>
            </w:pPr>
          </w:p>
          <w:p w14:paraId="55E9FF9C" w14:textId="77777777" w:rsidR="00491CB3" w:rsidRPr="00E0193B" w:rsidRDefault="00491CB3" w:rsidP="00491CB3">
            <w:pPr>
              <w:spacing w:after="0" w:line="240" w:lineRule="auto"/>
              <w:jc w:val="left"/>
              <w:rPr>
                <w:rFonts w:eastAsia="Calibri"/>
                <w:lang w:val="en-US"/>
              </w:rPr>
            </w:pPr>
            <w:r w:rsidRPr="00E0193B">
              <w:rPr>
                <w:rFonts w:eastAsia="Calibri"/>
                <w:lang w:val="en-US"/>
              </w:rPr>
              <w:t>Indicative timeline</w:t>
            </w:r>
          </w:p>
          <w:p w14:paraId="0CFFED40" w14:textId="77777777" w:rsidR="00491CB3" w:rsidRPr="00E0193B" w:rsidRDefault="00491CB3" w:rsidP="00491CB3">
            <w:pPr>
              <w:spacing w:after="0" w:line="240" w:lineRule="auto"/>
              <w:jc w:val="left"/>
              <w:rPr>
                <w:rFonts w:eastAsia="Calibri"/>
                <w:lang w:val="en-US"/>
              </w:rPr>
            </w:pPr>
            <w:r w:rsidRPr="00E0193B">
              <w:rPr>
                <w:rFonts w:eastAsia="Calibri"/>
                <w:lang w:val="en-US"/>
              </w:rPr>
              <w:t xml:space="preserve">for completion: </w:t>
            </w:r>
            <w:r w:rsidRPr="00E0193B">
              <w:rPr>
                <w:rFonts w:eastAsia="Calibri"/>
                <w:color w:val="FF0000"/>
                <w:lang w:val="en-US"/>
              </w:rPr>
              <w:t>Q2 2025</w:t>
            </w:r>
          </w:p>
          <w:p w14:paraId="513D611A" w14:textId="77777777" w:rsidR="00491CB3" w:rsidRPr="00E0193B" w:rsidRDefault="00491CB3" w:rsidP="00491CB3">
            <w:pPr>
              <w:spacing w:after="0" w:line="240" w:lineRule="auto"/>
              <w:jc w:val="left"/>
              <w:rPr>
                <w:rFonts w:eastAsia="Calibri"/>
                <w:lang w:val="en-US"/>
              </w:rPr>
            </w:pPr>
          </w:p>
        </w:tc>
      </w:tr>
      <w:tr w:rsidR="00491CB3" w:rsidRPr="00E0193B" w14:paraId="44DEBA79" w14:textId="77777777" w:rsidTr="008C1B0D">
        <w:tc>
          <w:tcPr>
            <w:tcW w:w="1088" w:type="pct"/>
          </w:tcPr>
          <w:p w14:paraId="67CDB1BD" w14:textId="77777777" w:rsidR="00491CB3" w:rsidRPr="00E0193B" w:rsidRDefault="00491CB3" w:rsidP="00491CB3">
            <w:pPr>
              <w:spacing w:after="120" w:line="240" w:lineRule="auto"/>
              <w:jc w:val="left"/>
              <w:rPr>
                <w:rFonts w:eastAsia="Calibri"/>
              </w:rPr>
            </w:pPr>
            <w:r w:rsidRPr="00E0193B">
              <w:rPr>
                <w:rFonts w:eastAsia="Calibri"/>
              </w:rPr>
              <w:t>Uzasadnienie</w:t>
            </w:r>
          </w:p>
        </w:tc>
        <w:tc>
          <w:tcPr>
            <w:tcW w:w="3912" w:type="pct"/>
            <w:gridSpan w:val="2"/>
          </w:tcPr>
          <w:p w14:paraId="0760FF91" w14:textId="50A3F0D5" w:rsidR="0060154B" w:rsidRPr="00E0193B" w:rsidRDefault="0060154B" w:rsidP="001F0DFD">
            <w:bookmarkStart w:id="31" w:name="_Hlk164692151"/>
            <w:r w:rsidRPr="00E0193B">
              <w:rPr>
                <w:rFonts w:eastAsia="Calibri"/>
              </w:rPr>
              <w:t>Ze względu na zakończenie prac poprzedniej kadencji Parlamentu nie udało się przyjąć w 2023 r. ustawy o publicznych służbach zatrudnienia i ustawy o zatrudnianiu obywateli państw trzecich, które zatrzymały się na etapie Komitetu Stałego Rady Ministrów. Aby kontynuować prace nad tymi ustawami konieczne jest ponowne rozpoczęcie procesu legislacyjnego</w:t>
            </w:r>
            <w:r w:rsidRPr="00E0193B">
              <w:t xml:space="preserve"> i przejściewszystkich wymaganych etapów takich jak</w:t>
            </w:r>
            <w:r w:rsidR="001F0DFD" w:rsidRPr="00E0193B">
              <w:t>:</w:t>
            </w:r>
            <w:r w:rsidRPr="00E0193B">
              <w:t xml:space="preserve"> uzyskanie wpisu do wykazu prac Rady Ministrów, uzgodnienia, konsultacje i opiniowanie (związkami zawodowe i  Komisja Wspólna Rządu i Samorządu otrzymają projekt na 30 dni). Projekty ustaw następnie  musi przejść etapprac parlamentarnych. Natomiast po wejściu w życie ustaw, które planowane jest na 1 stycznia 2025 r. konieczne jest wydanie aktów wykonawczych do ustaw. </w:t>
            </w:r>
            <w:r w:rsidRPr="00E0193B">
              <w:rPr>
                <w:rFonts w:eastAsia="Calibri"/>
              </w:rPr>
              <w:t>W związku z tym niezbędne jest wydłużenie okresu realizacji dla kamienia milowego A51G by możliwe było przyjęcie ww. ustaw. Ponadto, w ustawie dotyczącej zatrudniania cudzoziemców konieczne jest wypracowanie nowych uszczelniających przepisów w zakresie przyjmowania cudzoziemców.</w:t>
            </w:r>
          </w:p>
          <w:bookmarkEnd w:id="31"/>
          <w:p w14:paraId="695796C4" w14:textId="77777777" w:rsidR="00491CB3" w:rsidRPr="00E0193B" w:rsidRDefault="00491CB3" w:rsidP="001F0DFD">
            <w:pPr>
              <w:spacing w:after="120" w:line="240" w:lineRule="auto"/>
            </w:pPr>
            <w:r w:rsidRPr="00E0193B">
              <w:t>Realizacja kamienia milowego A52G jest ściśle związana z realizacją kamienia milowego A51G. Kamień milowy A52G dotyczy opracowania nowych standardów efektywności i ram zarządzania realizacją celów. Standardy te mają zawierać m.in. nowy system zarządzania realizacją celów dla publicznych służb zatrudnienia, nowe metody pracy i standardy koordynacji publicznych służb zatrudnienia. Standardy i ramy zarządzania mają bezpośrednio wynikać z przyjętych ustaw i dokument ten ma być dostosowany do nowej ustawy o publicznych służbach zatrudnienia, ustawy o zatrudnianiu obywateli państw trzecich oraz ustawy o zawieraniu niektórych umów o pracę w sposób elektroniczny. Brak ustaw uniemożliwia prowadzenie prac nad ramami zarządzania w PSZ i wiąże się z koniecznością dokonania zmiany terminu realizacji również w kamieniu milowym A52G</w:t>
            </w:r>
            <w:r w:rsidR="00640085" w:rsidRPr="00E0193B">
              <w:t>.</w:t>
            </w:r>
          </w:p>
          <w:p w14:paraId="1A26D7A8" w14:textId="77777777" w:rsidR="00640085" w:rsidRPr="00E0193B" w:rsidRDefault="00640085" w:rsidP="00640085">
            <w:pPr>
              <w:rPr>
                <w:noProof/>
              </w:rPr>
            </w:pPr>
            <w:r w:rsidRPr="00E0193B">
              <w:rPr>
                <w:noProof/>
              </w:rPr>
              <w:t>Nowe standardy i ramy wykonania w zakresie funkcjonowania i koordynacji publicznych służb zatrudnienia, które zostaną opracowane w ramach tego kamienia milowego są bezpośrednio powiązane z kamieniem milowym A51G.</w:t>
            </w:r>
          </w:p>
          <w:p w14:paraId="5F2BFB35" w14:textId="77777777" w:rsidR="00640085" w:rsidRPr="00E0193B" w:rsidRDefault="00640085" w:rsidP="00640085">
            <w:pPr>
              <w:rPr>
                <w:noProof/>
              </w:rPr>
            </w:pPr>
            <w:r w:rsidRPr="00E0193B">
              <w:rPr>
                <w:noProof/>
              </w:rPr>
              <w:t>W ramach kamienia milowego A51G zakłada się wejście w życie trzech ustaw:</w:t>
            </w:r>
          </w:p>
          <w:p w14:paraId="3550FC6B" w14:textId="23ED141F" w:rsidR="00640085" w:rsidRPr="00E0193B" w:rsidRDefault="00640085" w:rsidP="00640085">
            <w:pPr>
              <w:rPr>
                <w:noProof/>
              </w:rPr>
            </w:pPr>
            <w:r w:rsidRPr="00E0193B">
              <w:rPr>
                <w:noProof/>
              </w:rPr>
              <w:t>1.</w:t>
            </w:r>
            <w:r w:rsidRPr="00E0193B">
              <w:rPr>
                <w:noProof/>
              </w:rPr>
              <w:tab/>
              <w:t>Ustawy o rynku pracy i publicznych służbach zatrudnienia (projekt uzyskał wpis do wykazu prac rządowych)</w:t>
            </w:r>
          </w:p>
          <w:p w14:paraId="7EF05861" w14:textId="77777777" w:rsidR="00640085" w:rsidRPr="00E0193B" w:rsidRDefault="00640085" w:rsidP="00640085">
            <w:pPr>
              <w:rPr>
                <w:noProof/>
              </w:rPr>
            </w:pPr>
            <w:r w:rsidRPr="00E0193B">
              <w:rPr>
                <w:noProof/>
              </w:rPr>
              <w:t>2.</w:t>
            </w:r>
            <w:r w:rsidRPr="00E0193B">
              <w:rPr>
                <w:noProof/>
              </w:rPr>
              <w:tab/>
              <w:t>Ustawy o dostępie cudzoziemców do rynku pracy (aktualnie projekt oczekuje na wpis do wykazu prac rządowych)</w:t>
            </w:r>
          </w:p>
          <w:p w14:paraId="657B7454" w14:textId="77777777" w:rsidR="00640085" w:rsidRPr="00E0193B" w:rsidRDefault="00640085" w:rsidP="00640085">
            <w:pPr>
              <w:rPr>
                <w:noProof/>
              </w:rPr>
            </w:pPr>
            <w:r w:rsidRPr="00E0193B">
              <w:rPr>
                <w:noProof/>
              </w:rPr>
              <w:t>3.</w:t>
            </w:r>
            <w:r w:rsidRPr="00E0193B">
              <w:rPr>
                <w:noProof/>
              </w:rPr>
              <w:tab/>
              <w:t>Ustawy z dnia 16 listopada 2022 r. o systemie teleinformatycznym do obsługi niektórych umów (weszła w życie w styczniu 2023 r.).</w:t>
            </w:r>
          </w:p>
          <w:p w14:paraId="4C2A945B" w14:textId="77777777" w:rsidR="00640085" w:rsidRPr="00E0193B" w:rsidRDefault="00640085" w:rsidP="00640085">
            <w:pPr>
              <w:rPr>
                <w:noProof/>
              </w:rPr>
            </w:pPr>
            <w:r w:rsidRPr="00E0193B">
              <w:rPr>
                <w:noProof/>
              </w:rPr>
              <w:t xml:space="preserve">Przepisom rangi ustawowej towarzyszyć będą rozporządzenia wykonawcze, wydane zgodnie z delegacjami ustawowymi. Tak skonstruowane instrumentarium prawne umożliwi ujednolicenie zakresu i zasad wykonywania obligatoryjnych zadań publicznych służb zatrudnienia w ramach wdrażanej reformy rynku pracy. </w:t>
            </w:r>
          </w:p>
          <w:p w14:paraId="188A38BC" w14:textId="5F13DE60" w:rsidR="00640085" w:rsidRPr="00E0193B" w:rsidRDefault="001F0DFD" w:rsidP="00640085">
            <w:pPr>
              <w:rPr>
                <w:noProof/>
              </w:rPr>
            </w:pPr>
            <w:r w:rsidRPr="00E0193B">
              <w:rPr>
                <w:noProof/>
              </w:rPr>
              <w:t>P</w:t>
            </w:r>
            <w:r w:rsidR="00640085" w:rsidRPr="00E0193B">
              <w:rPr>
                <w:noProof/>
              </w:rPr>
              <w:t>lan</w:t>
            </w:r>
            <w:r w:rsidRPr="00E0193B">
              <w:rPr>
                <w:noProof/>
              </w:rPr>
              <w:t>owane jest</w:t>
            </w:r>
            <w:r w:rsidR="00640085" w:rsidRPr="00E0193B">
              <w:rPr>
                <w:noProof/>
              </w:rPr>
              <w:t xml:space="preserve"> uzupełnienie przepisów powszechnie obowiązującego prawa dodatkowym dokumentem Plan Rozwoju Publicznych Służb Zatrudnienia, który będzie stanowił zbiór zaleceń i rekomendacji dla publicznych służb zatrudnienia w zakresie realizacji celów związanych z wyzwaniami polityki rynku pracy w perspektywach krótkoterminowych (3-letnich). Jego opracowanie przewidziano w projekcie ustawy o rynku pracy i publicznych służbach zatrudnienia.</w:t>
            </w:r>
            <w:r w:rsidR="0060154B" w:rsidRPr="00E0193B">
              <w:rPr>
                <w:noProof/>
              </w:rPr>
              <w:t xml:space="preserve"> Stosowanie zapisów Planu Rozwoju PSZ będzie wymagane na podstawie przepisów ustawy o rynku pracy i publicznych służbach zatrudnienia. Dokument ten będzie zawierał opis rozwiązań i mierników zalecanych przez MRPiPS jako koordynatora PSZ w </w:t>
            </w:r>
            <w:r w:rsidR="0060154B" w:rsidRPr="00E0193B">
              <w:rPr>
                <w:noProof/>
              </w:rPr>
              <w:lastRenderedPageBreak/>
              <w:t>Polsce do stosowania w PSZ podczas realizacji ich zadań wynikających z przepisów powszechnie obowiązującego prawa.</w:t>
            </w:r>
          </w:p>
          <w:p w14:paraId="09AF3754" w14:textId="77777777" w:rsidR="00640085" w:rsidRPr="00E0193B" w:rsidRDefault="00640085" w:rsidP="00640085">
            <w:pPr>
              <w:rPr>
                <w:noProof/>
              </w:rPr>
            </w:pPr>
            <w:r w:rsidRPr="00E0193B">
              <w:rPr>
                <w:noProof/>
              </w:rPr>
              <w:t>Plan Rozwoju PSZ będzie stanowił zarządcze ramy wykonania w zakresie funkcjonowania  i koordynacji publicznych służb zatrudnienia, który będzie zawierał co najmniej poniższe elementy.</w:t>
            </w:r>
          </w:p>
          <w:p w14:paraId="21EA3961" w14:textId="77777777" w:rsidR="00640085" w:rsidRPr="00E0193B" w:rsidRDefault="00640085" w:rsidP="00640085">
            <w:pPr>
              <w:rPr>
                <w:noProof/>
              </w:rPr>
            </w:pPr>
            <w:r w:rsidRPr="00E0193B">
              <w:rPr>
                <w:noProof/>
              </w:rPr>
              <w:t>1. Zbiór nowych standardów efektywności i metod ich pomiaru (wskaźniki), ściśle związanych z przepisami nowych ustaw i rozporządzeń – w ten sposób zostanie spełniony warunek z CID, dotyczący dostosowania nowych standardów do nowych przepisów prawa.</w:t>
            </w:r>
          </w:p>
          <w:p w14:paraId="31A809FE" w14:textId="77777777" w:rsidR="00640085" w:rsidRPr="00E0193B" w:rsidRDefault="00640085" w:rsidP="00640085">
            <w:pPr>
              <w:rPr>
                <w:noProof/>
              </w:rPr>
            </w:pPr>
            <w:r w:rsidRPr="00E0193B">
              <w:rPr>
                <w:noProof/>
              </w:rPr>
              <w:t>2. Zestaw celów do osiągnięcia związanych z wyzwaniami polityki rynku pracy, określonych na poziomie krajowym, wraz z wykazem zadań PSZ służących ich realizacji, a także opis systemu zarządzania realizacją tych celów (m.in. określenie mierników realizacji celów, sposobów ich pomiaru, zakresu i trybu pozyskiwania danych i sprawozdawczości) – w ten sposób zostanie spełniony warunek z CID: ustanowienia systemu zarządzania realizacją celów dla zdecentralizowanych organów publicznych służb zatrudnienia.</w:t>
            </w:r>
          </w:p>
          <w:p w14:paraId="16942141" w14:textId="77777777" w:rsidR="00640085" w:rsidRPr="00E0193B" w:rsidRDefault="00640085" w:rsidP="00640085">
            <w:pPr>
              <w:rPr>
                <w:noProof/>
              </w:rPr>
            </w:pPr>
            <w:r w:rsidRPr="00E0193B">
              <w:rPr>
                <w:noProof/>
              </w:rPr>
              <w:t>3. Opis proponowanych sposobów realizacji zadań PSZ, w tym rozwiązania koordynacyjne oraz rozwiązania wypracowane w ramach projektów realizowanych z EFS+ – w ten sposób zostanie spełniony warunek z CID: wypracowania nowych metod pracy i standardów funkcjonowania oraz koordynacji publicznych służb zatrudnienia  w oparciu o przyjęte nowe regulacje.</w:t>
            </w:r>
          </w:p>
          <w:p w14:paraId="02D51DA3" w14:textId="28494379" w:rsidR="00640085" w:rsidRPr="00E0193B" w:rsidRDefault="00640085" w:rsidP="00640085">
            <w:pPr>
              <w:rPr>
                <w:noProof/>
              </w:rPr>
            </w:pPr>
            <w:r w:rsidRPr="00E0193B">
              <w:rPr>
                <w:noProof/>
              </w:rPr>
              <w:t>Plan Rozwoju PSZ będzie ogłaszany przez ministra właściwego ds. pracy w portalu gov.pl. Pozwoli to na jego sprawną aktualizację, uwzględniającą wyniki corocznych sprawozdań.</w:t>
            </w:r>
          </w:p>
        </w:tc>
      </w:tr>
      <w:tr w:rsidR="00491CB3" w:rsidRPr="00E0193B" w14:paraId="323479C6" w14:textId="77777777" w:rsidTr="008C1B0D">
        <w:tc>
          <w:tcPr>
            <w:tcW w:w="1088" w:type="pct"/>
          </w:tcPr>
          <w:p w14:paraId="2FA4A002" w14:textId="77777777" w:rsidR="00491CB3" w:rsidRPr="00E0193B" w:rsidRDefault="00491CB3" w:rsidP="00491CB3">
            <w:pPr>
              <w:spacing w:after="120" w:line="240" w:lineRule="auto"/>
              <w:jc w:val="left"/>
              <w:rPr>
                <w:rFonts w:eastAsia="Calibri"/>
              </w:rPr>
            </w:pPr>
            <w:r w:rsidRPr="00E0193B">
              <w:rPr>
                <w:rFonts w:eastAsia="Calibri"/>
              </w:rPr>
              <w:lastRenderedPageBreak/>
              <w:t>Szacowany koszy</w:t>
            </w:r>
          </w:p>
        </w:tc>
        <w:tc>
          <w:tcPr>
            <w:tcW w:w="3912" w:type="pct"/>
            <w:gridSpan w:val="2"/>
          </w:tcPr>
          <w:p w14:paraId="599B345B" w14:textId="77777777" w:rsidR="00491CB3" w:rsidRPr="00E0193B" w:rsidRDefault="00491CB3" w:rsidP="00491CB3">
            <w:pPr>
              <w:spacing w:after="120" w:line="240" w:lineRule="auto"/>
              <w:jc w:val="left"/>
              <w:rPr>
                <w:rFonts w:eastAsia="Calibri"/>
              </w:rPr>
            </w:pPr>
            <w:r w:rsidRPr="00E0193B">
              <w:t>Zmiana nie ma wpływu na szacowany koszt</w:t>
            </w:r>
            <w:r w:rsidRPr="00E0193B" w:rsidDel="003E08A1">
              <w:rPr>
                <w:rFonts w:eastAsia="Calibri"/>
              </w:rPr>
              <w:t xml:space="preserve"> </w:t>
            </w:r>
          </w:p>
        </w:tc>
      </w:tr>
      <w:tr w:rsidR="00491CB3" w:rsidRPr="00E0193B" w14:paraId="2970D36A" w14:textId="77777777" w:rsidTr="008C1B0D">
        <w:tc>
          <w:tcPr>
            <w:tcW w:w="1088" w:type="pct"/>
          </w:tcPr>
          <w:p w14:paraId="22307E4B" w14:textId="77777777" w:rsidR="00491CB3" w:rsidRPr="00E0193B" w:rsidRDefault="00491CB3" w:rsidP="00491CB3">
            <w:pPr>
              <w:spacing w:after="120" w:line="240" w:lineRule="auto"/>
              <w:jc w:val="left"/>
              <w:rPr>
                <w:rFonts w:eastAsia="Calibri"/>
              </w:rPr>
            </w:pPr>
            <w:r w:rsidRPr="00E0193B">
              <w:rPr>
                <w:rFonts w:eastAsia="Calibri"/>
              </w:rPr>
              <w:t>Klimatyczny i cyfrowy tagging</w:t>
            </w:r>
          </w:p>
        </w:tc>
        <w:tc>
          <w:tcPr>
            <w:tcW w:w="3912" w:type="pct"/>
            <w:gridSpan w:val="2"/>
          </w:tcPr>
          <w:p w14:paraId="3969C329" w14:textId="77777777" w:rsidR="00491CB3" w:rsidRPr="00E0193B" w:rsidRDefault="00491CB3" w:rsidP="00491CB3">
            <w:pPr>
              <w:spacing w:after="120" w:line="240" w:lineRule="auto"/>
              <w:jc w:val="left"/>
              <w:rPr>
                <w:rFonts w:eastAsia="Calibri"/>
              </w:rPr>
            </w:pPr>
            <w:r w:rsidRPr="00E0193B">
              <w:t>Zmiana nie ma wpływu na tagging klimatyczny i cyfrowy</w:t>
            </w:r>
            <w:r w:rsidRPr="00E0193B" w:rsidDel="003E08A1">
              <w:rPr>
                <w:rFonts w:eastAsia="Calibri"/>
              </w:rPr>
              <w:t xml:space="preserve"> </w:t>
            </w:r>
          </w:p>
        </w:tc>
      </w:tr>
      <w:tr w:rsidR="00491CB3" w:rsidRPr="00E0193B" w14:paraId="601291FC" w14:textId="77777777" w:rsidTr="008C1B0D">
        <w:tc>
          <w:tcPr>
            <w:tcW w:w="1088" w:type="pct"/>
          </w:tcPr>
          <w:p w14:paraId="686B42FA" w14:textId="77777777" w:rsidR="00491CB3" w:rsidRPr="00E0193B" w:rsidRDefault="00491CB3" w:rsidP="00491CB3">
            <w:pPr>
              <w:spacing w:after="120" w:line="240" w:lineRule="auto"/>
              <w:jc w:val="left"/>
              <w:rPr>
                <w:rFonts w:eastAsia="Calibri"/>
              </w:rPr>
            </w:pPr>
            <w:r w:rsidRPr="00E0193B">
              <w:rPr>
                <w:rFonts w:eastAsia="Calibri"/>
              </w:rPr>
              <w:t xml:space="preserve">Ocena DNSH </w:t>
            </w:r>
          </w:p>
        </w:tc>
        <w:tc>
          <w:tcPr>
            <w:tcW w:w="3912" w:type="pct"/>
            <w:gridSpan w:val="2"/>
          </w:tcPr>
          <w:p w14:paraId="75F556DF" w14:textId="77777777" w:rsidR="00491CB3" w:rsidRPr="00E0193B" w:rsidRDefault="00491CB3" w:rsidP="00491CB3">
            <w:pPr>
              <w:spacing w:after="120" w:line="240" w:lineRule="auto"/>
              <w:jc w:val="left"/>
              <w:rPr>
                <w:rFonts w:eastAsia="Calibri"/>
              </w:rPr>
            </w:pPr>
            <w:r w:rsidRPr="00E0193B">
              <w:t>Zmiana nie ma wpływu na DNSH</w:t>
            </w:r>
            <w:r w:rsidRPr="00E0193B" w:rsidDel="003E08A1">
              <w:rPr>
                <w:rFonts w:eastAsia="Calibri"/>
              </w:rPr>
              <w:t xml:space="preserve"> </w:t>
            </w:r>
          </w:p>
        </w:tc>
      </w:tr>
    </w:tbl>
    <w:p w14:paraId="43775CD2" w14:textId="4E1DE746" w:rsidR="00491CB3" w:rsidRPr="00E0193B" w:rsidRDefault="00491CB3" w:rsidP="00491CB3">
      <w:pPr>
        <w:spacing w:after="120" w:line="240" w:lineRule="auto"/>
        <w:jc w:val="left"/>
        <w:rPr>
          <w:rFonts w:eastAsia="Calibri"/>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3347"/>
        <w:gridCol w:w="3543"/>
      </w:tblGrid>
      <w:tr w:rsidR="00491CB3" w:rsidRPr="00E0193B" w14:paraId="45855030" w14:textId="77777777" w:rsidTr="0060154B">
        <w:tc>
          <w:tcPr>
            <w:tcW w:w="1179" w:type="pct"/>
          </w:tcPr>
          <w:p w14:paraId="5664F6C9" w14:textId="77777777" w:rsidR="00491CB3" w:rsidRPr="00E0193B" w:rsidRDefault="00491CB3" w:rsidP="008C1B0D">
            <w:pPr>
              <w:spacing w:after="120" w:line="240" w:lineRule="auto"/>
              <w:rPr>
                <w:b/>
                <w:bCs/>
              </w:rPr>
            </w:pPr>
            <w:r w:rsidRPr="00E0193B">
              <w:rPr>
                <w:b/>
                <w:bCs/>
              </w:rPr>
              <w:t>Numer inwestycji</w:t>
            </w:r>
          </w:p>
        </w:tc>
        <w:tc>
          <w:tcPr>
            <w:tcW w:w="3821" w:type="pct"/>
            <w:gridSpan w:val="2"/>
          </w:tcPr>
          <w:p w14:paraId="7A5C646B" w14:textId="77777777" w:rsidR="00491CB3" w:rsidRPr="00E0193B" w:rsidRDefault="00491CB3" w:rsidP="008C1B0D">
            <w:pPr>
              <w:autoSpaceDE w:val="0"/>
              <w:autoSpaceDN w:val="0"/>
              <w:adjustRightInd w:val="0"/>
              <w:spacing w:after="120" w:line="240" w:lineRule="auto"/>
              <w:jc w:val="left"/>
              <w:rPr>
                <w:rFonts w:eastAsia="Calibri"/>
                <w:b/>
                <w:bCs/>
                <w:color w:val="000000"/>
                <w:lang w:val="en-GB" w:eastAsia="en-GB"/>
              </w:rPr>
            </w:pPr>
            <w:r w:rsidRPr="00E0193B">
              <w:rPr>
                <w:rFonts w:eastAsia="Calibri"/>
                <w:b/>
                <w:bCs/>
                <w:color w:val="000000"/>
                <w:lang w:val="en-GB" w:eastAsia="en-GB"/>
              </w:rPr>
              <w:t>A4.1.1.</w:t>
            </w:r>
          </w:p>
        </w:tc>
      </w:tr>
      <w:tr w:rsidR="00491CB3" w:rsidRPr="00E0193B" w14:paraId="34286BFD" w14:textId="77777777" w:rsidTr="0060154B">
        <w:tc>
          <w:tcPr>
            <w:tcW w:w="1179" w:type="pct"/>
          </w:tcPr>
          <w:p w14:paraId="266209E5" w14:textId="77777777" w:rsidR="00491CB3" w:rsidRPr="00E0193B" w:rsidRDefault="00491CB3" w:rsidP="008C1B0D">
            <w:pPr>
              <w:autoSpaceDE w:val="0"/>
              <w:autoSpaceDN w:val="0"/>
              <w:adjustRightInd w:val="0"/>
              <w:spacing w:after="120" w:line="240" w:lineRule="auto"/>
              <w:jc w:val="left"/>
              <w:rPr>
                <w:rFonts w:eastAsia="Calibri"/>
                <w:b/>
                <w:bCs/>
                <w:color w:val="000000"/>
                <w:lang w:val="en-GB" w:eastAsia="en-GB"/>
              </w:rPr>
            </w:pPr>
            <w:r w:rsidRPr="00E0193B">
              <w:rPr>
                <w:rFonts w:eastAsia="Calibri"/>
                <w:b/>
                <w:bCs/>
                <w:color w:val="000000"/>
                <w:lang w:val="en-GB" w:eastAsia="en-GB"/>
              </w:rPr>
              <w:t xml:space="preserve">Nazwa inwestycji </w:t>
            </w:r>
          </w:p>
        </w:tc>
        <w:tc>
          <w:tcPr>
            <w:tcW w:w="3821" w:type="pct"/>
            <w:gridSpan w:val="2"/>
          </w:tcPr>
          <w:p w14:paraId="1A226279" w14:textId="77777777" w:rsidR="00491CB3" w:rsidRPr="00E0193B" w:rsidRDefault="00491CB3" w:rsidP="008C1B0D">
            <w:pPr>
              <w:autoSpaceDE w:val="0"/>
              <w:autoSpaceDN w:val="0"/>
              <w:adjustRightInd w:val="0"/>
              <w:spacing w:after="120" w:line="240" w:lineRule="auto"/>
              <w:jc w:val="left"/>
              <w:rPr>
                <w:rFonts w:eastAsia="Calibri"/>
                <w:b/>
                <w:bCs/>
                <w:color w:val="000000"/>
                <w:lang w:eastAsia="en-GB"/>
              </w:rPr>
            </w:pPr>
            <w:r w:rsidRPr="00E0193B">
              <w:rPr>
                <w:rFonts w:eastAsia="Calibri"/>
                <w:b/>
                <w:bCs/>
                <w:color w:val="000000"/>
                <w:lang w:eastAsia="en-GB"/>
              </w:rPr>
              <w:t>Inwestycje wspierające reformę instytucji rynku pracy</w:t>
            </w:r>
          </w:p>
        </w:tc>
      </w:tr>
      <w:tr w:rsidR="00491CB3" w:rsidRPr="00E0193B" w14:paraId="56A63E58" w14:textId="77777777" w:rsidTr="0060154B">
        <w:tc>
          <w:tcPr>
            <w:tcW w:w="1179" w:type="pct"/>
          </w:tcPr>
          <w:p w14:paraId="0DC38CF3" w14:textId="77777777" w:rsidR="00491CB3" w:rsidRPr="00E0193B" w:rsidRDefault="00491CB3" w:rsidP="008C1B0D">
            <w:pPr>
              <w:autoSpaceDE w:val="0"/>
              <w:autoSpaceDN w:val="0"/>
              <w:adjustRightInd w:val="0"/>
              <w:spacing w:after="120" w:line="240" w:lineRule="auto"/>
              <w:jc w:val="left"/>
              <w:rPr>
                <w:rFonts w:eastAsia="Calibri"/>
                <w:color w:val="000000"/>
                <w:lang w:eastAsia="en-GB"/>
              </w:rPr>
            </w:pPr>
            <w:r w:rsidRPr="00E0193B">
              <w:rPr>
                <w:rFonts w:eastAsia="Calibri"/>
                <w:color w:val="000000"/>
                <w:lang w:eastAsia="en-GB"/>
              </w:rPr>
              <w:t>Rodzaj wprowadzonej zmiany w odniesieniu do CID</w:t>
            </w:r>
          </w:p>
        </w:tc>
        <w:tc>
          <w:tcPr>
            <w:tcW w:w="3821" w:type="pct"/>
            <w:gridSpan w:val="2"/>
          </w:tcPr>
          <w:p w14:paraId="2202F70F" w14:textId="77777777" w:rsidR="00491CB3" w:rsidRPr="00E0193B" w:rsidRDefault="00491CB3" w:rsidP="008C1B0D">
            <w:pPr>
              <w:autoSpaceDE w:val="0"/>
              <w:autoSpaceDN w:val="0"/>
              <w:adjustRightInd w:val="0"/>
              <w:spacing w:after="120" w:line="240" w:lineRule="auto"/>
              <w:jc w:val="left"/>
              <w:rPr>
                <w:rFonts w:eastAsia="Calibri"/>
                <w:color w:val="000000"/>
                <w:lang w:eastAsia="en-GB"/>
              </w:rPr>
            </w:pPr>
            <w:r w:rsidRPr="00E0193B">
              <w:rPr>
                <w:rFonts w:eastAsia="Calibri"/>
                <w:color w:val="000000"/>
                <w:lang w:eastAsia="en-GB"/>
              </w:rPr>
              <w:t>Przesunięcie terminu realizacji inwestycji.</w:t>
            </w:r>
          </w:p>
          <w:p w14:paraId="66CCB770" w14:textId="77777777" w:rsidR="00491CB3" w:rsidRPr="00E0193B" w:rsidRDefault="00491CB3" w:rsidP="008C1B0D">
            <w:pPr>
              <w:autoSpaceDE w:val="0"/>
              <w:autoSpaceDN w:val="0"/>
              <w:adjustRightInd w:val="0"/>
              <w:spacing w:after="120" w:line="240" w:lineRule="auto"/>
              <w:jc w:val="left"/>
              <w:rPr>
                <w:rFonts w:eastAsia="Calibri"/>
                <w:color w:val="000000"/>
                <w:lang w:eastAsia="en-GB"/>
              </w:rPr>
            </w:pPr>
          </w:p>
        </w:tc>
      </w:tr>
      <w:tr w:rsidR="00491CB3" w:rsidRPr="00E0193B" w14:paraId="1D53800D" w14:textId="77777777" w:rsidTr="0060154B">
        <w:tc>
          <w:tcPr>
            <w:tcW w:w="1179" w:type="pct"/>
            <w:shd w:val="clear" w:color="auto" w:fill="FFFFFF"/>
          </w:tcPr>
          <w:p w14:paraId="42B29D12" w14:textId="77777777" w:rsidR="00491CB3" w:rsidRPr="00E0193B" w:rsidRDefault="00491CB3" w:rsidP="008C1B0D">
            <w:pPr>
              <w:autoSpaceDE w:val="0"/>
              <w:autoSpaceDN w:val="0"/>
              <w:adjustRightInd w:val="0"/>
              <w:spacing w:after="120" w:line="240" w:lineRule="auto"/>
              <w:jc w:val="left"/>
              <w:rPr>
                <w:rFonts w:eastAsia="Calibri"/>
                <w:color w:val="000000"/>
                <w:lang w:val="en-GB" w:eastAsia="en-GB"/>
              </w:rPr>
            </w:pPr>
            <w:r w:rsidRPr="00E0193B">
              <w:rPr>
                <w:rFonts w:eastAsia="Calibri"/>
                <w:color w:val="000000"/>
                <w:lang w:val="en-GB" w:eastAsia="en-GB"/>
              </w:rPr>
              <w:t>Podstawa prawna zmiany</w:t>
            </w:r>
          </w:p>
        </w:tc>
        <w:tc>
          <w:tcPr>
            <w:tcW w:w="3821" w:type="pct"/>
            <w:gridSpan w:val="2"/>
            <w:shd w:val="clear" w:color="auto" w:fill="FFFFFF"/>
          </w:tcPr>
          <w:p w14:paraId="594092FB" w14:textId="77777777" w:rsidR="00491CB3" w:rsidRPr="00E0193B" w:rsidRDefault="00491CB3" w:rsidP="008C1B0D">
            <w:pPr>
              <w:spacing w:after="120" w:line="240" w:lineRule="auto"/>
            </w:pPr>
            <w:r w:rsidRPr="00E0193B">
              <w:t>art. 21 rozporządzenia Parlamentu Europejskiego i Rady (UE) 2021/241 z dnia 12 lutego 2021 r. ustanawiające Instrument na rzecz Odbudowy i Zwiększania Odporności</w:t>
            </w:r>
          </w:p>
        </w:tc>
      </w:tr>
      <w:tr w:rsidR="00491CB3" w:rsidRPr="00E0193B" w14:paraId="07FF1ECE" w14:textId="77777777" w:rsidTr="0060154B">
        <w:tc>
          <w:tcPr>
            <w:tcW w:w="1179" w:type="pct"/>
            <w:shd w:val="clear" w:color="auto" w:fill="D9D9D9"/>
          </w:tcPr>
          <w:p w14:paraId="27643689" w14:textId="77777777" w:rsidR="00491CB3" w:rsidRPr="00E0193B" w:rsidRDefault="00491CB3" w:rsidP="008C1B0D">
            <w:pPr>
              <w:spacing w:after="120" w:line="240" w:lineRule="auto"/>
            </w:pPr>
            <w:r w:rsidRPr="00E0193B">
              <w:t>Modyfikowany element</w:t>
            </w:r>
          </w:p>
        </w:tc>
        <w:tc>
          <w:tcPr>
            <w:tcW w:w="1856" w:type="pct"/>
            <w:shd w:val="clear" w:color="auto" w:fill="D9D9D9"/>
          </w:tcPr>
          <w:p w14:paraId="4A8CE801" w14:textId="77777777" w:rsidR="00491CB3" w:rsidRPr="00E0193B" w:rsidRDefault="00491CB3" w:rsidP="008C1B0D">
            <w:pPr>
              <w:spacing w:after="120" w:line="240" w:lineRule="auto"/>
              <w:jc w:val="center"/>
            </w:pPr>
            <w:r w:rsidRPr="00E0193B">
              <w:t>Wersja aktualna</w:t>
            </w:r>
          </w:p>
        </w:tc>
        <w:tc>
          <w:tcPr>
            <w:tcW w:w="1965" w:type="pct"/>
            <w:shd w:val="clear" w:color="auto" w:fill="D9D9D9"/>
          </w:tcPr>
          <w:p w14:paraId="1AAD5E15" w14:textId="77777777" w:rsidR="00491CB3" w:rsidRPr="00E0193B" w:rsidRDefault="00491CB3" w:rsidP="008C1B0D">
            <w:pPr>
              <w:spacing w:after="120" w:line="240" w:lineRule="auto"/>
              <w:jc w:val="center"/>
            </w:pPr>
            <w:r w:rsidRPr="00E0193B">
              <w:t>Wersja zmieniona</w:t>
            </w:r>
          </w:p>
        </w:tc>
      </w:tr>
      <w:tr w:rsidR="00491CB3" w:rsidRPr="00E0193B" w14:paraId="681B624B" w14:textId="77777777" w:rsidTr="0060154B">
        <w:tc>
          <w:tcPr>
            <w:tcW w:w="1179" w:type="pct"/>
            <w:vMerge w:val="restart"/>
          </w:tcPr>
          <w:p w14:paraId="614D69C6" w14:textId="77777777" w:rsidR="00491CB3" w:rsidRPr="00E0193B" w:rsidRDefault="00491CB3" w:rsidP="008C1B0D">
            <w:pPr>
              <w:spacing w:after="120" w:line="240" w:lineRule="auto"/>
            </w:pPr>
            <w:r w:rsidRPr="00E0193B">
              <w:t>Opis komponentu oraz/lub działania (inwestycji/reformy)</w:t>
            </w:r>
          </w:p>
        </w:tc>
        <w:tc>
          <w:tcPr>
            <w:tcW w:w="1856" w:type="pct"/>
          </w:tcPr>
          <w:p w14:paraId="71DFBFD2" w14:textId="77777777" w:rsidR="00491CB3" w:rsidRPr="00E0193B" w:rsidRDefault="00491CB3" w:rsidP="008C1B0D">
            <w:pPr>
              <w:autoSpaceDE w:val="0"/>
              <w:autoSpaceDN w:val="0"/>
              <w:adjustRightInd w:val="0"/>
              <w:spacing w:after="0" w:line="240" w:lineRule="auto"/>
              <w:jc w:val="left"/>
              <w:rPr>
                <w:rFonts w:eastAsia="Calibri"/>
                <w:color w:val="000000"/>
                <w:lang w:eastAsia="en-GB"/>
              </w:rPr>
            </w:pPr>
            <w:r w:rsidRPr="00E0193B">
              <w:rPr>
                <w:rFonts w:eastAsia="Calibri"/>
                <w:color w:val="000000"/>
                <w:lang w:eastAsia="en-GB"/>
              </w:rPr>
              <w:t>Realizacja inwestycji zostanie zakończona do dnia 30 czerwca 2025 r.</w:t>
            </w:r>
          </w:p>
        </w:tc>
        <w:tc>
          <w:tcPr>
            <w:tcW w:w="1965" w:type="pct"/>
          </w:tcPr>
          <w:p w14:paraId="2FCED4E6" w14:textId="77777777" w:rsidR="00491CB3" w:rsidRPr="00E0193B" w:rsidRDefault="00491CB3" w:rsidP="008C1B0D">
            <w:pPr>
              <w:spacing w:after="0" w:line="240" w:lineRule="auto"/>
              <w:rPr>
                <w:color w:val="FF0000"/>
              </w:rPr>
            </w:pPr>
            <w:r w:rsidRPr="00E0193B">
              <w:t xml:space="preserve">Realizacja inwestycji zostanie zakończona do dnia </w:t>
            </w:r>
            <w:r w:rsidRPr="00E0193B">
              <w:rPr>
                <w:color w:val="FF0000"/>
              </w:rPr>
              <w:t>30 czerwca</w:t>
            </w:r>
          </w:p>
          <w:p w14:paraId="2CCA4DE7" w14:textId="77777777" w:rsidR="00491CB3" w:rsidRPr="00E0193B" w:rsidRDefault="00491CB3" w:rsidP="008C1B0D">
            <w:pPr>
              <w:spacing w:after="0" w:line="240" w:lineRule="auto"/>
            </w:pPr>
            <w:r w:rsidRPr="00E0193B">
              <w:rPr>
                <w:color w:val="FF0000"/>
              </w:rPr>
              <w:t>2026 r.</w:t>
            </w:r>
          </w:p>
        </w:tc>
      </w:tr>
      <w:tr w:rsidR="00491CB3" w:rsidRPr="00935797" w14:paraId="53170CDD" w14:textId="77777777" w:rsidTr="0060154B">
        <w:tc>
          <w:tcPr>
            <w:tcW w:w="1179" w:type="pct"/>
            <w:vMerge/>
          </w:tcPr>
          <w:p w14:paraId="7D96CD1B" w14:textId="77777777" w:rsidR="00491CB3" w:rsidRPr="00E0193B" w:rsidRDefault="00491CB3" w:rsidP="008C1B0D">
            <w:pPr>
              <w:spacing w:after="120" w:line="240" w:lineRule="auto"/>
            </w:pPr>
          </w:p>
        </w:tc>
        <w:tc>
          <w:tcPr>
            <w:tcW w:w="1856" w:type="pct"/>
          </w:tcPr>
          <w:p w14:paraId="1D477A4C" w14:textId="77777777" w:rsidR="00491CB3" w:rsidRPr="00E0193B" w:rsidRDefault="00491CB3" w:rsidP="008C1B0D">
            <w:pPr>
              <w:autoSpaceDE w:val="0"/>
              <w:autoSpaceDN w:val="0"/>
              <w:adjustRightInd w:val="0"/>
              <w:spacing w:after="0" w:line="240" w:lineRule="auto"/>
              <w:jc w:val="left"/>
              <w:rPr>
                <w:rFonts w:eastAsia="Calibri"/>
                <w:color w:val="000000"/>
                <w:lang w:val="en-US" w:eastAsia="en-GB"/>
              </w:rPr>
            </w:pPr>
            <w:r w:rsidRPr="00E0193B">
              <w:rPr>
                <w:rFonts w:eastAsia="Calibri"/>
                <w:color w:val="000000"/>
                <w:lang w:val="en-US" w:eastAsia="en-GB"/>
              </w:rPr>
              <w:t>The implementation of the investment shall be completed by 30 June 2025.</w:t>
            </w:r>
          </w:p>
        </w:tc>
        <w:tc>
          <w:tcPr>
            <w:tcW w:w="1965" w:type="pct"/>
          </w:tcPr>
          <w:p w14:paraId="5A2B8841" w14:textId="77777777" w:rsidR="00491CB3" w:rsidRPr="00E0193B" w:rsidRDefault="00491CB3" w:rsidP="008C1B0D">
            <w:pPr>
              <w:spacing w:after="0" w:line="240" w:lineRule="auto"/>
              <w:rPr>
                <w:lang w:val="en-US"/>
              </w:rPr>
            </w:pPr>
            <w:r w:rsidRPr="00E0193B">
              <w:rPr>
                <w:lang w:val="en-US"/>
              </w:rPr>
              <w:t xml:space="preserve">The implementation of the investment shall be completed by </w:t>
            </w:r>
            <w:r w:rsidRPr="00E0193B">
              <w:rPr>
                <w:color w:val="FF0000"/>
                <w:lang w:val="en-US"/>
              </w:rPr>
              <w:t>30 June 2026.</w:t>
            </w:r>
          </w:p>
        </w:tc>
      </w:tr>
      <w:tr w:rsidR="00491CB3" w:rsidRPr="00E0193B" w14:paraId="2F669639" w14:textId="77777777" w:rsidTr="0060154B">
        <w:trPr>
          <w:trHeight w:val="1504"/>
        </w:trPr>
        <w:tc>
          <w:tcPr>
            <w:tcW w:w="1179" w:type="pct"/>
            <w:vMerge w:val="restart"/>
          </w:tcPr>
          <w:p w14:paraId="36555FAA" w14:textId="77777777" w:rsidR="00491CB3" w:rsidRPr="00E0193B" w:rsidRDefault="00491CB3" w:rsidP="008C1B0D">
            <w:pPr>
              <w:spacing w:after="120" w:line="240" w:lineRule="auto"/>
            </w:pPr>
            <w:r w:rsidRPr="00E0193B">
              <w:t>Opis kamienia milowego lub wskaźnika.</w:t>
            </w:r>
          </w:p>
        </w:tc>
        <w:tc>
          <w:tcPr>
            <w:tcW w:w="1856" w:type="pct"/>
          </w:tcPr>
          <w:p w14:paraId="0443CD62" w14:textId="77777777" w:rsidR="00491CB3" w:rsidRPr="00E0193B" w:rsidRDefault="00491CB3" w:rsidP="008C1B0D">
            <w:pPr>
              <w:spacing w:after="120" w:line="240" w:lineRule="auto"/>
              <w:jc w:val="left"/>
            </w:pPr>
            <w:r w:rsidRPr="00E0193B">
              <w:t>A55G Publiczne służby zatrudnienia, w których zostaną wdrożone zmodernizowane systemy informatyczne</w:t>
            </w:r>
          </w:p>
          <w:p w14:paraId="382AED29" w14:textId="77777777" w:rsidR="00491CB3" w:rsidRPr="00E0193B" w:rsidRDefault="00491CB3" w:rsidP="008C1B0D">
            <w:pPr>
              <w:spacing w:after="0" w:line="240" w:lineRule="auto"/>
              <w:jc w:val="left"/>
              <w:rPr>
                <w:rFonts w:eastAsia="Calibri"/>
                <w:color w:val="000000"/>
                <w:lang w:eastAsia="en-GB"/>
              </w:rPr>
            </w:pPr>
            <w:r w:rsidRPr="00E0193B">
              <w:t>Termin realizacji: II kw. 2025r.</w:t>
            </w:r>
          </w:p>
        </w:tc>
        <w:tc>
          <w:tcPr>
            <w:tcW w:w="1965" w:type="pct"/>
          </w:tcPr>
          <w:p w14:paraId="61D91F73" w14:textId="77777777" w:rsidR="00491CB3" w:rsidRPr="00E0193B" w:rsidRDefault="00491CB3" w:rsidP="008C1B0D">
            <w:pPr>
              <w:spacing w:after="120" w:line="240" w:lineRule="auto"/>
              <w:jc w:val="left"/>
            </w:pPr>
            <w:r w:rsidRPr="00E0193B">
              <w:t>A55G Publiczne służby zatrudnienia, w których zostaną wdrożone zmodernizowane systemy informatyczne</w:t>
            </w:r>
          </w:p>
          <w:p w14:paraId="61986BA5" w14:textId="77777777" w:rsidR="00491CB3" w:rsidRPr="00E0193B" w:rsidRDefault="00491CB3" w:rsidP="008C1B0D">
            <w:pPr>
              <w:spacing w:after="0" w:line="240" w:lineRule="auto"/>
            </w:pPr>
            <w:r w:rsidRPr="00E0193B">
              <w:t xml:space="preserve">Termin realizacji: </w:t>
            </w:r>
            <w:r w:rsidRPr="00E0193B">
              <w:rPr>
                <w:color w:val="FF0000"/>
              </w:rPr>
              <w:t>II kw. 2026r.</w:t>
            </w:r>
          </w:p>
        </w:tc>
      </w:tr>
      <w:tr w:rsidR="00491CB3" w:rsidRPr="00935797" w14:paraId="639C30B9" w14:textId="77777777" w:rsidTr="0060154B">
        <w:trPr>
          <w:trHeight w:val="1517"/>
        </w:trPr>
        <w:tc>
          <w:tcPr>
            <w:tcW w:w="1179" w:type="pct"/>
            <w:vMerge/>
          </w:tcPr>
          <w:p w14:paraId="0D9DD729" w14:textId="77777777" w:rsidR="00491CB3" w:rsidRPr="00E0193B" w:rsidRDefault="00491CB3" w:rsidP="008C1B0D">
            <w:pPr>
              <w:spacing w:after="120" w:line="240" w:lineRule="auto"/>
            </w:pPr>
          </w:p>
        </w:tc>
        <w:tc>
          <w:tcPr>
            <w:tcW w:w="1856" w:type="pct"/>
          </w:tcPr>
          <w:p w14:paraId="7B53FA2F" w14:textId="77777777" w:rsidR="00491CB3" w:rsidRPr="00E0193B" w:rsidRDefault="00491CB3" w:rsidP="008C1B0D">
            <w:pPr>
              <w:spacing w:after="120" w:line="240" w:lineRule="auto"/>
              <w:jc w:val="left"/>
              <w:rPr>
                <w:lang w:val="en-US"/>
              </w:rPr>
            </w:pPr>
            <w:r w:rsidRPr="00E0193B">
              <w:rPr>
                <w:lang w:val="en-US"/>
              </w:rPr>
              <w:t>A55G Public employment  service (PES) where modernised IT systems shall be implemented</w:t>
            </w:r>
          </w:p>
          <w:p w14:paraId="5FB1E96A" w14:textId="77777777" w:rsidR="00491CB3" w:rsidRPr="00E0193B" w:rsidRDefault="00491CB3" w:rsidP="008C1B0D">
            <w:pPr>
              <w:spacing w:after="120" w:line="240" w:lineRule="auto"/>
              <w:jc w:val="left"/>
              <w:rPr>
                <w:lang w:val="en-US"/>
              </w:rPr>
            </w:pPr>
            <w:r w:rsidRPr="00E0193B">
              <w:rPr>
                <w:lang w:val="en-US"/>
              </w:rPr>
              <w:t>Indicative timeline for completion: Q2 2025</w:t>
            </w:r>
          </w:p>
        </w:tc>
        <w:tc>
          <w:tcPr>
            <w:tcW w:w="1965" w:type="pct"/>
          </w:tcPr>
          <w:p w14:paraId="47546997" w14:textId="77777777" w:rsidR="00491CB3" w:rsidRPr="00E0193B" w:rsidRDefault="00491CB3" w:rsidP="008C1B0D">
            <w:pPr>
              <w:spacing w:after="120" w:line="240" w:lineRule="auto"/>
              <w:jc w:val="left"/>
              <w:rPr>
                <w:lang w:val="en-US"/>
              </w:rPr>
            </w:pPr>
            <w:r w:rsidRPr="00E0193B">
              <w:rPr>
                <w:lang w:val="en-US"/>
              </w:rPr>
              <w:t>A55G Public employment  service (PES) where modernised IT systems shall be implemented</w:t>
            </w:r>
          </w:p>
          <w:p w14:paraId="0C6396C8" w14:textId="77777777" w:rsidR="00491CB3" w:rsidRPr="00E0193B" w:rsidRDefault="00491CB3" w:rsidP="008C1B0D">
            <w:pPr>
              <w:spacing w:after="120" w:line="240" w:lineRule="auto"/>
              <w:jc w:val="left"/>
              <w:rPr>
                <w:lang w:val="en-US"/>
              </w:rPr>
            </w:pPr>
            <w:r w:rsidRPr="00E0193B">
              <w:rPr>
                <w:lang w:val="en-US"/>
              </w:rPr>
              <w:t>Indicative timeline for completion: Q2 2026</w:t>
            </w:r>
          </w:p>
        </w:tc>
      </w:tr>
      <w:tr w:rsidR="00491CB3" w:rsidRPr="00E0193B" w14:paraId="1667235D" w14:textId="77777777" w:rsidTr="0060154B">
        <w:tc>
          <w:tcPr>
            <w:tcW w:w="1179" w:type="pct"/>
            <w:vMerge/>
          </w:tcPr>
          <w:p w14:paraId="7A0620A4" w14:textId="77777777" w:rsidR="00491CB3" w:rsidRPr="00E0193B" w:rsidRDefault="00491CB3" w:rsidP="008C1B0D">
            <w:pPr>
              <w:spacing w:after="120" w:line="240" w:lineRule="auto"/>
              <w:rPr>
                <w:lang w:val="en-US"/>
              </w:rPr>
            </w:pPr>
          </w:p>
        </w:tc>
        <w:tc>
          <w:tcPr>
            <w:tcW w:w="1856" w:type="pct"/>
          </w:tcPr>
          <w:p w14:paraId="581F21F2" w14:textId="77777777" w:rsidR="00491CB3" w:rsidRPr="00E0193B" w:rsidRDefault="00491CB3" w:rsidP="008C1B0D">
            <w:pPr>
              <w:spacing w:after="120" w:line="240" w:lineRule="auto"/>
            </w:pPr>
            <w:r w:rsidRPr="00E0193B">
              <w:t>A56G Pracownicy publicznych służb zatrudnienia przeszkoleni w zakresie stosowania nowych procedur i wykorzystywania narzędzi informatycznych, które wdrożono w związku z nową ustawą o publicznych służbach zatrudnienia, ustawą o zatrudnianiu obywateli państw trzecich oraz ustawą o zawieraniu niektórych umów o pracę w sposób elektroniczny</w:t>
            </w:r>
          </w:p>
          <w:p w14:paraId="3D66302F" w14:textId="77777777" w:rsidR="00491CB3" w:rsidRPr="00E0193B" w:rsidRDefault="00491CB3" w:rsidP="008C1B0D">
            <w:pPr>
              <w:spacing w:after="120" w:line="240" w:lineRule="auto"/>
              <w:jc w:val="left"/>
            </w:pPr>
            <w:r w:rsidRPr="00E0193B">
              <w:t>Termin realizacji: I kw. 2025r.</w:t>
            </w:r>
          </w:p>
        </w:tc>
        <w:tc>
          <w:tcPr>
            <w:tcW w:w="1965" w:type="pct"/>
          </w:tcPr>
          <w:p w14:paraId="14534ACD" w14:textId="77777777" w:rsidR="00491CB3" w:rsidRPr="00E0193B" w:rsidRDefault="00491CB3" w:rsidP="008C1B0D">
            <w:pPr>
              <w:spacing w:after="120" w:line="240" w:lineRule="auto"/>
            </w:pPr>
            <w:r w:rsidRPr="00E0193B">
              <w:t>A56G Pracownicy publicznych służb zatrudnienia przeszkoleni w zakresie stosowania nowych procedur i wykorzystywania narzędzi informatycznych, które wdrożono w związku z nową ustawą o publicznych służbach zatrudnienia, ustawą o zatrudnianiu obywateli państw trzecich oraz ustawą o zawieraniu niektórych umów o pracę w sposób elektroniczny</w:t>
            </w:r>
          </w:p>
          <w:p w14:paraId="5A695823" w14:textId="77777777" w:rsidR="00491CB3" w:rsidRPr="00E0193B" w:rsidRDefault="00491CB3" w:rsidP="008C1B0D">
            <w:pPr>
              <w:spacing w:after="120" w:line="240" w:lineRule="auto"/>
              <w:jc w:val="left"/>
            </w:pPr>
            <w:r w:rsidRPr="00E0193B">
              <w:t xml:space="preserve">Termin realizacji: </w:t>
            </w:r>
            <w:r w:rsidRPr="00E0193B">
              <w:rPr>
                <w:color w:val="FF0000"/>
              </w:rPr>
              <w:t>II kw. 2026r.</w:t>
            </w:r>
          </w:p>
        </w:tc>
      </w:tr>
      <w:tr w:rsidR="00491CB3" w:rsidRPr="00935797" w14:paraId="08756CE3" w14:textId="77777777" w:rsidTr="0060154B">
        <w:tc>
          <w:tcPr>
            <w:tcW w:w="1179" w:type="pct"/>
            <w:vMerge/>
          </w:tcPr>
          <w:p w14:paraId="0DC468CD" w14:textId="77777777" w:rsidR="00491CB3" w:rsidRPr="00E0193B" w:rsidRDefault="00491CB3" w:rsidP="008C1B0D">
            <w:pPr>
              <w:spacing w:after="120" w:line="240" w:lineRule="auto"/>
            </w:pPr>
          </w:p>
        </w:tc>
        <w:tc>
          <w:tcPr>
            <w:tcW w:w="1856" w:type="pct"/>
          </w:tcPr>
          <w:p w14:paraId="42F534EC" w14:textId="77777777" w:rsidR="00491CB3" w:rsidRPr="00E0193B" w:rsidRDefault="00491CB3" w:rsidP="008C1B0D">
            <w:pPr>
              <w:spacing w:after="120" w:line="240" w:lineRule="auto"/>
              <w:rPr>
                <w:lang w:val="en-US"/>
              </w:rPr>
            </w:pPr>
            <w:r w:rsidRPr="00E0193B">
              <w:rPr>
                <w:lang w:val="en-US"/>
              </w:rPr>
              <w:t>A56G Public employment service (PES) staff trained on the application of new procedures and use of IT tools, implemented as a result of the new laws on PES, on employment of third country nationals and on an electronic conclusion of certain job contracts</w:t>
            </w:r>
          </w:p>
          <w:p w14:paraId="53FC2144" w14:textId="77777777" w:rsidR="00491CB3" w:rsidRPr="00E0193B" w:rsidRDefault="00491CB3" w:rsidP="008C1B0D">
            <w:pPr>
              <w:spacing w:after="120" w:line="240" w:lineRule="auto"/>
              <w:rPr>
                <w:lang w:val="en-US"/>
              </w:rPr>
            </w:pPr>
            <w:r w:rsidRPr="00E0193B">
              <w:rPr>
                <w:lang w:val="en-US"/>
              </w:rPr>
              <w:t>Indicative timeline for completion: Q1 2025</w:t>
            </w:r>
          </w:p>
        </w:tc>
        <w:tc>
          <w:tcPr>
            <w:tcW w:w="1965" w:type="pct"/>
          </w:tcPr>
          <w:p w14:paraId="0A951E40" w14:textId="77777777" w:rsidR="00491CB3" w:rsidRPr="00E0193B" w:rsidRDefault="00491CB3" w:rsidP="008C1B0D">
            <w:pPr>
              <w:spacing w:after="120" w:line="240" w:lineRule="auto"/>
              <w:rPr>
                <w:lang w:val="en-US"/>
              </w:rPr>
            </w:pPr>
            <w:r w:rsidRPr="00E0193B">
              <w:rPr>
                <w:lang w:val="en-US"/>
              </w:rPr>
              <w:t>A56G Public employment service (PES) staff trained on the application of new procedures and use of IT tools, implemented as a result of the new laws on PES, on employment of third country nationals and on an electronic conclusion of certain job contracts</w:t>
            </w:r>
          </w:p>
          <w:p w14:paraId="15B629FC" w14:textId="77777777" w:rsidR="00491CB3" w:rsidRPr="00E0193B" w:rsidRDefault="00491CB3" w:rsidP="008C1B0D">
            <w:pPr>
              <w:spacing w:after="120" w:line="240" w:lineRule="auto"/>
              <w:rPr>
                <w:lang w:val="en-US"/>
              </w:rPr>
            </w:pPr>
            <w:r w:rsidRPr="00E0193B">
              <w:rPr>
                <w:lang w:val="en-US"/>
              </w:rPr>
              <w:t xml:space="preserve">Indicative timeline for completion: </w:t>
            </w:r>
            <w:r w:rsidRPr="00E0193B">
              <w:rPr>
                <w:color w:val="FF0000"/>
                <w:lang w:val="en-US"/>
              </w:rPr>
              <w:t>Q2 2026</w:t>
            </w:r>
          </w:p>
        </w:tc>
      </w:tr>
      <w:tr w:rsidR="0060154B" w:rsidRPr="00E0193B" w14:paraId="37613557" w14:textId="77777777" w:rsidTr="0060154B">
        <w:tc>
          <w:tcPr>
            <w:tcW w:w="1179" w:type="pct"/>
          </w:tcPr>
          <w:p w14:paraId="1BDEE6C1" w14:textId="77777777" w:rsidR="0060154B" w:rsidRPr="00E0193B" w:rsidRDefault="0060154B" w:rsidP="0060154B">
            <w:pPr>
              <w:spacing w:after="120" w:line="240" w:lineRule="auto"/>
            </w:pPr>
            <w:r w:rsidRPr="00E0193B">
              <w:t>Uzasadnienie</w:t>
            </w:r>
          </w:p>
        </w:tc>
        <w:tc>
          <w:tcPr>
            <w:tcW w:w="3821" w:type="pct"/>
            <w:gridSpan w:val="2"/>
          </w:tcPr>
          <w:p w14:paraId="6A2501ED" w14:textId="34EDAF20" w:rsidR="0060154B" w:rsidRPr="00FB7F70" w:rsidRDefault="0060154B" w:rsidP="0060154B">
            <w:pPr>
              <w:spacing w:after="120" w:line="240" w:lineRule="auto"/>
            </w:pPr>
            <w:r w:rsidRPr="00E0193B">
              <w:t>Inwestycja A4.1.1. jest ściśle powiązana z realizacją reformy A4.1 i zwłaszcza z realizacją kamienia milowego A51G. Brak wdrożenia ustaw, wskazanych w kamieniu A51G uniemożliwia realizację prac związanych z rozbudową systemów teleinformatycznych (kamień A55G) o funkcjonalności wynikające z ustaw, które docelowo regulować będą kwestie rynku pracy oraz służb zatrudnienia, jak również zatrudnienia cudzoziemców w Polsce. Dotyczy to również przeprowadzenia szkoleń pracowników PSZ z nowych rozwiązań (kamień A56G), które będą wynikały z zapisów ustawy. Szkolenia te mają dotyczyć nowych procedur i standardów określonych w przyszłej ustawie o</w:t>
            </w:r>
            <w:r w:rsidRPr="00E0193B">
              <w:rPr>
                <w:noProof/>
              </w:rPr>
              <w:t>rynku pracy i publicznych służbach zatrudnienia</w:t>
            </w:r>
            <w:r w:rsidRPr="00E0193B">
              <w:t xml:space="preserve">, ustawie o </w:t>
            </w:r>
            <w:r w:rsidRPr="00E0193B">
              <w:rPr>
                <w:noProof/>
              </w:rPr>
              <w:t>dostępie cudzoziemców do rynku pracy</w:t>
            </w:r>
            <w:r w:rsidRPr="00E0193B">
              <w:t xml:space="preserve">  oraz ustawie o zawieraniu niektórych umów o pracę w sposób elektroniczny, a także narzędzi i systemów informatycznych obsługujących te nowe narzędzia i procedury. Zatem bez nowych regulacji prawnych realizacja tych szkoleń jest niemożliwa. Mając to na uwadze, konieczne jest wydłużenie terminu na realizację zadań niezbędnych dla osiągnięcia wskaźników </w:t>
            </w:r>
            <w:r w:rsidRPr="00FB7F70">
              <w:t>A55G i A56G.</w:t>
            </w:r>
          </w:p>
          <w:p w14:paraId="28C7E160" w14:textId="77777777" w:rsidR="0060154B" w:rsidRPr="00FB7F70" w:rsidRDefault="0060154B" w:rsidP="00A1213F">
            <w:pPr>
              <w:pStyle w:val="Akapitzlist"/>
              <w:numPr>
                <w:ilvl w:val="0"/>
                <w:numId w:val="20"/>
              </w:numPr>
              <w:spacing w:line="259" w:lineRule="auto"/>
              <w:jc w:val="left"/>
              <w:rPr>
                <w:noProof/>
              </w:rPr>
            </w:pPr>
            <w:r w:rsidRPr="00FB7F70">
              <w:rPr>
                <w:noProof/>
              </w:rPr>
              <w:lastRenderedPageBreak/>
              <w:t>Wskaźnik A55G Publiczne służby zatrudnienia, w których zostaną wdrożone zmodernizowane systemy informatyczne</w:t>
            </w:r>
          </w:p>
          <w:p w14:paraId="171DF885" w14:textId="10E4946C" w:rsidR="0060154B" w:rsidRPr="00E0193B" w:rsidRDefault="0060154B" w:rsidP="0060154B">
            <w:pPr>
              <w:rPr>
                <w:noProof/>
              </w:rPr>
            </w:pPr>
            <w:r w:rsidRPr="00E0193B">
              <w:rPr>
                <w:noProof/>
              </w:rPr>
              <w:t xml:space="preserve">W odniesieniu do wskaźnika A55G realizowane </w:t>
            </w:r>
            <w:r w:rsidR="001F0DFD" w:rsidRPr="00E0193B">
              <w:rPr>
                <w:noProof/>
              </w:rPr>
              <w:t>działania</w:t>
            </w:r>
            <w:r w:rsidRPr="00E0193B">
              <w:rPr>
                <w:noProof/>
              </w:rPr>
              <w:t xml:space="preserve"> mają na celu doprowadzenie do osiągnięcia zadeklarowanej wartości wskaźnika, tj. „w 100% publicznych służb zatrudnienia zostaną wdrożone zmodernizowane systemy informatyczne”. </w:t>
            </w:r>
          </w:p>
          <w:p w14:paraId="73D3B538" w14:textId="471B7EE0" w:rsidR="0060154B" w:rsidRPr="00E0193B" w:rsidRDefault="0060154B" w:rsidP="0060154B">
            <w:pPr>
              <w:rPr>
                <w:noProof/>
              </w:rPr>
            </w:pPr>
            <w:r w:rsidRPr="00E0193B">
              <w:rPr>
                <w:noProof/>
              </w:rPr>
              <w:t xml:space="preserve">W szczególności warto wskazać, że w zawartych umowach oraz w procedowanych zamówieniach publicznych na usługi dotyczące utrzymania i rozwoju systemów teleinformatycznych oraz zapewnienia wsparcia dla użytkowników końcowych zaplanowano (tam, gdzie istniała taka potrzeba) przeprowadzenie modernizacji technologicznej systemów. W umowach podpisanych prace dotyczące modernizacji technologicznej są w trakcie realizacji. Niezależnie od powyższego, we wszystkich umowach zabezpieczono lub zabezpieczone zostaną środki na rozbudowę funkcjonalności systemów teleinformatycznych o zmiany, które wynikać będą z przygotowywanych projektów ustaw o rynku pracy i publicznych służbach zatrudnienia i o dostępie cudzoziemców do rynku pracy  stanowiących kamień milowy A51G oraz przepisów wykonawczych do nich, a także z nowych metod pracy, standardów funkcjonowania i koordynacji PSZ w oparciu o ww. nowe regulacje. </w:t>
            </w:r>
          </w:p>
          <w:p w14:paraId="1BDC1A4F" w14:textId="77777777" w:rsidR="0060154B" w:rsidRPr="00E0193B" w:rsidRDefault="0060154B" w:rsidP="0060154B">
            <w:pPr>
              <w:rPr>
                <w:noProof/>
              </w:rPr>
            </w:pPr>
            <w:r w:rsidRPr="00E0193B">
              <w:rPr>
                <w:noProof/>
              </w:rPr>
              <w:t xml:space="preserve">Mając na względzie przewidywany harmonogram prac legislacyjnych dotyczących ww. aktów prawnych oraz harmonogram prac związanych z opracowaniem metod pracy, standardów funkcjonowania i koordynacji PSZ, prace dotyczące modernizacji systemów teleinformatycznych zaplanowane zostały do realizacji po ich wejściu w życie, tj. w roku 2025 oraz w pierwszej połowie 2026 r. </w:t>
            </w:r>
          </w:p>
          <w:p w14:paraId="65EA1101" w14:textId="49C581E1" w:rsidR="0060154B" w:rsidRPr="00E0193B" w:rsidRDefault="0060154B" w:rsidP="0060154B">
            <w:pPr>
              <w:rPr>
                <w:noProof/>
              </w:rPr>
            </w:pPr>
            <w:r w:rsidRPr="00E0193B">
              <w:rPr>
                <w:noProof/>
              </w:rPr>
              <w:t xml:space="preserve">W związku z tym, że na chwilę obecną nie jest znany zakres zmian dotyczących obsługi i form wsparcia udzielanych przez urzędy pracy na rzecz osób bezrobotnych i poszukujących, pracodawców i przedsiębiorców oraz cudzoziemców ubiegających się o możliwość pracy lub pracujących na terytorium RP, które wprowadzone zostaną w nowych ustawach i przepisach wykonawczych do nich, nie jest możliwe zagwarantowanie, że wszystkie zmiany z nich wynikające zostaną zaimplementowane w systemach teleinformatycznych w okresie kilkunastu miesięcy. </w:t>
            </w:r>
            <w:r w:rsidR="001F0DFD" w:rsidRPr="00E0193B">
              <w:rPr>
                <w:noProof/>
              </w:rPr>
              <w:t>P</w:t>
            </w:r>
            <w:r w:rsidRPr="00E0193B">
              <w:rPr>
                <w:noProof/>
              </w:rPr>
              <w:t>lanuje</w:t>
            </w:r>
            <w:r w:rsidR="001F0DFD" w:rsidRPr="00E0193B">
              <w:rPr>
                <w:noProof/>
              </w:rPr>
              <w:t xml:space="preserve"> się</w:t>
            </w:r>
            <w:r w:rsidRPr="00E0193B">
              <w:rPr>
                <w:noProof/>
              </w:rPr>
              <w:t xml:space="preserve">, że zmiany, które sukcesywnie wykonywane będą w ww. okresie w systemach teleinformatycznych, będą również sukcesywnie testowane, odbierane, wdrażane i udostępniane do eksploatacji dla publicznych służb zatrudnienia oraz ich Klientów. </w:t>
            </w:r>
          </w:p>
          <w:p w14:paraId="5F9B3811" w14:textId="77777777" w:rsidR="0060154B" w:rsidRPr="00E0193B" w:rsidRDefault="0060154B" w:rsidP="0060154B">
            <w:pPr>
              <w:rPr>
                <w:noProof/>
              </w:rPr>
            </w:pPr>
            <w:r w:rsidRPr="00E0193B">
              <w:rPr>
                <w:noProof/>
              </w:rPr>
              <w:t xml:space="preserve">Mając na względzie ograniczenia czasowe dotyczące okresu realizacji zadań w ramach KPO zakłada się, w miarę potrzeb, kontynuację prac związanych z rozbudową funkcjonalną systemów teleinformatycznych PSZ również po 30 czerwca 2026 r. i finansowanie tych prac w ramach środków pozostających w dyspozycji ministra właściwego do spraw pracy.    </w:t>
            </w:r>
          </w:p>
          <w:p w14:paraId="60C2C2CF" w14:textId="77777777" w:rsidR="0060154B" w:rsidRPr="00E0193B" w:rsidRDefault="0060154B" w:rsidP="00A1213F">
            <w:pPr>
              <w:pStyle w:val="Akapitzlist"/>
              <w:numPr>
                <w:ilvl w:val="0"/>
                <w:numId w:val="20"/>
              </w:numPr>
              <w:rPr>
                <w:noProof/>
              </w:rPr>
            </w:pPr>
            <w:r w:rsidRPr="00E0193B">
              <w:rPr>
                <w:noProof/>
              </w:rPr>
              <w:t>Wskaźnik A56G Pracownicy publicznych służb zatrudnienia przeszkoleni w zakresie stosowania nowych procedur i wykorzystywania narzędzi informatycznych, które wdrożono w związku z nową ustawą o publicznych służbach zatrudnienia, ustawą o zatrudnianiu obywateli państw trzecich oraz ustawą o zawieraniu niektórych umów o pracę w sposób elektroniczny</w:t>
            </w:r>
          </w:p>
          <w:p w14:paraId="2AB868DA" w14:textId="04DF2EBF" w:rsidR="0060154B" w:rsidRPr="00E0193B" w:rsidRDefault="0060154B" w:rsidP="0060154B">
            <w:pPr>
              <w:rPr>
                <w:noProof/>
              </w:rPr>
            </w:pPr>
            <w:r w:rsidRPr="00E0193B">
              <w:rPr>
                <w:noProof/>
              </w:rPr>
              <w:t>W zakresie realizacji wskaźnika A56G, spełnienie warunku określonego w CID, tj. przeszkolenie 50% pracowników PSZ zostanie zapewnione poprzez udział w  szkoleniach dotyczących nowych procedur, które zostaną wdrożone w związku z nowa ustawą o rynku pracy i publicznych służbach zatrudnienia, ustawą o o dostępie cudzoziemców do rynku pracy  oraz ustawa o zawieraniu niektórych umów sposób elektroniczny oraz poprzez udział w szkoleniach dotyczących zmodernizowanych narzędzi informatycznych w związku  z nowymi ustawami.</w:t>
            </w:r>
          </w:p>
          <w:p w14:paraId="7F9B2B03" w14:textId="77777777" w:rsidR="0060154B" w:rsidRPr="00E0193B" w:rsidRDefault="0060154B" w:rsidP="0060154B">
            <w:pPr>
              <w:rPr>
                <w:noProof/>
              </w:rPr>
            </w:pPr>
            <w:r w:rsidRPr="00E0193B">
              <w:rPr>
                <w:noProof/>
              </w:rPr>
              <w:t xml:space="preserve">Sekwencja zdarzeń wpływająca na realizację tego wskaźnika zawiera: 1) opublikowanie nowych przepisów (A51G), 2) modyfikacje systemów IT i ich wdrożenie w PSZ (A55G), 3) przeprowadzenie szkoleń z zakresu 1) i 2). </w:t>
            </w:r>
          </w:p>
          <w:p w14:paraId="7ECE1EA7" w14:textId="77777777" w:rsidR="0060154B" w:rsidRPr="00E0193B" w:rsidRDefault="0060154B" w:rsidP="0060154B">
            <w:pPr>
              <w:jc w:val="left"/>
              <w:rPr>
                <w:noProof/>
              </w:rPr>
            </w:pPr>
            <w:r w:rsidRPr="00E0193B">
              <w:rPr>
                <w:noProof/>
              </w:rPr>
              <w:t>Cykl szkoleń pracowników PSZ zaplanowano w 3 etapach:</w:t>
            </w:r>
            <w:r w:rsidRPr="00E0193B">
              <w:rPr>
                <w:noProof/>
              </w:rPr>
              <w:br/>
              <w:t>I – szkolenia ogólne,</w:t>
            </w:r>
            <w:r w:rsidRPr="00E0193B">
              <w:rPr>
                <w:noProof/>
              </w:rPr>
              <w:br/>
              <w:t>II – szkolenia z zakresu prawa (nowe przepisy),</w:t>
            </w:r>
            <w:r w:rsidRPr="00E0193B">
              <w:rPr>
                <w:noProof/>
              </w:rPr>
              <w:br/>
              <w:t xml:space="preserve">III – szkolenia z zakresu obsługi nowych lub zmodernizowanych narzędzi IT. </w:t>
            </w:r>
          </w:p>
          <w:p w14:paraId="447AE394" w14:textId="77777777" w:rsidR="0060154B" w:rsidRPr="00E0193B" w:rsidRDefault="0060154B" w:rsidP="0060154B">
            <w:pPr>
              <w:rPr>
                <w:noProof/>
              </w:rPr>
            </w:pPr>
            <w:r w:rsidRPr="00E0193B">
              <w:rPr>
                <w:noProof/>
              </w:rPr>
              <w:t>W etapie I zostaną przekazane wiadomości niezbędne do sprawnego wdrożenia planowanych rozwiązań prawnych. Zakłada się, że szkolenia rozpoczną się w 3 kwartale 2024, co pozwoli na przygotowanie programów szkoleń wykorzystujących zaawansowane projekty nowych przepisów. Na potrzeby etapu II po ogłoszeniu nowych przepisów zostaną opracowane programy szkoleń dla poszczególnych grup pracowników PSZ. Będą one uwzględniały przede wszystkim przepisy ustaw i rozporządzeń oraz Plan Rozwoju PSZ (A52G, planowana publikacja II kw. 2025, w tym samym terminie rozpoczęcie szkoleń). Na potrzeby etapu III, również po ogłoszeniu nowych przepisów, zostanie wykonana analiza zakresu niezbędnych zmian w systemach IT wykorzystywanych przez PSZ, a następnie sukcesywnie prace te będą wykonywane w ramach wskaźnika A55G. Jednocześnie zostanie preprowadzona identyfikacja grup użytkowników poszczególnych systemów IT w PSZ i zostaną dla nich opracowane programy szkoleń. Zakłada się, że wdrażanie nowych lub zmodyfikowanych systemów IT będzie przebiegało sekwencyjnie, w podobny sposób planuje się realizację szkoleń z ich użytkowania – szkolenia w schemacie czasowym „wdrożenie zmian w systemie n, n+1…/szkolenie grupy użytkowników systemu n, n+1…”.</w:t>
            </w:r>
          </w:p>
          <w:p w14:paraId="397988CC" w14:textId="752E330C" w:rsidR="0060154B" w:rsidRPr="00E0193B" w:rsidRDefault="0060154B" w:rsidP="0060154B">
            <w:pPr>
              <w:rPr>
                <w:noProof/>
              </w:rPr>
            </w:pPr>
            <w:r w:rsidRPr="00E0193B">
              <w:rPr>
                <w:noProof/>
              </w:rPr>
              <w:t xml:space="preserve">W związku z powyższym, zakres planowanych szkoleń daje gwarancję spełnienia wymogów określonych w CID. W I kwartale 2024 r. ogłoszono zamówienie publiczne na I etap szkoleń - szkolenia ogólne (zakres w załączniku). Obecnie oceniane są oferty złożone na podstawie tego zamówienia. Zakłada się, że szkolenia rozpoczną się w II/III kwartale 2024 r. i potrwają 12 miesięcy.  Celem tego etapu jest dostarczenie uczestnikom umiejętności i wiedzy niezbędnych do skutecznego stosowania wskazanych przepisów ustawowych oraz efektywnego nabycia wiedzy w dwóch kolejnych częściach. </w:t>
            </w:r>
          </w:p>
          <w:p w14:paraId="0681C065" w14:textId="487032D2" w:rsidR="0060154B" w:rsidRPr="00E0193B" w:rsidRDefault="0060154B" w:rsidP="0060154B">
            <w:pPr>
              <w:rPr>
                <w:noProof/>
              </w:rPr>
            </w:pPr>
            <w:r w:rsidRPr="00E0193B">
              <w:rPr>
                <w:noProof/>
              </w:rPr>
              <w:t xml:space="preserve">W związku z pracami legislacyjnymi nad ustawami (kamień milowy A51G) i przy założeniu, że ustawy zostaną ogłoszone w IV kwartale 2024 r., ogłoszenie przetargu na II etap szkoleń - szkolenia z nowych procedur wynikających z nowych ustaw mogłoby się odbyć najwcześniej </w:t>
            </w:r>
            <w:r w:rsidRPr="00E0193B">
              <w:rPr>
                <w:noProof/>
              </w:rPr>
              <w:lastRenderedPageBreak/>
              <w:t xml:space="preserve">w IV kwartale 2024 r. (po ogłoszeniu w Dzienniku Ustaw), a szkolenia mogłyby się rozpocząć w II kwartale 2025 r. i potrwać do końca IV kwartału 2025 r. </w:t>
            </w:r>
          </w:p>
          <w:p w14:paraId="51474CFC" w14:textId="4D9337CE" w:rsidR="0060154B" w:rsidRPr="00E0193B" w:rsidRDefault="0060154B" w:rsidP="00E0193B">
            <w:pPr>
              <w:rPr>
                <w:noProof/>
              </w:rPr>
            </w:pPr>
            <w:r w:rsidRPr="00E0193B">
              <w:rPr>
                <w:noProof/>
              </w:rPr>
              <w:t>III etap szkoleń - szkolenia z nowych narzędzi IT uzależnione są od postępu prac nad tymi systemami, realizowanymi  przez Departament Informatyki MRPiPS. Ogłoszenie przetargu na III etap szkoleń planowane jest na II/III kwartał 2025 r., a szkolenia z tego zakresu planowane są na IV kwartał 2025 r. - II kwartał 2026 r.</w:t>
            </w:r>
          </w:p>
        </w:tc>
      </w:tr>
      <w:tr w:rsidR="00491CB3" w:rsidRPr="00E0193B" w14:paraId="1E68C796" w14:textId="77777777" w:rsidTr="0060154B">
        <w:tc>
          <w:tcPr>
            <w:tcW w:w="1179" w:type="pct"/>
          </w:tcPr>
          <w:p w14:paraId="2748239F" w14:textId="77777777" w:rsidR="00491CB3" w:rsidRPr="00E0193B" w:rsidRDefault="00491CB3" w:rsidP="008C1B0D">
            <w:pPr>
              <w:spacing w:after="120" w:line="240" w:lineRule="auto"/>
            </w:pPr>
            <w:r w:rsidRPr="00E0193B">
              <w:lastRenderedPageBreak/>
              <w:t>Szacowany koszt</w:t>
            </w:r>
          </w:p>
        </w:tc>
        <w:tc>
          <w:tcPr>
            <w:tcW w:w="3821" w:type="pct"/>
            <w:gridSpan w:val="2"/>
          </w:tcPr>
          <w:p w14:paraId="158B5C83" w14:textId="77777777" w:rsidR="00491CB3" w:rsidRPr="00E0193B" w:rsidRDefault="00491CB3" w:rsidP="008C1B0D">
            <w:pPr>
              <w:spacing w:after="120" w:line="240" w:lineRule="auto"/>
            </w:pPr>
            <w:r w:rsidRPr="00E0193B">
              <w:rPr>
                <w:rFonts w:eastAsia="Calibri"/>
              </w:rPr>
              <w:t xml:space="preserve">Zmiana nie ma wpływu na szacowany koszt </w:t>
            </w:r>
          </w:p>
        </w:tc>
      </w:tr>
      <w:tr w:rsidR="00491CB3" w:rsidRPr="00E0193B" w14:paraId="51008A92" w14:textId="77777777" w:rsidTr="0060154B">
        <w:tc>
          <w:tcPr>
            <w:tcW w:w="1179" w:type="pct"/>
          </w:tcPr>
          <w:p w14:paraId="34BD8F99" w14:textId="77777777" w:rsidR="00491CB3" w:rsidRPr="00E0193B" w:rsidRDefault="00491CB3" w:rsidP="008C1B0D">
            <w:pPr>
              <w:spacing w:after="120" w:line="240" w:lineRule="auto"/>
            </w:pPr>
            <w:r w:rsidRPr="00E0193B">
              <w:t xml:space="preserve">Cyfrowy i klimatyczny tagging </w:t>
            </w:r>
          </w:p>
        </w:tc>
        <w:tc>
          <w:tcPr>
            <w:tcW w:w="3821" w:type="pct"/>
            <w:gridSpan w:val="2"/>
          </w:tcPr>
          <w:p w14:paraId="673AACB5" w14:textId="77777777" w:rsidR="00491CB3" w:rsidRPr="00E0193B" w:rsidRDefault="00491CB3" w:rsidP="008C1B0D">
            <w:pPr>
              <w:spacing w:after="120" w:line="240" w:lineRule="auto"/>
            </w:pPr>
            <w:r w:rsidRPr="00E0193B">
              <w:rPr>
                <w:rFonts w:eastAsia="Calibri"/>
              </w:rPr>
              <w:t>Zmiana nie ma wpływu na tagging klimatyczny i cyfrowy</w:t>
            </w:r>
          </w:p>
        </w:tc>
      </w:tr>
      <w:tr w:rsidR="00491CB3" w:rsidRPr="00E0193B" w14:paraId="6ECE0057" w14:textId="77777777" w:rsidTr="0060154B">
        <w:tc>
          <w:tcPr>
            <w:tcW w:w="1179" w:type="pct"/>
            <w:tcBorders>
              <w:bottom w:val="single" w:sz="4" w:space="0" w:color="auto"/>
            </w:tcBorders>
          </w:tcPr>
          <w:p w14:paraId="1CD0F5AF" w14:textId="77777777" w:rsidR="00491CB3" w:rsidRPr="00E0193B" w:rsidRDefault="00491CB3" w:rsidP="008C1B0D">
            <w:pPr>
              <w:spacing w:after="120" w:line="240" w:lineRule="auto"/>
            </w:pPr>
            <w:r w:rsidRPr="00E0193B">
              <w:t xml:space="preserve">Zasada DNSH </w:t>
            </w:r>
          </w:p>
        </w:tc>
        <w:tc>
          <w:tcPr>
            <w:tcW w:w="3821" w:type="pct"/>
            <w:gridSpan w:val="2"/>
            <w:tcBorders>
              <w:bottom w:val="single" w:sz="4" w:space="0" w:color="auto"/>
            </w:tcBorders>
          </w:tcPr>
          <w:p w14:paraId="176DEA9B" w14:textId="77777777" w:rsidR="00491CB3" w:rsidRPr="00E0193B" w:rsidRDefault="00491CB3" w:rsidP="008C1B0D">
            <w:pPr>
              <w:spacing w:after="120" w:line="240" w:lineRule="auto"/>
            </w:pPr>
            <w:r w:rsidRPr="00E0193B">
              <w:rPr>
                <w:rFonts w:eastAsia="Calibri"/>
              </w:rPr>
              <w:t>Zmiana nie ma wpływu na DNSH</w:t>
            </w:r>
          </w:p>
        </w:tc>
      </w:tr>
      <w:tr w:rsidR="00491CB3" w:rsidRPr="00E0193B" w14:paraId="4B170F48" w14:textId="77777777" w:rsidTr="0060154B">
        <w:tc>
          <w:tcPr>
            <w:tcW w:w="1179" w:type="pct"/>
            <w:tcBorders>
              <w:bottom w:val="single" w:sz="4" w:space="0" w:color="auto"/>
            </w:tcBorders>
          </w:tcPr>
          <w:p w14:paraId="6FF0071C" w14:textId="77777777" w:rsidR="00491CB3" w:rsidRPr="00E0193B" w:rsidRDefault="00491CB3" w:rsidP="008C1B0D">
            <w:pPr>
              <w:spacing w:after="120" w:line="240" w:lineRule="auto"/>
            </w:pPr>
            <w:r w:rsidRPr="00E0193B">
              <w:t xml:space="preserve">Pomoc publiczna </w:t>
            </w:r>
          </w:p>
        </w:tc>
        <w:tc>
          <w:tcPr>
            <w:tcW w:w="3821" w:type="pct"/>
            <w:gridSpan w:val="2"/>
            <w:tcBorders>
              <w:bottom w:val="single" w:sz="4" w:space="0" w:color="auto"/>
            </w:tcBorders>
          </w:tcPr>
          <w:p w14:paraId="664DA09A" w14:textId="77777777" w:rsidR="00491CB3" w:rsidRPr="00E0193B" w:rsidRDefault="00491CB3" w:rsidP="008C1B0D">
            <w:pPr>
              <w:spacing w:after="120" w:line="240" w:lineRule="auto"/>
            </w:pPr>
            <w:r w:rsidRPr="00E0193B">
              <w:rPr>
                <w:rFonts w:eastAsia="Calibri"/>
              </w:rPr>
              <w:t>Zmiana nie ma wpływu na pomoc publiczną</w:t>
            </w:r>
          </w:p>
        </w:tc>
      </w:tr>
    </w:tbl>
    <w:p w14:paraId="17EC4E54" w14:textId="77777777" w:rsidR="00491CB3" w:rsidRPr="00E0193B" w:rsidRDefault="00491CB3" w:rsidP="00491CB3">
      <w:pPr>
        <w:spacing w:after="120" w:line="240" w:lineRule="auto"/>
        <w:jc w:val="left"/>
        <w:rPr>
          <w:rFonts w:eastAsia="Calibri"/>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3479"/>
        <w:gridCol w:w="3411"/>
      </w:tblGrid>
      <w:tr w:rsidR="00491CB3" w:rsidRPr="00E0193B" w14:paraId="788D1969" w14:textId="77777777" w:rsidTr="008C1B0D">
        <w:tc>
          <w:tcPr>
            <w:tcW w:w="1088" w:type="pct"/>
          </w:tcPr>
          <w:p w14:paraId="5530A9D2" w14:textId="77777777" w:rsidR="00491CB3" w:rsidRPr="00E0193B" w:rsidRDefault="00491CB3" w:rsidP="00491CB3">
            <w:pPr>
              <w:spacing w:after="120" w:line="240" w:lineRule="auto"/>
              <w:jc w:val="left"/>
              <w:rPr>
                <w:rFonts w:eastAsia="Calibri"/>
                <w:b/>
                <w:bCs/>
              </w:rPr>
            </w:pPr>
            <w:r w:rsidRPr="00E0193B">
              <w:rPr>
                <w:rFonts w:eastAsia="Calibri"/>
                <w:b/>
                <w:bCs/>
              </w:rPr>
              <w:t>Numer reformy</w:t>
            </w:r>
          </w:p>
        </w:tc>
        <w:tc>
          <w:tcPr>
            <w:tcW w:w="3912" w:type="pct"/>
            <w:gridSpan w:val="2"/>
          </w:tcPr>
          <w:p w14:paraId="46EFCCB5" w14:textId="77777777" w:rsidR="00491CB3" w:rsidRPr="00E0193B" w:rsidRDefault="00491CB3" w:rsidP="00491CB3">
            <w:pPr>
              <w:spacing w:after="120" w:line="240" w:lineRule="auto"/>
              <w:jc w:val="left"/>
              <w:rPr>
                <w:rFonts w:eastAsia="Calibri"/>
                <w:b/>
                <w:bCs/>
              </w:rPr>
            </w:pPr>
            <w:r w:rsidRPr="00E0193B">
              <w:rPr>
                <w:rFonts w:eastAsia="Calibri"/>
                <w:b/>
                <w:bCs/>
              </w:rPr>
              <w:t>A4.2.</w:t>
            </w:r>
          </w:p>
        </w:tc>
      </w:tr>
      <w:tr w:rsidR="00491CB3" w:rsidRPr="00E0193B" w14:paraId="7E4C41C7" w14:textId="77777777" w:rsidTr="008C1B0D">
        <w:tc>
          <w:tcPr>
            <w:tcW w:w="1088" w:type="pct"/>
          </w:tcPr>
          <w:p w14:paraId="5814D34B" w14:textId="77777777" w:rsidR="00491CB3" w:rsidRPr="00E0193B" w:rsidRDefault="00491CB3" w:rsidP="00491CB3">
            <w:pPr>
              <w:spacing w:after="120" w:line="240" w:lineRule="auto"/>
              <w:jc w:val="left"/>
              <w:rPr>
                <w:rFonts w:eastAsia="Calibri"/>
                <w:b/>
                <w:bCs/>
              </w:rPr>
            </w:pPr>
            <w:r w:rsidRPr="00E0193B">
              <w:rPr>
                <w:rFonts w:eastAsia="Calibri"/>
                <w:b/>
                <w:bCs/>
              </w:rPr>
              <w:t>Nazwa reformy</w:t>
            </w:r>
          </w:p>
        </w:tc>
        <w:tc>
          <w:tcPr>
            <w:tcW w:w="3912" w:type="pct"/>
            <w:gridSpan w:val="2"/>
          </w:tcPr>
          <w:p w14:paraId="31FAD1B8" w14:textId="77777777" w:rsidR="00491CB3" w:rsidRPr="00E0193B" w:rsidRDefault="00491CB3" w:rsidP="00491CB3">
            <w:pPr>
              <w:spacing w:after="120" w:line="240" w:lineRule="auto"/>
              <w:jc w:val="left"/>
              <w:rPr>
                <w:rFonts w:eastAsia="Calibri"/>
                <w:b/>
                <w:bCs/>
              </w:rPr>
            </w:pPr>
            <w:r w:rsidRPr="00E0193B">
              <w:rPr>
                <w:rFonts w:eastAsia="Calibri"/>
                <w:b/>
                <w:bCs/>
              </w:rPr>
              <w:t>Reforma na rzecz poprawy sytuacji rodziców na rynku pracy poprzez zwiększenie dostępu do wysokiej jakości opieki nad dziećmi do lat trzech</w:t>
            </w:r>
          </w:p>
        </w:tc>
      </w:tr>
      <w:tr w:rsidR="00491CB3" w:rsidRPr="00E0193B" w14:paraId="15F8FAC1" w14:textId="77777777" w:rsidTr="008C1B0D">
        <w:tc>
          <w:tcPr>
            <w:tcW w:w="1088" w:type="pct"/>
            <w:shd w:val="clear" w:color="auto" w:fill="auto"/>
          </w:tcPr>
          <w:p w14:paraId="4E846980" w14:textId="77777777" w:rsidR="00491CB3" w:rsidRPr="00E0193B" w:rsidRDefault="00491CB3" w:rsidP="00491CB3">
            <w:pPr>
              <w:spacing w:after="120" w:line="240" w:lineRule="auto"/>
              <w:jc w:val="left"/>
              <w:rPr>
                <w:rFonts w:eastAsia="Calibri"/>
              </w:rPr>
            </w:pPr>
            <w:r w:rsidRPr="00E0193B">
              <w:rPr>
                <w:rFonts w:eastAsia="Calibri"/>
              </w:rPr>
              <w:t>Rodzaj wprowadzonej zmiany w odniesieniu do CID</w:t>
            </w:r>
          </w:p>
        </w:tc>
        <w:tc>
          <w:tcPr>
            <w:tcW w:w="3912" w:type="pct"/>
            <w:gridSpan w:val="2"/>
            <w:shd w:val="clear" w:color="auto" w:fill="auto"/>
          </w:tcPr>
          <w:p w14:paraId="48D0373B" w14:textId="77777777" w:rsidR="00491CB3" w:rsidRPr="00E0193B" w:rsidRDefault="00491CB3" w:rsidP="00491CB3">
            <w:pPr>
              <w:spacing w:after="120" w:line="240" w:lineRule="auto"/>
              <w:jc w:val="left"/>
              <w:rPr>
                <w:rFonts w:eastAsia="Calibri"/>
              </w:rPr>
            </w:pPr>
            <w:r w:rsidRPr="00E0193B">
              <w:rPr>
                <w:rFonts w:eastAsia="Calibri"/>
              </w:rPr>
              <w:t xml:space="preserve">Przesunięcie terminu realizacji kamienia milowego A57G </w:t>
            </w:r>
          </w:p>
          <w:p w14:paraId="76E3A334" w14:textId="77777777" w:rsidR="00491CB3" w:rsidRPr="00E0193B" w:rsidRDefault="00491CB3" w:rsidP="00491CB3">
            <w:pPr>
              <w:spacing w:after="120" w:line="240" w:lineRule="auto"/>
              <w:jc w:val="left"/>
              <w:rPr>
                <w:rFonts w:eastAsia="Calibri"/>
              </w:rPr>
            </w:pPr>
            <w:r w:rsidRPr="00E0193B">
              <w:rPr>
                <w:rFonts w:eastAsia="Calibri"/>
              </w:rPr>
              <w:t>Dodatkowa korekta techniczna w zakresie aktualizacji nazwy resortu odpowiedzialnego za realizację reformy.</w:t>
            </w:r>
          </w:p>
        </w:tc>
      </w:tr>
      <w:tr w:rsidR="00491CB3" w:rsidRPr="00E0193B" w14:paraId="5284BC16" w14:textId="77777777" w:rsidTr="008C1B0D">
        <w:tc>
          <w:tcPr>
            <w:tcW w:w="1088" w:type="pct"/>
            <w:shd w:val="clear" w:color="auto" w:fill="auto"/>
          </w:tcPr>
          <w:p w14:paraId="0BB87125" w14:textId="77777777" w:rsidR="00491CB3" w:rsidRPr="00E0193B" w:rsidRDefault="00491CB3" w:rsidP="00491CB3">
            <w:pPr>
              <w:spacing w:after="120" w:line="240" w:lineRule="auto"/>
              <w:jc w:val="left"/>
              <w:rPr>
                <w:rFonts w:eastAsia="Calibri"/>
              </w:rPr>
            </w:pPr>
            <w:r w:rsidRPr="00E0193B">
              <w:rPr>
                <w:rFonts w:eastAsia="Calibri"/>
              </w:rPr>
              <w:t>Podstawa prawna zmiany</w:t>
            </w:r>
          </w:p>
        </w:tc>
        <w:tc>
          <w:tcPr>
            <w:tcW w:w="3912" w:type="pct"/>
            <w:gridSpan w:val="2"/>
            <w:shd w:val="clear" w:color="auto" w:fill="auto"/>
          </w:tcPr>
          <w:p w14:paraId="3DD9404E" w14:textId="77777777" w:rsidR="00491CB3" w:rsidRPr="00E0193B" w:rsidRDefault="00491CB3" w:rsidP="00491CB3">
            <w:pPr>
              <w:spacing w:after="120" w:line="240" w:lineRule="auto"/>
              <w:jc w:val="left"/>
              <w:rPr>
                <w:rFonts w:eastAsia="Calibri"/>
              </w:rPr>
            </w:pPr>
            <w:r w:rsidRPr="00E0193B">
              <w:rPr>
                <w:rFonts w:eastAsia="Calibri"/>
              </w:rPr>
              <w:t>art. 21 rozporządzenia Parlamentu Europejskiego i Rady (UE) 2021/241 z dnia 12 lutego 2021 r. ustanawiające Instrument na rzecz Odbudowy i Zwiększania Odporności</w:t>
            </w:r>
          </w:p>
        </w:tc>
      </w:tr>
      <w:tr w:rsidR="00491CB3" w:rsidRPr="00E0193B" w14:paraId="22174F11" w14:textId="77777777" w:rsidTr="00491CB3">
        <w:tc>
          <w:tcPr>
            <w:tcW w:w="1088" w:type="pct"/>
            <w:shd w:val="clear" w:color="auto" w:fill="D9D9D9"/>
          </w:tcPr>
          <w:p w14:paraId="49308A55" w14:textId="77777777" w:rsidR="00491CB3" w:rsidRPr="00E0193B" w:rsidRDefault="00491CB3" w:rsidP="00491CB3">
            <w:pPr>
              <w:spacing w:after="120" w:line="240" w:lineRule="auto"/>
              <w:jc w:val="left"/>
              <w:rPr>
                <w:rFonts w:eastAsia="Calibri"/>
                <w:highlight w:val="lightGray"/>
              </w:rPr>
            </w:pPr>
            <w:r w:rsidRPr="00E0193B">
              <w:rPr>
                <w:rFonts w:eastAsia="Calibri"/>
                <w:highlight w:val="lightGray"/>
              </w:rPr>
              <w:t>Modyfikowany element</w:t>
            </w:r>
          </w:p>
        </w:tc>
        <w:tc>
          <w:tcPr>
            <w:tcW w:w="1975" w:type="pct"/>
            <w:shd w:val="clear" w:color="auto" w:fill="D9D9D9"/>
          </w:tcPr>
          <w:p w14:paraId="6637BFC2" w14:textId="77777777" w:rsidR="00491CB3" w:rsidRPr="00E0193B" w:rsidRDefault="00491CB3" w:rsidP="00491CB3">
            <w:pPr>
              <w:spacing w:after="120" w:line="240" w:lineRule="auto"/>
              <w:jc w:val="left"/>
              <w:rPr>
                <w:rFonts w:eastAsia="Calibri"/>
                <w:highlight w:val="lightGray"/>
              </w:rPr>
            </w:pPr>
            <w:r w:rsidRPr="00E0193B">
              <w:rPr>
                <w:rFonts w:eastAsia="Calibri"/>
                <w:highlight w:val="lightGray"/>
              </w:rPr>
              <w:t>Bieżąca wersja</w:t>
            </w:r>
          </w:p>
        </w:tc>
        <w:tc>
          <w:tcPr>
            <w:tcW w:w="1937" w:type="pct"/>
            <w:shd w:val="clear" w:color="auto" w:fill="D9D9D9"/>
          </w:tcPr>
          <w:p w14:paraId="03C4705D" w14:textId="77777777" w:rsidR="00491CB3" w:rsidRPr="00E0193B" w:rsidRDefault="00491CB3" w:rsidP="00491CB3">
            <w:pPr>
              <w:spacing w:after="120" w:line="240" w:lineRule="auto"/>
              <w:jc w:val="left"/>
              <w:rPr>
                <w:rFonts w:eastAsia="Calibri"/>
                <w:highlight w:val="lightGray"/>
              </w:rPr>
            </w:pPr>
            <w:r w:rsidRPr="00E0193B">
              <w:rPr>
                <w:rFonts w:eastAsia="Calibri"/>
                <w:highlight w:val="lightGray"/>
              </w:rPr>
              <w:t>Wersja zmieniona</w:t>
            </w:r>
          </w:p>
        </w:tc>
      </w:tr>
      <w:tr w:rsidR="00491CB3" w:rsidRPr="00E0193B" w14:paraId="3267FC26" w14:textId="77777777" w:rsidTr="008C1B0D">
        <w:tc>
          <w:tcPr>
            <w:tcW w:w="1088" w:type="pct"/>
          </w:tcPr>
          <w:p w14:paraId="73410A40" w14:textId="77777777" w:rsidR="00491CB3" w:rsidRPr="00E0193B" w:rsidRDefault="00491CB3" w:rsidP="00491CB3">
            <w:pPr>
              <w:spacing w:after="120" w:line="240" w:lineRule="auto"/>
              <w:jc w:val="left"/>
              <w:rPr>
                <w:rFonts w:eastAsia="Calibri"/>
              </w:rPr>
            </w:pPr>
            <w:r w:rsidRPr="00E0193B">
              <w:rPr>
                <w:rFonts w:eastAsia="Calibri"/>
              </w:rPr>
              <w:t>Opis komponentu oraz/lub działania (inwestycji/reformy)</w:t>
            </w:r>
          </w:p>
        </w:tc>
        <w:tc>
          <w:tcPr>
            <w:tcW w:w="1975" w:type="pct"/>
          </w:tcPr>
          <w:p w14:paraId="2133399B" w14:textId="77777777" w:rsidR="00491CB3" w:rsidRPr="00E0193B" w:rsidRDefault="00491CB3" w:rsidP="00491CB3">
            <w:pPr>
              <w:spacing w:after="120" w:line="240" w:lineRule="auto"/>
              <w:jc w:val="left"/>
              <w:rPr>
                <w:rFonts w:eastAsia="Calibri"/>
              </w:rPr>
            </w:pPr>
            <w:r w:rsidRPr="00E0193B">
              <w:rPr>
                <w:rFonts w:eastAsia="Calibri"/>
              </w:rPr>
              <w:t xml:space="preserve">A57G </w:t>
            </w:r>
          </w:p>
          <w:p w14:paraId="4535A8A1" w14:textId="77777777" w:rsidR="00491CB3" w:rsidRPr="00E0193B" w:rsidRDefault="00491CB3" w:rsidP="00491CB3">
            <w:pPr>
              <w:spacing w:after="120" w:line="240" w:lineRule="auto"/>
              <w:jc w:val="left"/>
              <w:rPr>
                <w:rFonts w:eastAsia="Calibri"/>
              </w:rPr>
            </w:pPr>
            <w:r w:rsidRPr="00E0193B">
              <w:rPr>
                <w:rFonts w:eastAsia="Calibri"/>
              </w:rPr>
              <w:t>Termin realizacji: II kw. 2023r.</w:t>
            </w:r>
          </w:p>
          <w:p w14:paraId="3693009B" w14:textId="77777777" w:rsidR="00491CB3" w:rsidRPr="00E0193B" w:rsidRDefault="00491CB3" w:rsidP="00491CB3">
            <w:pPr>
              <w:spacing w:after="120" w:line="240" w:lineRule="auto"/>
              <w:jc w:val="left"/>
              <w:rPr>
                <w:rFonts w:eastAsia="Calibri"/>
              </w:rPr>
            </w:pPr>
            <w:r w:rsidRPr="00E0193B">
              <w:rPr>
                <w:rFonts w:eastAsia="Calibri"/>
              </w:rPr>
              <w:t>Opis kamienia milowego:</w:t>
            </w:r>
          </w:p>
          <w:p w14:paraId="408B052A" w14:textId="77777777" w:rsidR="00491CB3" w:rsidRPr="00E0193B" w:rsidRDefault="00491CB3" w:rsidP="00491CB3">
            <w:pPr>
              <w:spacing w:after="120" w:line="240" w:lineRule="auto"/>
              <w:jc w:val="left"/>
              <w:rPr>
                <w:rFonts w:eastAsia="Calibri"/>
              </w:rPr>
            </w:pPr>
            <w:r w:rsidRPr="00E0193B">
              <w:rPr>
                <w:rFonts w:eastAsia="Calibri"/>
              </w:rPr>
              <w:t>Niezależna analiza zakresu, w jakim obowiązujące standardy opieki i edukacji dla dzieci w wieku do lat trzech umożliwiają dostęp do wysokiej jakości i przystępnych cenowo systemów wczesnej edukacji i opieki nad dzieckiem. Analiza zostanie przeprowadzona z uwzględnieniem zalecenia Rady z dnia 22 maja 2019 r. w sprawie wysokiej jakości systemów wczesnej edukacji i opieki nad dzieckiem (2019/C 189/02) i zostanie przedstawiona w sprawozdaniu, które opublikuje Ministerstwo Rodziny i Polityki Społecznej.</w:t>
            </w:r>
          </w:p>
          <w:p w14:paraId="3051E158" w14:textId="77777777" w:rsidR="00491CB3" w:rsidRPr="00E0193B" w:rsidRDefault="00491CB3" w:rsidP="00491CB3">
            <w:pPr>
              <w:spacing w:after="120" w:line="240" w:lineRule="auto"/>
              <w:jc w:val="left"/>
              <w:rPr>
                <w:rFonts w:eastAsia="Calibri"/>
              </w:rPr>
            </w:pPr>
            <w:r w:rsidRPr="00E0193B">
              <w:rPr>
                <w:rFonts w:eastAsia="Calibri"/>
              </w:rPr>
              <w:t>Na podstawie analizy przygotowane zostaną ramy norm jakości w zakresie opieki nad dziećmi, w tym wytyczne w zakresie edukacji i standardy usług opieki nad dziećmi poniżej trzeciego roku życia, które następnie zostaną poddane konsultacjom publicznym i uzgodnione z zainteresowanymi stronami przez Ministerstwo Rodziny i Polityki Społecznej.</w:t>
            </w:r>
          </w:p>
          <w:p w14:paraId="503EB294" w14:textId="77777777" w:rsidR="00491CB3" w:rsidRPr="00E0193B" w:rsidRDefault="00491CB3" w:rsidP="00491CB3">
            <w:pPr>
              <w:spacing w:after="120" w:line="240" w:lineRule="auto"/>
              <w:jc w:val="left"/>
              <w:rPr>
                <w:rFonts w:eastAsia="Calibri"/>
              </w:rPr>
            </w:pPr>
            <w:r w:rsidRPr="00E0193B">
              <w:rPr>
                <w:rFonts w:eastAsia="Calibri"/>
              </w:rPr>
              <w:t>Wejście w życie zmiany ustawy z dnia 4 lutego 2011 r. o opiece nad dziećmi do lat trzech nada ramom charakter wiążący dla podmiotów świadczących opiekę nad dziećmi, po uzyskaniu wyników konsultacji i na podstawie uzgodnień Ministerstwa Rodziny i Polityki Społecznej z zainteresowanymi stronami.</w:t>
            </w:r>
          </w:p>
        </w:tc>
        <w:tc>
          <w:tcPr>
            <w:tcW w:w="1937" w:type="pct"/>
          </w:tcPr>
          <w:p w14:paraId="1055A7CB" w14:textId="77777777" w:rsidR="00491CB3" w:rsidRPr="00E0193B" w:rsidRDefault="00491CB3" w:rsidP="00491CB3">
            <w:pPr>
              <w:spacing w:after="120" w:line="240" w:lineRule="auto"/>
              <w:jc w:val="left"/>
              <w:rPr>
                <w:rFonts w:eastAsia="Calibri"/>
              </w:rPr>
            </w:pPr>
            <w:r w:rsidRPr="00E0193B">
              <w:rPr>
                <w:rFonts w:eastAsia="Calibri"/>
              </w:rPr>
              <w:t xml:space="preserve">A57G </w:t>
            </w:r>
          </w:p>
          <w:p w14:paraId="4112C9EC" w14:textId="278A9AE8" w:rsidR="00491CB3" w:rsidRPr="00E0193B" w:rsidRDefault="00491CB3" w:rsidP="00491CB3">
            <w:pPr>
              <w:spacing w:after="120" w:line="240" w:lineRule="auto"/>
              <w:jc w:val="left"/>
              <w:rPr>
                <w:rFonts w:eastAsia="Calibri"/>
                <w:color w:val="FF0000"/>
              </w:rPr>
            </w:pPr>
            <w:r w:rsidRPr="00E0193B">
              <w:rPr>
                <w:rFonts w:eastAsia="Calibri"/>
              </w:rPr>
              <w:t xml:space="preserve">Termin realizacji: </w:t>
            </w:r>
            <w:r w:rsidR="00BD5B9A" w:rsidRPr="00E0193B">
              <w:rPr>
                <w:rFonts w:eastAsia="Calibri"/>
                <w:color w:val="FF0000"/>
              </w:rPr>
              <w:t>I</w:t>
            </w:r>
            <w:r w:rsidR="00B269F4" w:rsidRPr="00E0193B">
              <w:rPr>
                <w:rFonts w:eastAsia="Calibri"/>
                <w:color w:val="FF0000"/>
              </w:rPr>
              <w:t>V</w:t>
            </w:r>
            <w:r w:rsidR="00CB563D" w:rsidRPr="00E0193B">
              <w:rPr>
                <w:rFonts w:eastAsia="Calibri"/>
                <w:color w:val="FF0000"/>
              </w:rPr>
              <w:t xml:space="preserve"> </w:t>
            </w:r>
            <w:r w:rsidRPr="00E0193B">
              <w:rPr>
                <w:rFonts w:eastAsia="Calibri"/>
                <w:color w:val="FF0000"/>
              </w:rPr>
              <w:t>kw. 2024r.</w:t>
            </w:r>
          </w:p>
          <w:p w14:paraId="08D93EE6" w14:textId="77777777" w:rsidR="00491CB3" w:rsidRPr="00E0193B" w:rsidRDefault="00491CB3" w:rsidP="00491CB3">
            <w:pPr>
              <w:spacing w:after="120" w:line="240" w:lineRule="auto"/>
              <w:jc w:val="left"/>
              <w:rPr>
                <w:rFonts w:eastAsia="Calibri"/>
              </w:rPr>
            </w:pPr>
            <w:r w:rsidRPr="00E0193B">
              <w:rPr>
                <w:rFonts w:eastAsia="Calibri"/>
              </w:rPr>
              <w:t>Opis kamienia milowego:</w:t>
            </w:r>
          </w:p>
          <w:p w14:paraId="468BE726" w14:textId="77777777" w:rsidR="005A3E5D" w:rsidRPr="00E0193B" w:rsidRDefault="005A3E5D" w:rsidP="005A3E5D">
            <w:pPr>
              <w:spacing w:after="120" w:line="240" w:lineRule="auto"/>
              <w:jc w:val="left"/>
              <w:rPr>
                <w:rFonts w:eastAsia="Calibri"/>
              </w:rPr>
            </w:pPr>
            <w:r w:rsidRPr="00E0193B">
              <w:rPr>
                <w:rFonts w:eastAsia="Calibri"/>
              </w:rPr>
              <w:t xml:space="preserve">Niezależna analiza zakresu, w jakim istniejące standardy opieki i edukacji dla dzieci do trzeciego roku życia umożliwiają dostęp do wysokiej jakości i przystępnych cenowo systemów wczesnej edukacji i opieki. Analiza zostanie przeprowadzona z uwzględnieniem Zalecenia Rady z dnia 22 maja 2019 r. w sprawie wysokiej jakości systemów wczesnej edukacji i opieki nad dzieckiem (2019/C 189/02) i zostanie przedstawiona w raporcie do publikacji przez Ministerstwo Rodziny, </w:t>
            </w:r>
            <w:r w:rsidRPr="00E0193B">
              <w:rPr>
                <w:rFonts w:eastAsia="Calibri"/>
                <w:color w:val="FF0000"/>
              </w:rPr>
              <w:t>Pracy</w:t>
            </w:r>
            <w:r w:rsidRPr="00E0193B">
              <w:rPr>
                <w:rFonts w:eastAsia="Calibri"/>
              </w:rPr>
              <w:t xml:space="preserve"> i Polityki Społecznej. </w:t>
            </w:r>
          </w:p>
          <w:p w14:paraId="002F7320" w14:textId="146F4C19" w:rsidR="005A3E5D" w:rsidRPr="00E0193B" w:rsidRDefault="005A3E5D" w:rsidP="005A3E5D">
            <w:pPr>
              <w:spacing w:after="120" w:line="240" w:lineRule="auto"/>
              <w:jc w:val="left"/>
              <w:rPr>
                <w:rFonts w:eastAsia="Calibri"/>
                <w:color w:val="FF0000"/>
              </w:rPr>
            </w:pPr>
            <w:r w:rsidRPr="00E0193B">
              <w:rPr>
                <w:rFonts w:eastAsia="Calibri"/>
                <w:color w:val="FF0000"/>
              </w:rPr>
              <w:t xml:space="preserve">Uwzględniając wyniki przeprowadzonej analizy, zostaną określone standardy jakości opieki nad dziećmi w wieku do lat 3, w tym </w:t>
            </w:r>
            <w:r w:rsidRPr="00E0193B">
              <w:rPr>
                <w:rFonts w:eastAsia="Calibri"/>
                <w:iCs/>
              </w:rPr>
              <w:t>wytyczne w zakresie edukacji i standardy usług opieki nad dziećmi poniżej trzeciego roku życia,</w:t>
            </w:r>
            <w:r w:rsidRPr="00E0193B">
              <w:rPr>
                <w:rFonts w:eastAsia="Calibri"/>
                <w:i/>
              </w:rPr>
              <w:t xml:space="preserve"> </w:t>
            </w:r>
            <w:r w:rsidRPr="00E0193B">
              <w:rPr>
                <w:rFonts w:eastAsia="Calibri"/>
                <w:color w:val="FF0000"/>
              </w:rPr>
              <w:t xml:space="preserve">niezbędne do spełnienia przy tworzeniu i prowadzeniu instytucji opieki. Ponadto określone zostaną obszary rozwoju instytucji opieki celem podnoszenia jakości opieki Ww. standardy </w:t>
            </w:r>
            <w:r w:rsidRPr="00E0193B">
              <w:rPr>
                <w:rFonts w:eastAsia="Calibri"/>
                <w:iCs/>
              </w:rPr>
              <w:t>zostaną poddane konsultacjom publicznym i uzgodnione z zainteresowanymi stronami przez Ministerstwo Rodziny, Pracy i Polityki Społecznej.</w:t>
            </w:r>
          </w:p>
          <w:p w14:paraId="7124F8C1" w14:textId="09992F5B" w:rsidR="00491CB3" w:rsidRPr="00E0193B" w:rsidRDefault="005A3E5D" w:rsidP="005A3E5D">
            <w:pPr>
              <w:spacing w:after="120" w:line="240" w:lineRule="auto"/>
              <w:jc w:val="left"/>
              <w:rPr>
                <w:rFonts w:eastAsia="Calibri"/>
              </w:rPr>
            </w:pPr>
            <w:r w:rsidRPr="00E0193B">
              <w:rPr>
                <w:rFonts w:eastAsia="Calibri"/>
                <w:color w:val="FF0000"/>
              </w:rPr>
              <w:t>Celem wdrożenia standardów jakości opieki wprowadzone zostaną zmiany legislacyjne w obszarze opieki nad dziećmi do lat 3</w:t>
            </w:r>
            <w:r w:rsidR="00CE6566" w:rsidRPr="00E0193B">
              <w:rPr>
                <w:rFonts w:eastAsia="Calibri"/>
                <w:color w:val="FF0000"/>
              </w:rPr>
              <w:t xml:space="preserve"> </w:t>
            </w:r>
            <w:r w:rsidRPr="00E0193B">
              <w:rPr>
                <w:rFonts w:eastAsia="Calibri"/>
                <w:iCs/>
              </w:rPr>
              <w:t>po uzyskaniu wyników konsultacji i na podstawie uzgodnień Ministerstwa Rodziny, Pracy i Polityki Społecznej z zainteresowanymi stronami.</w:t>
            </w:r>
          </w:p>
        </w:tc>
      </w:tr>
      <w:tr w:rsidR="00491CB3" w:rsidRPr="00935797" w14:paraId="0AF51870" w14:textId="77777777" w:rsidTr="008C1B0D">
        <w:tc>
          <w:tcPr>
            <w:tcW w:w="1088" w:type="pct"/>
          </w:tcPr>
          <w:p w14:paraId="5A411758" w14:textId="77777777" w:rsidR="00491CB3" w:rsidRPr="00E0193B" w:rsidRDefault="00491CB3" w:rsidP="00491CB3">
            <w:pPr>
              <w:spacing w:after="120" w:line="240" w:lineRule="auto"/>
              <w:jc w:val="left"/>
              <w:rPr>
                <w:rFonts w:eastAsia="Calibri"/>
              </w:rPr>
            </w:pPr>
          </w:p>
        </w:tc>
        <w:tc>
          <w:tcPr>
            <w:tcW w:w="1975" w:type="pct"/>
          </w:tcPr>
          <w:p w14:paraId="0E296722" w14:textId="77777777" w:rsidR="00491CB3" w:rsidRPr="00E0193B" w:rsidRDefault="00491CB3" w:rsidP="00491CB3">
            <w:pPr>
              <w:spacing w:after="120" w:line="240" w:lineRule="auto"/>
              <w:jc w:val="left"/>
              <w:rPr>
                <w:rFonts w:eastAsia="Calibri"/>
                <w:lang w:val="en-US"/>
              </w:rPr>
            </w:pPr>
            <w:r w:rsidRPr="00E0193B">
              <w:rPr>
                <w:rFonts w:eastAsia="Calibri"/>
                <w:lang w:val="en-US"/>
              </w:rPr>
              <w:t xml:space="preserve">A57G </w:t>
            </w:r>
          </w:p>
          <w:p w14:paraId="656646DC" w14:textId="77777777" w:rsidR="00491CB3" w:rsidRPr="00E0193B" w:rsidRDefault="00491CB3" w:rsidP="00491CB3">
            <w:pPr>
              <w:spacing w:after="120" w:line="240" w:lineRule="auto"/>
              <w:jc w:val="left"/>
              <w:rPr>
                <w:rFonts w:eastAsia="Calibri"/>
                <w:lang w:val="en-US"/>
              </w:rPr>
            </w:pPr>
            <w:r w:rsidRPr="00E0193B">
              <w:rPr>
                <w:rFonts w:eastAsia="Calibri"/>
                <w:lang w:val="en-US"/>
              </w:rPr>
              <w:t>Indicative timeline for completion Q2 2023</w:t>
            </w:r>
          </w:p>
          <w:p w14:paraId="1FB95904" w14:textId="77777777" w:rsidR="00491CB3" w:rsidRPr="00E0193B" w:rsidRDefault="00491CB3" w:rsidP="00491CB3">
            <w:pPr>
              <w:spacing w:after="120" w:line="240" w:lineRule="auto"/>
              <w:jc w:val="left"/>
              <w:rPr>
                <w:rFonts w:eastAsia="Calibri"/>
                <w:lang w:val="en-US"/>
              </w:rPr>
            </w:pPr>
            <w:r w:rsidRPr="00E0193B">
              <w:rPr>
                <w:rFonts w:eastAsia="Calibri"/>
                <w:lang w:val="en-US"/>
              </w:rPr>
              <w:t>Description of each milestone and targe:</w:t>
            </w:r>
          </w:p>
          <w:p w14:paraId="2498A1EE" w14:textId="77777777" w:rsidR="00491CB3" w:rsidRPr="00E0193B" w:rsidRDefault="00491CB3" w:rsidP="00491CB3">
            <w:pPr>
              <w:spacing w:after="120" w:line="240" w:lineRule="auto"/>
              <w:jc w:val="left"/>
              <w:rPr>
                <w:rFonts w:eastAsia="Calibri"/>
                <w:lang w:val="en-US"/>
              </w:rPr>
            </w:pPr>
            <w:r w:rsidRPr="00E0193B">
              <w:rPr>
                <w:rFonts w:eastAsia="Calibri"/>
                <w:lang w:val="en-US"/>
              </w:rPr>
              <w:t xml:space="preserve">Independent analysis of the extent to which the existing standards of care and education for children up to three years of age allow access to high-quality and affordable early childhood education and care systems. The analysis shall be done taking into account the Council Recommendation of 22 May 2019 on High- Quality Early Childhood Education and Care Systems (2019/C 189/02) and shall be presented in a report to be published by the Ministry of Family and Social Policy. On the basis of the analysis, a framework for quality standards for childcare, including educational guidelines and standards of care services for children under three years of age shall be prepared, which shall then be publicly consulted and agreed on by the Ministry of Family and Social Policy with the stakeholders. Entry into force of an amendment of the Act of 4 February 2011 on the care of children up to three years of age </w:t>
            </w:r>
            <w:r w:rsidRPr="00E0193B">
              <w:rPr>
                <w:rFonts w:eastAsia="Calibri"/>
                <w:lang w:val="en-US"/>
              </w:rPr>
              <w:lastRenderedPageBreak/>
              <w:t xml:space="preserve">shall make the framework binding for childcare providers, following the outcome of the consultations and the agreement of the Ministry of Family and Social Policy with the stakeholders </w:t>
            </w:r>
          </w:p>
          <w:p w14:paraId="0E88F923" w14:textId="77777777" w:rsidR="00491CB3" w:rsidRPr="00E0193B" w:rsidDel="003E08A1" w:rsidRDefault="00491CB3" w:rsidP="00491CB3">
            <w:pPr>
              <w:spacing w:after="120" w:line="240" w:lineRule="auto"/>
              <w:jc w:val="left"/>
              <w:rPr>
                <w:rFonts w:eastAsia="Calibri"/>
                <w:lang w:val="en-US"/>
              </w:rPr>
            </w:pPr>
          </w:p>
        </w:tc>
        <w:tc>
          <w:tcPr>
            <w:tcW w:w="1937" w:type="pct"/>
          </w:tcPr>
          <w:p w14:paraId="37CA66BE" w14:textId="77777777" w:rsidR="00491CB3" w:rsidRPr="00E0193B" w:rsidRDefault="00491CB3" w:rsidP="00491CB3">
            <w:pPr>
              <w:spacing w:after="120" w:line="240" w:lineRule="auto"/>
              <w:jc w:val="left"/>
              <w:rPr>
                <w:rFonts w:eastAsia="Calibri"/>
                <w:lang w:val="en-US"/>
              </w:rPr>
            </w:pPr>
            <w:r w:rsidRPr="00E0193B">
              <w:rPr>
                <w:rFonts w:eastAsia="Calibri"/>
                <w:lang w:val="en-US"/>
              </w:rPr>
              <w:lastRenderedPageBreak/>
              <w:t xml:space="preserve">A57G </w:t>
            </w:r>
          </w:p>
          <w:p w14:paraId="6AD4553F" w14:textId="235F5F3A" w:rsidR="00491CB3" w:rsidRPr="00E0193B" w:rsidRDefault="00491CB3" w:rsidP="00491CB3">
            <w:pPr>
              <w:spacing w:after="120" w:line="240" w:lineRule="auto"/>
              <w:jc w:val="left"/>
              <w:rPr>
                <w:rFonts w:eastAsia="Calibri"/>
                <w:lang w:val="en-US"/>
              </w:rPr>
            </w:pPr>
            <w:r w:rsidRPr="00E0193B">
              <w:rPr>
                <w:rFonts w:eastAsia="Calibri"/>
                <w:lang w:val="en-US"/>
              </w:rPr>
              <w:t>Indicative timeline for completion Q</w:t>
            </w:r>
            <w:r w:rsidR="00B269F4" w:rsidRPr="00E0193B">
              <w:rPr>
                <w:rFonts w:eastAsia="Calibri"/>
                <w:lang w:val="en-US"/>
              </w:rPr>
              <w:t>4</w:t>
            </w:r>
            <w:r w:rsidR="00CB563D" w:rsidRPr="00E0193B">
              <w:rPr>
                <w:rFonts w:eastAsia="Calibri"/>
                <w:lang w:val="en-US"/>
              </w:rPr>
              <w:t xml:space="preserve"> </w:t>
            </w:r>
            <w:r w:rsidRPr="00E0193B">
              <w:rPr>
                <w:rFonts w:eastAsia="Calibri"/>
                <w:lang w:val="en-US"/>
              </w:rPr>
              <w:t>2024</w:t>
            </w:r>
          </w:p>
          <w:p w14:paraId="6ED74400" w14:textId="77777777" w:rsidR="00491CB3" w:rsidRPr="00E0193B" w:rsidRDefault="00491CB3" w:rsidP="00491CB3">
            <w:pPr>
              <w:spacing w:after="120" w:line="240" w:lineRule="auto"/>
              <w:jc w:val="left"/>
              <w:rPr>
                <w:rFonts w:eastAsia="Calibri"/>
                <w:lang w:val="en-US"/>
              </w:rPr>
            </w:pPr>
            <w:r w:rsidRPr="00E0193B">
              <w:rPr>
                <w:rFonts w:eastAsia="Calibri"/>
                <w:lang w:val="en-US"/>
              </w:rPr>
              <w:t>Description of each milestone and targe:</w:t>
            </w:r>
          </w:p>
          <w:p w14:paraId="17650EDE" w14:textId="208C471E" w:rsidR="005A3E5D" w:rsidRPr="00E0193B" w:rsidRDefault="005A3E5D" w:rsidP="005A3E5D">
            <w:pPr>
              <w:spacing w:after="120" w:line="240" w:lineRule="auto"/>
              <w:jc w:val="left"/>
              <w:rPr>
                <w:rFonts w:eastAsia="Calibri"/>
                <w:color w:val="FF0000"/>
                <w:lang w:val="en-US"/>
              </w:rPr>
            </w:pPr>
            <w:r w:rsidRPr="00E0193B">
              <w:rPr>
                <w:rFonts w:eastAsia="Calibri"/>
                <w:lang w:val="en-US"/>
              </w:rPr>
              <w:t>Independent analysis of the extent to which the existing standards of care and education for children up to three years of age allow access to high-quality and affordable early childhood education and care systems. The analysis shall be done taking into account the Council Recommendation of 22 May 2019 on High- Quality Early Childhood Education and Care Systems (2019/C 189/02) and shall be presented in a report to be published by the Ministry of Family,</w:t>
            </w:r>
            <w:r w:rsidRPr="00E0193B">
              <w:rPr>
                <w:rFonts w:eastAsia="Calibri"/>
                <w:color w:val="FF0000"/>
                <w:lang w:val="en-US"/>
              </w:rPr>
              <w:t xml:space="preserve"> Labour </w:t>
            </w:r>
            <w:r w:rsidRPr="00E0193B">
              <w:rPr>
                <w:rFonts w:eastAsia="Calibri"/>
                <w:lang w:val="en-US"/>
              </w:rPr>
              <w:t xml:space="preserve">and Social Policy. </w:t>
            </w:r>
            <w:r w:rsidRPr="00E0193B">
              <w:rPr>
                <w:rFonts w:eastAsia="Calibri"/>
                <w:color w:val="FF0000"/>
                <w:lang w:val="en-US"/>
              </w:rPr>
              <w:t>Taking into account the results of the analysis carried out, quality standards</w:t>
            </w:r>
            <w:r w:rsidRPr="00E0193B">
              <w:rPr>
                <w:rFonts w:eastAsia="Calibri"/>
                <w:lang w:val="en-US"/>
              </w:rPr>
              <w:t xml:space="preserve"> including educational guidelines and standards</w:t>
            </w:r>
            <w:r w:rsidRPr="00E0193B">
              <w:rPr>
                <w:rFonts w:eastAsia="Calibri"/>
                <w:color w:val="FF0000"/>
                <w:lang w:val="en-US"/>
              </w:rPr>
              <w:t xml:space="preserve"> for childcare for children up to the age of three will be identified, including the conditions necessary for the establishment of care institutions. In addition, areas for the development of care institutions will be identified in order to improve the quality of care. These standards will </w:t>
            </w:r>
            <w:r w:rsidRPr="00E0193B">
              <w:rPr>
                <w:rFonts w:eastAsia="Calibri"/>
                <w:lang w:val="en-US"/>
              </w:rPr>
              <w:t xml:space="preserve">be publicly </w:t>
            </w:r>
            <w:r w:rsidRPr="00E0193B">
              <w:rPr>
                <w:rFonts w:eastAsia="Calibri"/>
                <w:lang w:val="en-US"/>
              </w:rPr>
              <w:lastRenderedPageBreak/>
              <w:t>consulted and agreed on by the Ministry of Family, Labour and Social Policy with the stakeholders.</w:t>
            </w:r>
          </w:p>
          <w:p w14:paraId="5358A66A" w14:textId="6E530E11" w:rsidR="00491CB3" w:rsidRPr="00E0193B" w:rsidDel="003E08A1" w:rsidRDefault="005A3E5D" w:rsidP="005A3E5D">
            <w:pPr>
              <w:spacing w:after="120" w:line="240" w:lineRule="auto"/>
              <w:jc w:val="left"/>
              <w:rPr>
                <w:rFonts w:eastAsia="Calibri"/>
                <w:lang w:val="en-US"/>
              </w:rPr>
            </w:pPr>
            <w:r w:rsidRPr="00E0193B">
              <w:rPr>
                <w:rFonts w:eastAsia="Calibri"/>
                <w:color w:val="FF0000"/>
                <w:lang w:val="en-US"/>
              </w:rPr>
              <w:t xml:space="preserve">In order to implement the care quality standards, legislative changes in scope in childcare up to the 3 years, based </w:t>
            </w:r>
            <w:r w:rsidRPr="00E0193B">
              <w:rPr>
                <w:rFonts w:eastAsia="Calibri"/>
                <w:lang w:val="en-US"/>
              </w:rPr>
              <w:t xml:space="preserve">the outcome of the consultations and the agreement of the Ministry of Family, Labour and Social Policy with the stakeholders. </w:t>
            </w:r>
          </w:p>
        </w:tc>
      </w:tr>
      <w:tr w:rsidR="00491CB3" w:rsidRPr="00E0193B" w14:paraId="4C940E6B" w14:textId="77777777" w:rsidTr="008C1B0D">
        <w:tc>
          <w:tcPr>
            <w:tcW w:w="1088" w:type="pct"/>
          </w:tcPr>
          <w:p w14:paraId="77B731B0" w14:textId="77777777" w:rsidR="00491CB3" w:rsidRPr="00E0193B" w:rsidRDefault="00491CB3" w:rsidP="00491CB3">
            <w:pPr>
              <w:spacing w:after="120" w:line="240" w:lineRule="auto"/>
              <w:jc w:val="left"/>
              <w:rPr>
                <w:rFonts w:eastAsia="Calibri"/>
              </w:rPr>
            </w:pPr>
            <w:r w:rsidRPr="00E0193B">
              <w:rPr>
                <w:rFonts w:eastAsia="Calibri"/>
              </w:rPr>
              <w:lastRenderedPageBreak/>
              <w:t>Uzasadnienie</w:t>
            </w:r>
          </w:p>
        </w:tc>
        <w:tc>
          <w:tcPr>
            <w:tcW w:w="3912" w:type="pct"/>
            <w:gridSpan w:val="2"/>
          </w:tcPr>
          <w:p w14:paraId="49FA2532" w14:textId="77777777" w:rsidR="00491CB3" w:rsidRPr="00FB7F70" w:rsidRDefault="00491CB3" w:rsidP="00491CB3">
            <w:pPr>
              <w:spacing w:after="120" w:line="240" w:lineRule="auto"/>
              <w:jc w:val="left"/>
              <w:rPr>
                <w:rFonts w:eastAsia="Calibri"/>
              </w:rPr>
            </w:pPr>
            <w:r w:rsidRPr="00E0193B">
              <w:rPr>
                <w:rFonts w:eastAsia="Calibri"/>
              </w:rPr>
              <w:t xml:space="preserve">Zmiany aktów prawnych w zakresie objętym kamieniem milowym weszły w życie, jednak z dotychczasowych ustaleń z Komisją Europejską wynika, że nie są one wystarczające do uznania kamienia A57G za zrealizowany ze względu na faktyczny brak obligatoryjności </w:t>
            </w:r>
            <w:r w:rsidRPr="00FB7F70">
              <w:rPr>
                <w:rFonts w:eastAsia="Calibri"/>
              </w:rPr>
              <w:t xml:space="preserve">wprowadzanych rozwiązań. </w:t>
            </w:r>
          </w:p>
          <w:p w14:paraId="2661E52B" w14:textId="2E1902F9" w:rsidR="00A13E80" w:rsidRPr="00FB7F70" w:rsidRDefault="00A13E80" w:rsidP="00A13E80">
            <w:pPr>
              <w:spacing w:line="276" w:lineRule="auto"/>
              <w:rPr>
                <w:rFonts w:eastAsia="Calibri"/>
                <w:noProof/>
              </w:rPr>
            </w:pPr>
            <w:r w:rsidRPr="00FB7F70">
              <w:rPr>
                <w:rFonts w:eastAsia="Calibri"/>
                <w:noProof/>
                <w:color w:val="000000" w:themeColor="text1"/>
              </w:rPr>
              <w:t>Kamień milowy A57G</w:t>
            </w:r>
            <w:r w:rsidRPr="00FB7F70">
              <w:rPr>
                <w:rFonts w:eastAsia="Calibri"/>
                <w:noProof/>
              </w:rPr>
              <w:t xml:space="preserve"> Wdrożenie standardów jakości opieki nad dziećmi, w tym wytycznych edukacyjnych oraz standardów usług opiekuńczych dla dzieci do lat 3, zapewniających wysoką jakość, w tym edukacyjną i opiekuńczą</w:t>
            </w:r>
          </w:p>
          <w:p w14:paraId="14A17C03" w14:textId="77777777" w:rsidR="00A13E80" w:rsidRPr="00FB7F70" w:rsidRDefault="00A13E80" w:rsidP="00A13E80">
            <w:pPr>
              <w:pStyle w:val="Bezodstpw"/>
              <w:spacing w:line="276" w:lineRule="auto"/>
              <w:jc w:val="both"/>
              <w:rPr>
                <w:rFonts w:ascii="Times New Roman" w:hAnsi="Times New Roman" w:cs="Times New Roman"/>
                <w:sz w:val="24"/>
                <w:szCs w:val="24"/>
              </w:rPr>
            </w:pPr>
            <w:r w:rsidRPr="00FB7F70">
              <w:rPr>
                <w:rFonts w:ascii="Times New Roman" w:hAnsi="Times New Roman" w:cs="Times New Roman"/>
                <w:sz w:val="24"/>
                <w:szCs w:val="24"/>
              </w:rPr>
              <w:t xml:space="preserve">Propozycja zmiany w zakresie KM A57G dotyczy następujących kwestii: </w:t>
            </w:r>
          </w:p>
          <w:p w14:paraId="247F1996" w14:textId="1CD4FC14" w:rsidR="00B269F4" w:rsidRPr="00FB7F70" w:rsidRDefault="00B269F4" w:rsidP="00A1213F">
            <w:pPr>
              <w:pStyle w:val="Bezodstpw"/>
              <w:numPr>
                <w:ilvl w:val="0"/>
                <w:numId w:val="21"/>
              </w:numPr>
              <w:spacing w:line="276" w:lineRule="auto"/>
              <w:jc w:val="both"/>
              <w:rPr>
                <w:rFonts w:ascii="Times New Roman" w:hAnsi="Times New Roman" w:cs="Times New Roman"/>
                <w:sz w:val="24"/>
                <w:szCs w:val="24"/>
              </w:rPr>
            </w:pPr>
            <w:r w:rsidRPr="00FB7F70">
              <w:rPr>
                <w:rFonts w:ascii="Times New Roman" w:hAnsi="Times New Roman" w:cs="Times New Roman"/>
                <w:sz w:val="24"/>
                <w:szCs w:val="24"/>
              </w:rPr>
              <w:t xml:space="preserve">Zmiana terminu wdrożenia kamienia milowego z II kw. 2023 r. na IV kw. 2024 r. </w:t>
            </w:r>
          </w:p>
          <w:p w14:paraId="55E5E82D" w14:textId="77777777" w:rsidR="00A13E80" w:rsidRPr="00FB7F70" w:rsidRDefault="00A13E80" w:rsidP="00A1213F">
            <w:pPr>
              <w:pStyle w:val="Bezodstpw"/>
              <w:numPr>
                <w:ilvl w:val="0"/>
                <w:numId w:val="21"/>
              </w:numPr>
              <w:spacing w:line="276" w:lineRule="auto"/>
              <w:jc w:val="both"/>
              <w:rPr>
                <w:rFonts w:ascii="Times New Roman" w:hAnsi="Times New Roman" w:cs="Times New Roman"/>
                <w:sz w:val="24"/>
                <w:szCs w:val="24"/>
              </w:rPr>
            </w:pPr>
            <w:r w:rsidRPr="00FB7F70">
              <w:rPr>
                <w:rFonts w:ascii="Times New Roman" w:hAnsi="Times New Roman" w:cs="Times New Roman"/>
                <w:sz w:val="24"/>
                <w:szCs w:val="24"/>
              </w:rPr>
              <w:t xml:space="preserve">Zmiana nazwy resortu w opisie kamienia milowego </w:t>
            </w:r>
          </w:p>
          <w:p w14:paraId="7008F8B0" w14:textId="77777777" w:rsidR="00A13E80" w:rsidRPr="00FB7F70" w:rsidRDefault="00A13E80" w:rsidP="00A1213F">
            <w:pPr>
              <w:pStyle w:val="Bezodstpw"/>
              <w:numPr>
                <w:ilvl w:val="0"/>
                <w:numId w:val="21"/>
              </w:numPr>
              <w:spacing w:line="276" w:lineRule="auto"/>
              <w:jc w:val="both"/>
              <w:rPr>
                <w:rFonts w:ascii="Times New Roman" w:hAnsi="Times New Roman" w:cs="Times New Roman"/>
                <w:sz w:val="24"/>
                <w:szCs w:val="24"/>
              </w:rPr>
            </w:pPr>
            <w:r w:rsidRPr="00FB7F70">
              <w:rPr>
                <w:rFonts w:ascii="Times New Roman" w:hAnsi="Times New Roman" w:cs="Times New Roman"/>
                <w:sz w:val="24"/>
                <w:szCs w:val="24"/>
              </w:rPr>
              <w:t>Obowiązek dostosowania instytucji opieki do wdrażanych standardów jakości opieki wejdzie w życie 1 stycznia 2026 r. (vacatio legis na wejście w życie przepisów)</w:t>
            </w:r>
          </w:p>
          <w:p w14:paraId="233958D2" w14:textId="77777777" w:rsidR="00A13E80" w:rsidRPr="00FB7F70" w:rsidRDefault="00A13E80" w:rsidP="00A13E80">
            <w:pPr>
              <w:pStyle w:val="Bezodstpw"/>
              <w:spacing w:line="276" w:lineRule="auto"/>
              <w:jc w:val="both"/>
              <w:rPr>
                <w:rFonts w:ascii="Times New Roman" w:hAnsi="Times New Roman" w:cs="Times New Roman"/>
                <w:sz w:val="24"/>
                <w:szCs w:val="24"/>
              </w:rPr>
            </w:pPr>
          </w:p>
          <w:p w14:paraId="263E9A59" w14:textId="77777777" w:rsidR="005A3E5D" w:rsidRPr="00FB7F70" w:rsidRDefault="005A3E5D" w:rsidP="005A3E5D">
            <w:pPr>
              <w:pStyle w:val="Bezodstpw"/>
              <w:spacing w:line="276" w:lineRule="auto"/>
              <w:jc w:val="both"/>
              <w:rPr>
                <w:rFonts w:ascii="Times New Roman" w:hAnsi="Times New Roman" w:cs="Times New Roman"/>
                <w:sz w:val="24"/>
                <w:szCs w:val="24"/>
              </w:rPr>
            </w:pPr>
            <w:r w:rsidRPr="00FB7F70">
              <w:rPr>
                <w:rFonts w:ascii="Times New Roman" w:hAnsi="Times New Roman" w:cs="Times New Roman"/>
                <w:sz w:val="24"/>
                <w:szCs w:val="24"/>
              </w:rPr>
              <w:t xml:space="preserve">Uzasadnienie zmian: </w:t>
            </w:r>
          </w:p>
          <w:p w14:paraId="7ACF2C51" w14:textId="31D75419" w:rsidR="005A3E5D" w:rsidRPr="00E0193B" w:rsidRDefault="005A3E5D" w:rsidP="00A1213F">
            <w:pPr>
              <w:pStyle w:val="Bezodstpw"/>
              <w:numPr>
                <w:ilvl w:val="0"/>
                <w:numId w:val="22"/>
              </w:numPr>
              <w:spacing w:line="276" w:lineRule="auto"/>
              <w:jc w:val="both"/>
              <w:rPr>
                <w:rFonts w:ascii="Times New Roman" w:hAnsi="Times New Roman" w:cs="Times New Roman"/>
                <w:sz w:val="24"/>
                <w:szCs w:val="24"/>
              </w:rPr>
            </w:pPr>
            <w:r w:rsidRPr="00FB7F70">
              <w:rPr>
                <w:rFonts w:ascii="Times New Roman" w:hAnsi="Times New Roman" w:cs="Times New Roman"/>
                <w:sz w:val="24"/>
                <w:szCs w:val="24"/>
              </w:rPr>
              <w:t>Strona polska wyraża gotowość wdrożenia obligatoryjnych standardów opieki nad dziećmi</w:t>
            </w:r>
            <w:r w:rsidRPr="00E0193B">
              <w:rPr>
                <w:rFonts w:ascii="Times New Roman" w:hAnsi="Times New Roman" w:cs="Times New Roman"/>
                <w:sz w:val="24"/>
                <w:szCs w:val="24"/>
              </w:rPr>
              <w:t xml:space="preserve"> do lat 3, jednak czas pozostały na wykazanie wdrożenia kamienia milowego A57G w trzecim wniosku o płatność jest zbyt krótki, aby zrealizować przyjęte założenia. W związku z powyższym proponuje się wydłużenie okresu realizacji kamienia milowego A57G do IV kw. 2024 r. Celem wprowadzenia ujednoliconych i obligatoryjnych standardów jest zapewnienie rodziców</w:t>
            </w:r>
            <w:r w:rsidR="00067DB7" w:rsidRPr="00E0193B">
              <w:rPr>
                <w:rFonts w:ascii="Times New Roman" w:hAnsi="Times New Roman" w:cs="Times New Roman"/>
                <w:sz w:val="24"/>
                <w:szCs w:val="24"/>
              </w:rPr>
              <w:t xml:space="preserve"> </w:t>
            </w:r>
            <w:r w:rsidRPr="00E0193B">
              <w:rPr>
                <w:rFonts w:ascii="Times New Roman" w:hAnsi="Times New Roman" w:cs="Times New Roman"/>
                <w:sz w:val="24"/>
                <w:szCs w:val="24"/>
              </w:rPr>
              <w:t>o umieszczaniu dziecka w instytucji opieki o potwierdzonym standardzie jakości opieki i edukacji. Dlatego  docelowo od 1.01.2026 r.  wszystkie instytucje opieki będą musiały obligatoryjnie spełnić standardy minimum określone w rozporządzeniu ministra właściwego do spraw rodziny. Spełnienie standardów przez instytucje opieki będzie monitorowane w rejestrze żłobków.</w:t>
            </w:r>
          </w:p>
          <w:p w14:paraId="78E426BE" w14:textId="23996DFA" w:rsidR="005A3E5D" w:rsidRPr="00E0193B" w:rsidRDefault="005A3E5D" w:rsidP="00A1213F">
            <w:pPr>
              <w:pStyle w:val="Bezodstpw"/>
              <w:numPr>
                <w:ilvl w:val="0"/>
                <w:numId w:val="22"/>
              </w:numPr>
              <w:spacing w:line="276" w:lineRule="auto"/>
              <w:jc w:val="both"/>
              <w:rPr>
                <w:rFonts w:ascii="Times New Roman" w:hAnsi="Times New Roman" w:cs="Times New Roman"/>
                <w:sz w:val="24"/>
                <w:szCs w:val="24"/>
              </w:rPr>
            </w:pPr>
            <w:r w:rsidRPr="00E0193B">
              <w:rPr>
                <w:rFonts w:ascii="Times New Roman" w:hAnsi="Times New Roman" w:cs="Times New Roman"/>
                <w:sz w:val="24"/>
                <w:szCs w:val="24"/>
              </w:rPr>
              <w:t>Należy zauważyć, że w przypadku Polski struktura właścicielska instytucji opieki nad dziećmi do lat 3 charakteryzuje się wysokim udziałem podmiotów prywatnych. Na koniec 2023 r. udział publicznych (gminnych) żłobków i klubów dziecięcych wynosił odpowiednio 26% i 19%. Natomiast w przypadku dziennych opiekunów udział podmiotów zatrudnionych przez gminę wynosił 5%. Uwarunkowania te powodują, że zobligowanie do powszechnego wprowadzenia dodatkowych warunków realizacji działalności polegającej na świadczeniu opieki będzie się wiązać z dodatkowymi kosztami oraz może zniechęcać do dalszego prowadzenia lub zakładania działalności w tym obszarze. To z kolei przełoży się na dostępność miejsc opieki, której zwiększenie jest teraz dla Polski jednym z działań priorytetowych wobec realizacji Programu MALUCH+ (</w:t>
            </w:r>
            <w:r w:rsidRPr="00E0193B">
              <w:rPr>
                <w:rFonts w:ascii="Times New Roman" w:hAnsi="Times New Roman" w:cs="Times New Roman"/>
                <w:i/>
                <w:sz w:val="24"/>
                <w:szCs w:val="24"/>
              </w:rPr>
              <w:t>w przyszłości AKTYWNY MALUCH</w:t>
            </w:r>
            <w:r w:rsidRPr="00E0193B">
              <w:rPr>
                <w:rFonts w:ascii="Times New Roman" w:hAnsi="Times New Roman" w:cs="Times New Roman"/>
                <w:sz w:val="24"/>
                <w:szCs w:val="24"/>
              </w:rPr>
              <w:t>) i potrzeb w tym obszarze.</w:t>
            </w:r>
          </w:p>
          <w:p w14:paraId="63AF4906" w14:textId="77777777" w:rsidR="005A3E5D" w:rsidRPr="00E0193B" w:rsidRDefault="005A3E5D" w:rsidP="00A1213F">
            <w:pPr>
              <w:pStyle w:val="Bezodstpw"/>
              <w:numPr>
                <w:ilvl w:val="0"/>
                <w:numId w:val="22"/>
              </w:numPr>
              <w:spacing w:line="276" w:lineRule="auto"/>
              <w:jc w:val="both"/>
              <w:rPr>
                <w:rFonts w:ascii="Times New Roman" w:hAnsi="Times New Roman" w:cs="Times New Roman"/>
                <w:sz w:val="24"/>
                <w:szCs w:val="24"/>
              </w:rPr>
            </w:pPr>
            <w:r w:rsidRPr="00E0193B">
              <w:rPr>
                <w:rFonts w:ascii="Times New Roman" w:hAnsi="Times New Roman" w:cs="Times New Roman"/>
                <w:sz w:val="24"/>
                <w:szCs w:val="24"/>
              </w:rPr>
              <w:t>Ponadto kadry zatrudnione w instytucjach bądź tworzące instytucje nie są przeszkolone w zakresie wymogów wprowadzonych w standardach. Planuje się działania w tym obszarze w celu przygotowania instytucji opieki do wdrażania przyjętych standardów (m.in. szkolenia współfinansowane ze środków EFS+ w ramach krajowego Programu FERS).</w:t>
            </w:r>
          </w:p>
          <w:p w14:paraId="56914AB6" w14:textId="77777777" w:rsidR="005A3E5D" w:rsidRPr="00E0193B" w:rsidRDefault="005A3E5D" w:rsidP="00A1213F">
            <w:pPr>
              <w:pStyle w:val="Bezodstpw"/>
              <w:numPr>
                <w:ilvl w:val="0"/>
                <w:numId w:val="22"/>
              </w:numPr>
              <w:spacing w:line="276" w:lineRule="auto"/>
              <w:jc w:val="both"/>
              <w:rPr>
                <w:rFonts w:ascii="Times New Roman" w:hAnsi="Times New Roman" w:cs="Times New Roman"/>
                <w:sz w:val="24"/>
                <w:szCs w:val="24"/>
              </w:rPr>
            </w:pPr>
            <w:r w:rsidRPr="00E0193B">
              <w:rPr>
                <w:rFonts w:ascii="Times New Roman" w:hAnsi="Times New Roman" w:cs="Times New Roman"/>
                <w:sz w:val="24"/>
                <w:szCs w:val="24"/>
              </w:rPr>
              <w:t>W celu uniknięcia negatywnych skutków zbyt szybkiego wprowadzenia regulacji objętych kamieniem A57G przy nieprzygotowanym dostatecznie systemie wczesnej edukacji i opieki strona polska zakłada, że nowelizacja ustawy o opiece nad dziećmi do lat 3, która zostałaby przyjęta do końca 2024 r., będzie zakładać wydłużone vacatio legis na wejście w życie przepisów wprowadzających obligatoryjne standardy opieki. Takie rozwiązanie umożliwi osiągniecie kamienia milowego do końca 2024 r., przy faktycznym wejściu w życie przedmiotowych standardów jako obligatoryjnych od 1 stycznia 2026 r. Umożliwi to przygotowanie instytucji opieki do wdrożenia standardów, a wcześniej – na skutek projektowanych zmian prawnych – doprowadzi do sytuacji, w której zapewniona zostanie dostępność terytorialna i finansowa instytucji opieki w każdej gminie. Umożliwi to również dostosowanie się do nowego porządku prawnego podmiotów prywatnych, które stanowią większość instytucji opieki nad dziećmi do lat 3 w Polsce, a jednocześnie nie zniechęci do tworzenia nowych miejsc opieki w kulminacyjnym etapie wdrażania programu rozwoju instytucji opieki.</w:t>
            </w:r>
          </w:p>
          <w:p w14:paraId="1EEC18A9" w14:textId="77777777" w:rsidR="005A3E5D" w:rsidRPr="00FB7F70" w:rsidRDefault="005A3E5D" w:rsidP="005A3E5D">
            <w:pPr>
              <w:pStyle w:val="Bezodstpw"/>
              <w:spacing w:line="276" w:lineRule="auto"/>
              <w:jc w:val="both"/>
              <w:rPr>
                <w:rFonts w:ascii="Times New Roman" w:hAnsi="Times New Roman" w:cs="Times New Roman"/>
                <w:sz w:val="24"/>
                <w:szCs w:val="24"/>
              </w:rPr>
            </w:pPr>
          </w:p>
          <w:p w14:paraId="627ADE7D" w14:textId="77777777" w:rsidR="005A3E5D" w:rsidRPr="00FB7F70" w:rsidRDefault="005A3E5D" w:rsidP="005A3E5D">
            <w:pPr>
              <w:pStyle w:val="Bezodstpw"/>
              <w:spacing w:line="276" w:lineRule="auto"/>
              <w:jc w:val="both"/>
              <w:rPr>
                <w:rFonts w:ascii="Times New Roman" w:hAnsi="Times New Roman" w:cs="Times New Roman"/>
                <w:sz w:val="24"/>
                <w:szCs w:val="24"/>
              </w:rPr>
            </w:pPr>
            <w:r w:rsidRPr="00FB7F70">
              <w:rPr>
                <w:rFonts w:ascii="Times New Roman" w:hAnsi="Times New Roman" w:cs="Times New Roman"/>
                <w:sz w:val="24"/>
                <w:szCs w:val="24"/>
              </w:rPr>
              <w:t xml:space="preserve">Projektowane zmiany w systemie opieki nad dziećmi w wieku do lat 3: </w:t>
            </w:r>
          </w:p>
          <w:p w14:paraId="1EB64C1C" w14:textId="77777777" w:rsidR="005A3E5D" w:rsidRPr="00E0193B" w:rsidRDefault="005A3E5D" w:rsidP="00A1213F">
            <w:pPr>
              <w:pStyle w:val="Bezodstpw"/>
              <w:numPr>
                <w:ilvl w:val="0"/>
                <w:numId w:val="23"/>
              </w:numPr>
              <w:spacing w:line="276" w:lineRule="auto"/>
              <w:jc w:val="both"/>
              <w:rPr>
                <w:rFonts w:ascii="Times New Roman" w:hAnsi="Times New Roman" w:cs="Times New Roman"/>
                <w:sz w:val="24"/>
                <w:szCs w:val="24"/>
              </w:rPr>
            </w:pPr>
            <w:r w:rsidRPr="00E0193B">
              <w:rPr>
                <w:rFonts w:ascii="Times New Roman" w:hAnsi="Times New Roman" w:cs="Times New Roman"/>
                <w:sz w:val="24"/>
                <w:szCs w:val="24"/>
              </w:rPr>
              <w:t xml:space="preserve">Wprowadzenie obligatoryjnych standardów jakości opieki koniecznych do utworzenia instytucji opieki. </w:t>
            </w:r>
          </w:p>
          <w:p w14:paraId="52929AD3" w14:textId="77777777" w:rsidR="005A3E5D" w:rsidRPr="00E0193B" w:rsidRDefault="005A3E5D" w:rsidP="00A1213F">
            <w:pPr>
              <w:pStyle w:val="Bezodstpw"/>
              <w:numPr>
                <w:ilvl w:val="0"/>
                <w:numId w:val="23"/>
              </w:numPr>
              <w:spacing w:line="276" w:lineRule="auto"/>
              <w:jc w:val="both"/>
              <w:rPr>
                <w:rFonts w:ascii="Times New Roman" w:hAnsi="Times New Roman" w:cs="Times New Roman"/>
                <w:sz w:val="24"/>
                <w:szCs w:val="24"/>
              </w:rPr>
            </w:pPr>
            <w:r w:rsidRPr="00E0193B">
              <w:rPr>
                <w:rFonts w:ascii="Times New Roman" w:hAnsi="Times New Roman" w:cs="Times New Roman"/>
                <w:sz w:val="24"/>
                <w:szCs w:val="24"/>
              </w:rPr>
              <w:t>Zmiana rozporządzenia w sprawie standardów opieki określającego standardy niezbędne do prowadzenia instytucji opieki oraz określające obszary rozwoju instytucji opieki celem podnoszenia jakości opieki, w tym realizacji wytycznych edukacyjnych wraz ze wskazaniem jak należy je monitorować i ewaluować.</w:t>
            </w:r>
          </w:p>
          <w:p w14:paraId="5D4A6386" w14:textId="77777777" w:rsidR="005A3E5D" w:rsidRPr="00E0193B" w:rsidRDefault="005A3E5D" w:rsidP="00A1213F">
            <w:pPr>
              <w:pStyle w:val="Bezodstpw"/>
              <w:numPr>
                <w:ilvl w:val="0"/>
                <w:numId w:val="23"/>
              </w:numPr>
              <w:spacing w:line="276" w:lineRule="auto"/>
              <w:jc w:val="both"/>
              <w:rPr>
                <w:rFonts w:ascii="Times New Roman" w:hAnsi="Times New Roman" w:cs="Times New Roman"/>
                <w:sz w:val="24"/>
                <w:szCs w:val="24"/>
              </w:rPr>
            </w:pPr>
            <w:r w:rsidRPr="00E0193B">
              <w:rPr>
                <w:rFonts w:ascii="Times New Roman" w:hAnsi="Times New Roman" w:cs="Times New Roman"/>
                <w:sz w:val="24"/>
                <w:szCs w:val="24"/>
              </w:rPr>
              <w:t xml:space="preserve">Opracowanie wytycznych dla jednostek samorządu terytorialnego dotyczących kontroli jakości. Wytyczne będą stanowiły wsparcie w realizacji zadania będącego we właściwości JST. </w:t>
            </w:r>
          </w:p>
          <w:p w14:paraId="09D8E17A" w14:textId="77777777" w:rsidR="005A3E5D" w:rsidRPr="00E0193B" w:rsidRDefault="005A3E5D" w:rsidP="00A1213F">
            <w:pPr>
              <w:pStyle w:val="Bezodstpw"/>
              <w:numPr>
                <w:ilvl w:val="0"/>
                <w:numId w:val="23"/>
              </w:numPr>
              <w:spacing w:line="276" w:lineRule="auto"/>
              <w:jc w:val="both"/>
              <w:rPr>
                <w:rFonts w:ascii="Times New Roman" w:hAnsi="Times New Roman" w:cs="Times New Roman"/>
                <w:sz w:val="24"/>
                <w:szCs w:val="24"/>
              </w:rPr>
            </w:pPr>
            <w:r w:rsidRPr="00E0193B">
              <w:rPr>
                <w:rFonts w:ascii="Times New Roman" w:hAnsi="Times New Roman" w:cs="Times New Roman"/>
                <w:sz w:val="24"/>
                <w:szCs w:val="24"/>
              </w:rPr>
              <w:t xml:space="preserve">Celem przygotowania kadry opiekuńczej, zarządzającej oraz kontrolującej planowane są szkolenia z FERS. Szkolenia dla opiekunek/opiekunów rozpoczną się w 2024 r., natomiast dla pozostałych grup w 2025 r. Docelowo planuje się, aby kadry były gotowe do wdrożenia standardów opieki do końca 2025 r. </w:t>
            </w:r>
          </w:p>
          <w:p w14:paraId="217EF600" w14:textId="77777777" w:rsidR="00067DB7" w:rsidRPr="00E0193B" w:rsidRDefault="005A3E5D" w:rsidP="00A1213F">
            <w:pPr>
              <w:pStyle w:val="Bezodstpw"/>
              <w:numPr>
                <w:ilvl w:val="0"/>
                <w:numId w:val="23"/>
              </w:numPr>
              <w:spacing w:line="276" w:lineRule="auto"/>
              <w:jc w:val="both"/>
              <w:rPr>
                <w:rFonts w:ascii="Times New Roman" w:hAnsi="Times New Roman" w:cs="Times New Roman"/>
                <w:sz w:val="24"/>
                <w:szCs w:val="24"/>
              </w:rPr>
            </w:pPr>
            <w:r w:rsidRPr="00E0193B">
              <w:rPr>
                <w:rFonts w:ascii="Times New Roman" w:hAnsi="Times New Roman" w:cs="Times New Roman"/>
                <w:sz w:val="24"/>
                <w:szCs w:val="24"/>
              </w:rPr>
              <w:lastRenderedPageBreak/>
              <w:t>Opracowywany jest podręcznik metodologiczny dla opiekunek/opiekunów w instytucjach opieki w jaki sposób powinna być sprawowana opieka, aby była ona wysokiej jakości oraz podręcznik metodologiczny dla gmin określający w jaki sposób kontrolować zmienione standardy jakości opieki nad dziećmi do lat 3.</w:t>
            </w:r>
          </w:p>
          <w:p w14:paraId="5BFB23AA" w14:textId="38E4038E" w:rsidR="00A13E80" w:rsidRPr="00E0193B" w:rsidRDefault="005A3E5D" w:rsidP="00A1213F">
            <w:pPr>
              <w:pStyle w:val="Bezodstpw"/>
              <w:numPr>
                <w:ilvl w:val="0"/>
                <w:numId w:val="23"/>
              </w:numPr>
              <w:spacing w:line="276" w:lineRule="auto"/>
              <w:jc w:val="both"/>
              <w:rPr>
                <w:rFonts w:ascii="Times New Roman" w:hAnsi="Times New Roman" w:cs="Times New Roman"/>
                <w:sz w:val="24"/>
                <w:szCs w:val="24"/>
              </w:rPr>
            </w:pPr>
            <w:r w:rsidRPr="00E0193B">
              <w:rPr>
                <w:rFonts w:ascii="Times New Roman" w:hAnsi="Times New Roman" w:cs="Times New Roman"/>
                <w:sz w:val="24"/>
                <w:szCs w:val="24"/>
              </w:rPr>
              <w:t>W ramach projektowanych zmian legislacyjnych zakłada się stworzenie systemu wsparcia ww. interesariuszy w osiągnięciu standardów niezbędnych do prowadzenia instytucji opieki oraz standardów służących rozwojowi świadczonej opieki. Będzie to system oparty na prowadzeniu szkoleń, wskazywaniu kierunków rozwoju i usprawnianiu funkcjonowania instytucji. Od 1 stycznia 2026 r. podmiot będzie musiał spełnić standardy niezbędne do prowadzenia instytucji opieki</w:t>
            </w:r>
            <w:r w:rsidR="00F86FA6" w:rsidRPr="00E0193B">
              <w:rPr>
                <w:rFonts w:ascii="Times New Roman" w:hAnsi="Times New Roman" w:cs="Times New Roman"/>
                <w:sz w:val="24"/>
                <w:szCs w:val="24"/>
              </w:rPr>
              <w:t>.</w:t>
            </w:r>
          </w:p>
        </w:tc>
      </w:tr>
      <w:tr w:rsidR="00491CB3" w:rsidRPr="00E0193B" w14:paraId="0DA7F2EF" w14:textId="77777777" w:rsidTr="008C1B0D">
        <w:tc>
          <w:tcPr>
            <w:tcW w:w="1088" w:type="pct"/>
          </w:tcPr>
          <w:p w14:paraId="66F9FAA8" w14:textId="77777777" w:rsidR="00491CB3" w:rsidRPr="00E0193B" w:rsidRDefault="00491CB3" w:rsidP="00491CB3">
            <w:pPr>
              <w:spacing w:after="120" w:line="240" w:lineRule="auto"/>
              <w:jc w:val="left"/>
              <w:rPr>
                <w:rFonts w:eastAsia="Calibri"/>
              </w:rPr>
            </w:pPr>
            <w:r w:rsidRPr="00E0193B">
              <w:rPr>
                <w:rFonts w:eastAsia="Calibri"/>
              </w:rPr>
              <w:lastRenderedPageBreak/>
              <w:t>Szacowany koszt</w:t>
            </w:r>
          </w:p>
        </w:tc>
        <w:tc>
          <w:tcPr>
            <w:tcW w:w="3912" w:type="pct"/>
            <w:gridSpan w:val="2"/>
          </w:tcPr>
          <w:p w14:paraId="1F11EC6E" w14:textId="77777777" w:rsidR="00491CB3" w:rsidRPr="00E0193B" w:rsidRDefault="00491CB3" w:rsidP="00491CB3">
            <w:pPr>
              <w:spacing w:after="120" w:line="240" w:lineRule="auto"/>
              <w:jc w:val="left"/>
              <w:rPr>
                <w:rFonts w:eastAsia="Calibri"/>
              </w:rPr>
            </w:pPr>
            <w:r w:rsidRPr="00E0193B">
              <w:t>Zmiana nie ma wpływu na szacowany koszt</w:t>
            </w:r>
            <w:r w:rsidRPr="00E0193B" w:rsidDel="003E08A1">
              <w:rPr>
                <w:rFonts w:eastAsia="Calibri"/>
              </w:rPr>
              <w:t xml:space="preserve"> </w:t>
            </w:r>
          </w:p>
        </w:tc>
      </w:tr>
      <w:tr w:rsidR="00491CB3" w:rsidRPr="00E0193B" w14:paraId="6183A923" w14:textId="77777777" w:rsidTr="008C1B0D">
        <w:tc>
          <w:tcPr>
            <w:tcW w:w="1088" w:type="pct"/>
          </w:tcPr>
          <w:p w14:paraId="7F1F6C6C" w14:textId="77777777" w:rsidR="00491CB3" w:rsidRPr="00E0193B" w:rsidRDefault="00491CB3" w:rsidP="00491CB3">
            <w:pPr>
              <w:spacing w:after="120" w:line="240" w:lineRule="auto"/>
              <w:jc w:val="left"/>
              <w:rPr>
                <w:rFonts w:eastAsia="Calibri"/>
              </w:rPr>
            </w:pPr>
            <w:r w:rsidRPr="00E0193B">
              <w:rPr>
                <w:rFonts w:eastAsia="Calibri"/>
              </w:rPr>
              <w:t>Klimatyczny i cyfrowy tagging</w:t>
            </w:r>
          </w:p>
        </w:tc>
        <w:tc>
          <w:tcPr>
            <w:tcW w:w="3912" w:type="pct"/>
            <w:gridSpan w:val="2"/>
          </w:tcPr>
          <w:p w14:paraId="738F74E0" w14:textId="77777777" w:rsidR="00491CB3" w:rsidRPr="00E0193B" w:rsidRDefault="00491CB3" w:rsidP="00491CB3">
            <w:pPr>
              <w:spacing w:after="120" w:line="240" w:lineRule="auto"/>
              <w:jc w:val="left"/>
              <w:rPr>
                <w:rFonts w:eastAsia="Calibri"/>
              </w:rPr>
            </w:pPr>
            <w:r w:rsidRPr="00E0193B">
              <w:t>Zmiana nie ma wpływu na tagging klimatyczny i cyfrowy</w:t>
            </w:r>
            <w:r w:rsidRPr="00E0193B" w:rsidDel="003E08A1">
              <w:rPr>
                <w:rFonts w:eastAsia="Calibri"/>
              </w:rPr>
              <w:t xml:space="preserve"> </w:t>
            </w:r>
          </w:p>
        </w:tc>
      </w:tr>
      <w:tr w:rsidR="00491CB3" w:rsidRPr="00E0193B" w14:paraId="0761CFBA" w14:textId="77777777" w:rsidTr="008C1B0D">
        <w:tc>
          <w:tcPr>
            <w:tcW w:w="1088" w:type="pct"/>
          </w:tcPr>
          <w:p w14:paraId="12FC95FC" w14:textId="77777777" w:rsidR="00491CB3" w:rsidRPr="00E0193B" w:rsidRDefault="00491CB3" w:rsidP="00491CB3">
            <w:pPr>
              <w:spacing w:after="120" w:line="240" w:lineRule="auto"/>
              <w:jc w:val="left"/>
              <w:rPr>
                <w:rFonts w:eastAsia="Calibri"/>
              </w:rPr>
            </w:pPr>
            <w:r w:rsidRPr="00E0193B">
              <w:rPr>
                <w:rFonts w:eastAsia="Calibri"/>
              </w:rPr>
              <w:t xml:space="preserve">Ocena DNSH </w:t>
            </w:r>
          </w:p>
        </w:tc>
        <w:tc>
          <w:tcPr>
            <w:tcW w:w="3912" w:type="pct"/>
            <w:gridSpan w:val="2"/>
          </w:tcPr>
          <w:p w14:paraId="7F129818" w14:textId="77777777" w:rsidR="00491CB3" w:rsidRPr="00E0193B" w:rsidRDefault="00491CB3" w:rsidP="00491CB3">
            <w:pPr>
              <w:spacing w:after="120" w:line="240" w:lineRule="auto"/>
              <w:jc w:val="left"/>
              <w:rPr>
                <w:rFonts w:eastAsia="Calibri"/>
              </w:rPr>
            </w:pPr>
            <w:r w:rsidRPr="00E0193B">
              <w:t>Zmiana nie ma wpływu na DNSH</w:t>
            </w:r>
            <w:r w:rsidRPr="00E0193B" w:rsidDel="003E08A1">
              <w:rPr>
                <w:rFonts w:eastAsia="Calibri"/>
              </w:rPr>
              <w:t xml:space="preserve"> </w:t>
            </w:r>
          </w:p>
        </w:tc>
      </w:tr>
    </w:tbl>
    <w:p w14:paraId="4E6AC18D" w14:textId="77777777" w:rsidR="00491CB3" w:rsidRPr="00E0193B" w:rsidRDefault="00491CB3" w:rsidP="00491CB3">
      <w:pPr>
        <w:spacing w:after="120" w:line="240" w:lineRule="auto"/>
        <w:jc w:val="left"/>
        <w:rPr>
          <w:rFonts w:eastAsia="Calibri"/>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3339"/>
        <w:gridCol w:w="3551"/>
      </w:tblGrid>
      <w:tr w:rsidR="00491CB3" w:rsidRPr="00E0193B" w14:paraId="4EFDADBE" w14:textId="77777777" w:rsidTr="00FB7D82">
        <w:tc>
          <w:tcPr>
            <w:tcW w:w="1179" w:type="pct"/>
          </w:tcPr>
          <w:p w14:paraId="709013CA" w14:textId="77777777" w:rsidR="00491CB3" w:rsidRPr="00E0193B" w:rsidRDefault="00491CB3" w:rsidP="00491CB3">
            <w:pPr>
              <w:spacing w:after="120" w:line="240" w:lineRule="auto"/>
              <w:jc w:val="left"/>
              <w:rPr>
                <w:rFonts w:eastAsia="Calibri"/>
                <w:b/>
                <w:bCs/>
              </w:rPr>
            </w:pPr>
            <w:r w:rsidRPr="00E0193B">
              <w:rPr>
                <w:rFonts w:eastAsia="Calibri"/>
                <w:b/>
                <w:bCs/>
              </w:rPr>
              <w:t>Numer reformy</w:t>
            </w:r>
          </w:p>
        </w:tc>
        <w:tc>
          <w:tcPr>
            <w:tcW w:w="3821" w:type="pct"/>
            <w:gridSpan w:val="2"/>
          </w:tcPr>
          <w:p w14:paraId="625416DB" w14:textId="77777777" w:rsidR="00491CB3" w:rsidRPr="00E0193B" w:rsidRDefault="00491CB3" w:rsidP="00491CB3">
            <w:pPr>
              <w:spacing w:after="120" w:line="240" w:lineRule="auto"/>
              <w:jc w:val="left"/>
              <w:rPr>
                <w:rFonts w:eastAsia="Calibri"/>
                <w:b/>
                <w:bCs/>
              </w:rPr>
            </w:pPr>
            <w:r w:rsidRPr="00E0193B">
              <w:rPr>
                <w:rFonts w:eastAsia="Calibri"/>
                <w:b/>
                <w:bCs/>
              </w:rPr>
              <w:t>A4.6.</w:t>
            </w:r>
          </w:p>
        </w:tc>
      </w:tr>
      <w:tr w:rsidR="00491CB3" w:rsidRPr="00E0193B" w14:paraId="33D5666E" w14:textId="77777777" w:rsidTr="00FB7D82">
        <w:tc>
          <w:tcPr>
            <w:tcW w:w="1179" w:type="pct"/>
          </w:tcPr>
          <w:p w14:paraId="74FF3839" w14:textId="77777777" w:rsidR="00491CB3" w:rsidRPr="00E0193B" w:rsidRDefault="00491CB3" w:rsidP="00491CB3">
            <w:pPr>
              <w:spacing w:after="120" w:line="240" w:lineRule="auto"/>
              <w:jc w:val="left"/>
              <w:rPr>
                <w:rFonts w:eastAsia="Calibri"/>
                <w:b/>
                <w:bCs/>
              </w:rPr>
            </w:pPr>
            <w:r w:rsidRPr="00E0193B">
              <w:rPr>
                <w:rFonts w:eastAsia="Calibri"/>
                <w:b/>
                <w:bCs/>
              </w:rPr>
              <w:t>Nazwa reformy</w:t>
            </w:r>
          </w:p>
        </w:tc>
        <w:tc>
          <w:tcPr>
            <w:tcW w:w="3821" w:type="pct"/>
            <w:gridSpan w:val="2"/>
          </w:tcPr>
          <w:p w14:paraId="7E1CD99D" w14:textId="77777777" w:rsidR="00491CB3" w:rsidRPr="00E0193B" w:rsidRDefault="00491CB3" w:rsidP="00491CB3">
            <w:pPr>
              <w:spacing w:after="120" w:line="240" w:lineRule="auto"/>
              <w:jc w:val="left"/>
              <w:rPr>
                <w:rFonts w:eastAsia="Calibri"/>
                <w:b/>
                <w:bCs/>
              </w:rPr>
            </w:pPr>
            <w:r w:rsidRPr="00E0193B">
              <w:rPr>
                <w:rFonts w:eastAsia="Calibri"/>
                <w:b/>
                <w:bCs/>
              </w:rPr>
              <w:t xml:space="preserve">Wzrost uczestnictwa niektórych grup w rynku pracy poprzez rozwój opieki długoterminowej </w:t>
            </w:r>
          </w:p>
        </w:tc>
      </w:tr>
      <w:tr w:rsidR="00491CB3" w:rsidRPr="00E0193B" w14:paraId="1A7FB643" w14:textId="77777777" w:rsidTr="00FB7D82">
        <w:tc>
          <w:tcPr>
            <w:tcW w:w="1179" w:type="pct"/>
            <w:shd w:val="clear" w:color="auto" w:fill="auto"/>
          </w:tcPr>
          <w:p w14:paraId="1CC75052" w14:textId="77777777" w:rsidR="00491CB3" w:rsidRPr="00E0193B" w:rsidRDefault="00491CB3" w:rsidP="00491CB3">
            <w:pPr>
              <w:spacing w:after="120" w:line="240" w:lineRule="auto"/>
              <w:jc w:val="left"/>
              <w:rPr>
                <w:rFonts w:eastAsia="Calibri"/>
              </w:rPr>
            </w:pPr>
            <w:r w:rsidRPr="00E0193B">
              <w:rPr>
                <w:rFonts w:eastAsia="Calibri"/>
              </w:rPr>
              <w:t>Rodzaj wprowadzonej zmiany w odniesieniu do CID</w:t>
            </w:r>
          </w:p>
        </w:tc>
        <w:tc>
          <w:tcPr>
            <w:tcW w:w="3821" w:type="pct"/>
            <w:gridSpan w:val="2"/>
            <w:shd w:val="clear" w:color="auto" w:fill="auto"/>
          </w:tcPr>
          <w:p w14:paraId="256122C5" w14:textId="77777777" w:rsidR="00491CB3" w:rsidRPr="00E0193B" w:rsidRDefault="00491CB3" w:rsidP="00491CB3">
            <w:pPr>
              <w:spacing w:after="120" w:line="240" w:lineRule="auto"/>
              <w:jc w:val="left"/>
              <w:rPr>
                <w:rFonts w:eastAsia="Calibri"/>
              </w:rPr>
            </w:pPr>
            <w:r w:rsidRPr="00E0193B">
              <w:rPr>
                <w:rFonts w:eastAsia="Calibri"/>
              </w:rPr>
              <w:t>Modyfikacja opisu kamienia milowego A70G (zgodnie z kamieniem milowym A69G) i przesunięcie terminu jego realizacji</w:t>
            </w:r>
          </w:p>
        </w:tc>
      </w:tr>
      <w:tr w:rsidR="00491CB3" w:rsidRPr="00E0193B" w14:paraId="49B7F21D" w14:textId="77777777" w:rsidTr="00FB7D82">
        <w:tc>
          <w:tcPr>
            <w:tcW w:w="1179" w:type="pct"/>
            <w:shd w:val="clear" w:color="auto" w:fill="auto"/>
          </w:tcPr>
          <w:p w14:paraId="307FE1E3" w14:textId="77777777" w:rsidR="00491CB3" w:rsidRPr="00E0193B" w:rsidRDefault="00491CB3" w:rsidP="00491CB3">
            <w:pPr>
              <w:spacing w:after="120" w:line="240" w:lineRule="auto"/>
              <w:jc w:val="left"/>
              <w:rPr>
                <w:rFonts w:eastAsia="Calibri"/>
              </w:rPr>
            </w:pPr>
            <w:r w:rsidRPr="00E0193B">
              <w:rPr>
                <w:rFonts w:eastAsia="Calibri"/>
              </w:rPr>
              <w:t>Podstawa prawna zmiany</w:t>
            </w:r>
          </w:p>
        </w:tc>
        <w:tc>
          <w:tcPr>
            <w:tcW w:w="3821" w:type="pct"/>
            <w:gridSpan w:val="2"/>
            <w:shd w:val="clear" w:color="auto" w:fill="auto"/>
          </w:tcPr>
          <w:p w14:paraId="35098820" w14:textId="77777777" w:rsidR="00491CB3" w:rsidRPr="00E0193B" w:rsidRDefault="00491CB3" w:rsidP="00491CB3">
            <w:pPr>
              <w:spacing w:after="120" w:line="240" w:lineRule="auto"/>
              <w:jc w:val="left"/>
              <w:rPr>
                <w:rFonts w:eastAsia="Calibri"/>
              </w:rPr>
            </w:pPr>
            <w:r w:rsidRPr="00E0193B">
              <w:rPr>
                <w:rFonts w:eastAsia="Calibri"/>
              </w:rPr>
              <w:t>art. 21 rozporządzenia Parlamentu Europejskiego i Rady (UE) 2021/241 z dnia 12 lutego 2021 r. ustanawiające Instrument na rzecz Odbudowy i Zwiększania Odporności</w:t>
            </w:r>
          </w:p>
        </w:tc>
      </w:tr>
      <w:tr w:rsidR="00491CB3" w:rsidRPr="00E0193B" w14:paraId="7C0F1C2A" w14:textId="77777777" w:rsidTr="00FB7D82">
        <w:tc>
          <w:tcPr>
            <w:tcW w:w="1179" w:type="pct"/>
            <w:shd w:val="clear" w:color="auto" w:fill="D9D9D9"/>
          </w:tcPr>
          <w:p w14:paraId="30D02F1C" w14:textId="77777777" w:rsidR="00491CB3" w:rsidRPr="00E0193B" w:rsidRDefault="00491CB3" w:rsidP="00491CB3">
            <w:pPr>
              <w:spacing w:after="120" w:line="240" w:lineRule="auto"/>
              <w:jc w:val="left"/>
              <w:rPr>
                <w:rFonts w:eastAsia="Calibri"/>
                <w:highlight w:val="lightGray"/>
              </w:rPr>
            </w:pPr>
            <w:r w:rsidRPr="00E0193B">
              <w:rPr>
                <w:rFonts w:eastAsia="Calibri"/>
                <w:highlight w:val="lightGray"/>
              </w:rPr>
              <w:t>Modyfikowany element</w:t>
            </w:r>
          </w:p>
        </w:tc>
        <w:tc>
          <w:tcPr>
            <w:tcW w:w="1852" w:type="pct"/>
            <w:shd w:val="clear" w:color="auto" w:fill="D9D9D9"/>
          </w:tcPr>
          <w:p w14:paraId="3DAC0037" w14:textId="77777777" w:rsidR="00491CB3" w:rsidRPr="00E0193B" w:rsidRDefault="00491CB3" w:rsidP="00491CB3">
            <w:pPr>
              <w:spacing w:after="120" w:line="240" w:lineRule="auto"/>
              <w:jc w:val="left"/>
              <w:rPr>
                <w:rFonts w:eastAsia="Calibri"/>
                <w:highlight w:val="lightGray"/>
              </w:rPr>
            </w:pPr>
            <w:r w:rsidRPr="00E0193B">
              <w:rPr>
                <w:rFonts w:eastAsia="Calibri"/>
                <w:highlight w:val="lightGray"/>
              </w:rPr>
              <w:t>Bieżąca wersja</w:t>
            </w:r>
          </w:p>
        </w:tc>
        <w:tc>
          <w:tcPr>
            <w:tcW w:w="1969" w:type="pct"/>
            <w:shd w:val="clear" w:color="auto" w:fill="D9D9D9"/>
          </w:tcPr>
          <w:p w14:paraId="0A911CEB" w14:textId="77777777" w:rsidR="00491CB3" w:rsidRPr="00E0193B" w:rsidRDefault="00491CB3" w:rsidP="00491CB3">
            <w:pPr>
              <w:spacing w:after="120" w:line="240" w:lineRule="auto"/>
              <w:jc w:val="left"/>
              <w:rPr>
                <w:rFonts w:eastAsia="Calibri"/>
                <w:highlight w:val="lightGray"/>
              </w:rPr>
            </w:pPr>
            <w:r w:rsidRPr="00E0193B">
              <w:rPr>
                <w:rFonts w:eastAsia="Calibri"/>
                <w:highlight w:val="lightGray"/>
              </w:rPr>
              <w:t>Wersja zmieniona</w:t>
            </w:r>
          </w:p>
        </w:tc>
      </w:tr>
      <w:tr w:rsidR="00AF3650" w:rsidRPr="00E0193B" w14:paraId="5472F65B" w14:textId="77777777" w:rsidTr="00FB7D82">
        <w:tc>
          <w:tcPr>
            <w:tcW w:w="1179" w:type="pct"/>
          </w:tcPr>
          <w:p w14:paraId="6AB86B52" w14:textId="77777777" w:rsidR="00AF3650" w:rsidRPr="00E0193B" w:rsidRDefault="00AF3650" w:rsidP="00AF3650">
            <w:pPr>
              <w:spacing w:after="120" w:line="240" w:lineRule="auto"/>
              <w:jc w:val="left"/>
              <w:rPr>
                <w:rFonts w:eastAsia="Calibri"/>
              </w:rPr>
            </w:pPr>
            <w:r w:rsidRPr="00E0193B">
              <w:rPr>
                <w:rFonts w:eastAsia="Calibri"/>
              </w:rPr>
              <w:t>Opis komponentu oraz/lub działania (inwestycji/reformy)</w:t>
            </w:r>
          </w:p>
        </w:tc>
        <w:tc>
          <w:tcPr>
            <w:tcW w:w="1852" w:type="pct"/>
          </w:tcPr>
          <w:p w14:paraId="3FFA1091" w14:textId="77777777" w:rsidR="00AF3650" w:rsidRPr="00E0193B" w:rsidRDefault="00AF3650" w:rsidP="00AF3650">
            <w:pPr>
              <w:spacing w:after="120" w:line="240" w:lineRule="auto"/>
              <w:jc w:val="left"/>
              <w:rPr>
                <w:rFonts w:eastAsia="Calibri"/>
              </w:rPr>
            </w:pPr>
            <w:r w:rsidRPr="00E0193B">
              <w:rPr>
                <w:rFonts w:eastAsia="Calibri"/>
              </w:rPr>
              <w:t>A70G Wejście w życie ustawy o zmianie odpowiednich ustaw w celu realizacji priorytetów w zakresie reform określonych w strategicznym przeglądzie opieki długoterminowej w Polsce (zgodnie z kamieniem milowym A69G)</w:t>
            </w:r>
          </w:p>
          <w:p w14:paraId="775A541A" w14:textId="77777777" w:rsidR="00AF3650" w:rsidRPr="00E0193B" w:rsidRDefault="00AF3650" w:rsidP="00AF3650">
            <w:pPr>
              <w:spacing w:after="120" w:line="240" w:lineRule="auto"/>
              <w:jc w:val="left"/>
              <w:rPr>
                <w:rFonts w:eastAsia="Calibri"/>
              </w:rPr>
            </w:pPr>
            <w:r w:rsidRPr="00E0193B">
              <w:rPr>
                <w:rFonts w:eastAsia="Calibri"/>
              </w:rPr>
              <w:t>Wskaźnik jakościowy: Przepis w ustawie o zmianie odpowiednich ustaw wskazujący na jej wejście w życie</w:t>
            </w:r>
          </w:p>
          <w:p w14:paraId="5F5969F2" w14:textId="77777777" w:rsidR="00AF3650" w:rsidRPr="00E0193B" w:rsidRDefault="00AF3650" w:rsidP="00AF3650">
            <w:pPr>
              <w:spacing w:after="120" w:line="240" w:lineRule="auto"/>
              <w:jc w:val="left"/>
              <w:rPr>
                <w:rFonts w:eastAsia="Calibri"/>
              </w:rPr>
            </w:pPr>
            <w:r w:rsidRPr="00E0193B">
              <w:rPr>
                <w:rFonts w:eastAsia="Calibri"/>
              </w:rPr>
              <w:t>Termin realizacji: IV kw. 2024r.</w:t>
            </w:r>
          </w:p>
          <w:p w14:paraId="0442568A" w14:textId="77777777" w:rsidR="00AF3650" w:rsidRPr="00E0193B" w:rsidRDefault="00AF3650" w:rsidP="00AF3650">
            <w:pPr>
              <w:spacing w:after="120" w:line="240" w:lineRule="auto"/>
              <w:jc w:val="left"/>
              <w:rPr>
                <w:rFonts w:eastAsia="Calibri"/>
              </w:rPr>
            </w:pPr>
            <w:r w:rsidRPr="00E0193B">
              <w:rPr>
                <w:rFonts w:eastAsia="Calibri"/>
              </w:rPr>
              <w:t>Opis: Wejście w życie ustawy o zmianie odpowiednich ustaw, która zapewni realizację priorytetów w zakresie reform określonych w strategicznym przeglądzie opieki długoterminowej w Polsce</w:t>
            </w:r>
          </w:p>
        </w:tc>
        <w:tc>
          <w:tcPr>
            <w:tcW w:w="1969" w:type="pct"/>
          </w:tcPr>
          <w:p w14:paraId="58E14CDE" w14:textId="77777777" w:rsidR="00AF3650" w:rsidRPr="00E0193B" w:rsidRDefault="00AF3650" w:rsidP="00AF3650">
            <w:pPr>
              <w:spacing w:after="120" w:line="240" w:lineRule="auto"/>
              <w:jc w:val="left"/>
              <w:rPr>
                <w:rFonts w:eastAsia="Calibri"/>
              </w:rPr>
            </w:pPr>
            <w:r w:rsidRPr="00E0193B">
              <w:t xml:space="preserve">A70G Wejście w życie aktu lub </w:t>
            </w:r>
            <w:r w:rsidRPr="00E0193B">
              <w:rPr>
                <w:color w:val="FF0000"/>
              </w:rPr>
              <w:t>aktów prawnych</w:t>
            </w:r>
            <w:r w:rsidRPr="00E0193B">
              <w:t xml:space="preserve">, w celu realizacji </w:t>
            </w:r>
            <w:r w:rsidRPr="00E0193B">
              <w:rPr>
                <w:color w:val="FF0000"/>
              </w:rPr>
              <w:t>wybranych priorytetów reformy, określonych na podstawie</w:t>
            </w:r>
            <w:r w:rsidRPr="00E0193B">
              <w:t xml:space="preserve"> strategicznego przeglądu opieki długoterminowej w Polsce </w:t>
            </w:r>
            <w:r w:rsidRPr="00E0193B">
              <w:rPr>
                <w:color w:val="FF0000"/>
              </w:rPr>
              <w:t xml:space="preserve">(w oparciu o wnioski z realizacji kamienia milowego </w:t>
            </w:r>
            <w:r w:rsidRPr="00E0193B">
              <w:t>A69G)</w:t>
            </w:r>
          </w:p>
          <w:p w14:paraId="564ECF8B" w14:textId="1E69246C" w:rsidR="00AF3650" w:rsidRPr="00E0193B" w:rsidRDefault="00AF3650" w:rsidP="00AF3650">
            <w:pPr>
              <w:spacing w:after="120" w:line="240" w:lineRule="auto"/>
              <w:jc w:val="left"/>
              <w:rPr>
                <w:color w:val="FF0000"/>
              </w:rPr>
            </w:pPr>
            <w:r w:rsidRPr="00E0193B">
              <w:rPr>
                <w:rFonts w:eastAsia="Calibri"/>
              </w:rPr>
              <w:t xml:space="preserve">Wskaźnik jakościowy: </w:t>
            </w:r>
            <w:r w:rsidRPr="00E0193B">
              <w:rPr>
                <w:color w:val="FF0000"/>
              </w:rPr>
              <w:t>Wejście w życie aktu lub aktów prawnych realizujących wybrane priorytety reformy</w:t>
            </w:r>
          </w:p>
          <w:p w14:paraId="287CDABE" w14:textId="77381027" w:rsidR="00AF3650" w:rsidRPr="00E0193B" w:rsidRDefault="00AF3650" w:rsidP="00AF3650">
            <w:pPr>
              <w:spacing w:line="259" w:lineRule="auto"/>
              <w:ind w:left="-20" w:right="-20"/>
              <w:jc w:val="left"/>
              <w:rPr>
                <w:color w:val="FF0000"/>
              </w:rPr>
            </w:pPr>
            <w:r w:rsidRPr="00E0193B">
              <w:rPr>
                <w:rFonts w:eastAsia="Calibri"/>
              </w:rPr>
              <w:t>Termin realizacji:</w:t>
            </w:r>
            <w:r w:rsidRPr="00E0193B">
              <w:rPr>
                <w:rFonts w:eastAsia="Calibri"/>
                <w:color w:val="FF0000"/>
              </w:rPr>
              <w:t xml:space="preserve"> </w:t>
            </w:r>
            <w:r w:rsidRPr="00E0193B">
              <w:rPr>
                <w:color w:val="FF0000"/>
              </w:rPr>
              <w:t>I</w:t>
            </w:r>
            <w:r w:rsidR="00E0193B">
              <w:rPr>
                <w:color w:val="FF0000"/>
              </w:rPr>
              <w:t>V</w:t>
            </w:r>
            <w:r w:rsidRPr="00E0193B">
              <w:rPr>
                <w:color w:val="FF0000"/>
              </w:rPr>
              <w:t xml:space="preserve"> kw. 202</w:t>
            </w:r>
            <w:r w:rsidR="00E0193B">
              <w:rPr>
                <w:color w:val="FF0000"/>
              </w:rPr>
              <w:t>5</w:t>
            </w:r>
            <w:r w:rsidRPr="00E0193B">
              <w:rPr>
                <w:color w:val="FF0000"/>
              </w:rPr>
              <w:t>r.</w:t>
            </w:r>
          </w:p>
          <w:p w14:paraId="58E07D4B" w14:textId="77777777" w:rsidR="00AF3650" w:rsidRPr="00E0193B" w:rsidRDefault="00AF3650" w:rsidP="00AF3650">
            <w:pPr>
              <w:spacing w:line="259" w:lineRule="auto"/>
              <w:jc w:val="left"/>
              <w:rPr>
                <w:color w:val="FF0000"/>
              </w:rPr>
            </w:pPr>
            <w:r w:rsidRPr="00E0193B">
              <w:rPr>
                <w:color w:val="FF0000"/>
              </w:rPr>
              <w:t>Wejście w życie aktu lub aktów prawnych (ustaw lub rozporządzeń), dotyczących następujących priorytetów, określonych na podstawie strategicznego przeglądu opieki długoterminowej w Polsce:</w:t>
            </w:r>
          </w:p>
          <w:p w14:paraId="37339105" w14:textId="3B0FE5DA" w:rsidR="00AF3650" w:rsidRPr="00E0193B" w:rsidRDefault="00AF3650" w:rsidP="00A1213F">
            <w:pPr>
              <w:pStyle w:val="Akapitzlist"/>
              <w:numPr>
                <w:ilvl w:val="0"/>
                <w:numId w:val="26"/>
              </w:numPr>
              <w:spacing w:line="259" w:lineRule="auto"/>
              <w:jc w:val="left"/>
              <w:rPr>
                <w:color w:val="FF0000"/>
              </w:rPr>
            </w:pPr>
            <w:r w:rsidRPr="00E0193B">
              <w:rPr>
                <w:color w:val="FF0000"/>
              </w:rPr>
              <w:t xml:space="preserve">Wprowadzenie bonu senioralnego od </w:t>
            </w:r>
            <w:r w:rsidR="00E0193B">
              <w:rPr>
                <w:color w:val="FF0000"/>
              </w:rPr>
              <w:t xml:space="preserve">1 stycznia </w:t>
            </w:r>
            <w:r w:rsidRPr="00E0193B">
              <w:rPr>
                <w:color w:val="FF0000"/>
              </w:rPr>
              <w:t>2026 r. (wejście w życie właściwej ustawy od końca 2025 r.)</w:t>
            </w:r>
          </w:p>
          <w:p w14:paraId="504F4070" w14:textId="77777777" w:rsidR="00AF3650" w:rsidRPr="00E0193B" w:rsidRDefault="00AF3650" w:rsidP="00A1213F">
            <w:pPr>
              <w:pStyle w:val="Akapitzlist"/>
              <w:numPr>
                <w:ilvl w:val="0"/>
                <w:numId w:val="26"/>
              </w:numPr>
              <w:spacing w:line="259" w:lineRule="auto"/>
              <w:jc w:val="left"/>
              <w:rPr>
                <w:color w:val="FF0000"/>
              </w:rPr>
            </w:pPr>
            <w:r w:rsidRPr="00E0193B">
              <w:rPr>
                <w:color w:val="FF0000"/>
              </w:rPr>
              <w:t>zdefiniowanie „opieki długoterminowej” w sposób spójny dla całości systemu opiekuńczego kraju (tj. zarówno po stronie opieki zdrowotnej, jak i pomocy społecznej);</w:t>
            </w:r>
          </w:p>
          <w:p w14:paraId="0B67D771" w14:textId="77777777" w:rsidR="00AF3650" w:rsidRPr="00E0193B" w:rsidRDefault="00AF3650" w:rsidP="00A1213F">
            <w:pPr>
              <w:pStyle w:val="Akapitzlist"/>
              <w:numPr>
                <w:ilvl w:val="0"/>
                <w:numId w:val="26"/>
              </w:numPr>
              <w:spacing w:line="259" w:lineRule="auto"/>
              <w:jc w:val="left"/>
              <w:rPr>
                <w:color w:val="FF0000"/>
              </w:rPr>
            </w:pPr>
            <w:r w:rsidRPr="00E0193B">
              <w:rPr>
                <w:color w:val="FF0000"/>
              </w:rPr>
              <w:t>zdefiniowanie pojęcia „opiekuna nieformalnego" oraz „opieki nieformalnej”;</w:t>
            </w:r>
          </w:p>
          <w:p w14:paraId="29C0B9DB" w14:textId="77777777" w:rsidR="00AF3650" w:rsidRPr="00E0193B" w:rsidRDefault="00AF3650" w:rsidP="00A1213F">
            <w:pPr>
              <w:pStyle w:val="Akapitzlist"/>
              <w:numPr>
                <w:ilvl w:val="0"/>
                <w:numId w:val="26"/>
              </w:numPr>
              <w:spacing w:line="259" w:lineRule="auto"/>
              <w:jc w:val="left"/>
              <w:rPr>
                <w:color w:val="FF0000"/>
              </w:rPr>
            </w:pPr>
            <w:r w:rsidRPr="00E0193B">
              <w:rPr>
                <w:color w:val="FF0000"/>
              </w:rPr>
              <w:t>zmiana obowiązujących standardów usług świadczonych w systemie pomocy społecznej, zapewniających adekwatne do potrzeb wsparcie osób wymagających opieki oraz określenie standardów jakościowych w zakresie długoterminowej opieki zdrowotnej na podstawie obowiązujących obecnie przepisów;</w:t>
            </w:r>
          </w:p>
          <w:p w14:paraId="61A6DC0D" w14:textId="77777777" w:rsidR="00AF3650" w:rsidRPr="00E0193B" w:rsidRDefault="00AF3650" w:rsidP="00A1213F">
            <w:pPr>
              <w:pStyle w:val="Akapitzlist"/>
              <w:numPr>
                <w:ilvl w:val="0"/>
                <w:numId w:val="26"/>
              </w:numPr>
              <w:spacing w:line="259" w:lineRule="auto"/>
              <w:jc w:val="left"/>
              <w:rPr>
                <w:color w:val="FF0000"/>
              </w:rPr>
            </w:pPr>
            <w:r w:rsidRPr="00E0193B">
              <w:rPr>
                <w:color w:val="FF0000"/>
              </w:rPr>
              <w:t xml:space="preserve">ulepszenie mechanizmów monitorowania i ewaluacji jakości świadczonej opieki, poprzez zmianę przepisów w sprawie nadzoru i kontroli w pomocy społecznej; </w:t>
            </w:r>
          </w:p>
          <w:p w14:paraId="005B9515" w14:textId="4472638E" w:rsidR="00AF3650" w:rsidRPr="00E0193B" w:rsidRDefault="00AF3650" w:rsidP="00A1213F">
            <w:pPr>
              <w:pStyle w:val="Akapitzlist"/>
              <w:numPr>
                <w:ilvl w:val="0"/>
                <w:numId w:val="26"/>
              </w:numPr>
              <w:spacing w:line="259" w:lineRule="auto"/>
              <w:jc w:val="left"/>
              <w:rPr>
                <w:color w:val="FF0000"/>
              </w:rPr>
            </w:pPr>
            <w:r w:rsidRPr="00E0193B">
              <w:rPr>
                <w:color w:val="FF0000"/>
              </w:rPr>
              <w:t>desygnacja podmiotów odpowiedzialnych za działania koordynacyjne i informacyjne.</w:t>
            </w:r>
          </w:p>
        </w:tc>
      </w:tr>
      <w:tr w:rsidR="00AF3650" w:rsidRPr="00935797" w14:paraId="25271C23" w14:textId="77777777" w:rsidTr="00FB7D82">
        <w:tc>
          <w:tcPr>
            <w:tcW w:w="1179" w:type="pct"/>
          </w:tcPr>
          <w:p w14:paraId="5961F5F2" w14:textId="77777777" w:rsidR="00AF3650" w:rsidRPr="00E0193B" w:rsidRDefault="00AF3650" w:rsidP="00AF3650">
            <w:pPr>
              <w:spacing w:after="120" w:line="240" w:lineRule="auto"/>
              <w:jc w:val="left"/>
              <w:rPr>
                <w:rFonts w:eastAsia="Calibri"/>
              </w:rPr>
            </w:pPr>
          </w:p>
        </w:tc>
        <w:tc>
          <w:tcPr>
            <w:tcW w:w="1852" w:type="pct"/>
          </w:tcPr>
          <w:p w14:paraId="1E253AEE" w14:textId="77777777" w:rsidR="00AF3650" w:rsidRPr="00E0193B" w:rsidRDefault="00AF3650" w:rsidP="00AF3650">
            <w:pPr>
              <w:spacing w:after="120" w:line="240" w:lineRule="auto"/>
              <w:jc w:val="left"/>
              <w:rPr>
                <w:rFonts w:eastAsia="Calibri"/>
                <w:lang w:val="en-US"/>
              </w:rPr>
            </w:pPr>
            <w:r w:rsidRPr="00E0193B">
              <w:rPr>
                <w:rFonts w:eastAsia="Calibri"/>
                <w:lang w:val="en-US"/>
              </w:rPr>
              <w:t>A70G Entry into force of a law amending relevant laws to implement the reform priorities as identified in the strategic review</w:t>
            </w:r>
          </w:p>
          <w:p w14:paraId="15527329" w14:textId="77777777" w:rsidR="00AF3650" w:rsidRPr="00E0193B" w:rsidRDefault="00AF3650" w:rsidP="00AF3650">
            <w:pPr>
              <w:spacing w:after="120" w:line="240" w:lineRule="auto"/>
              <w:jc w:val="left"/>
              <w:rPr>
                <w:rFonts w:eastAsia="Calibri"/>
                <w:lang w:val="en-US"/>
              </w:rPr>
            </w:pPr>
            <w:r w:rsidRPr="00E0193B">
              <w:rPr>
                <w:rFonts w:eastAsia="Calibri"/>
                <w:lang w:val="en-US"/>
              </w:rPr>
              <w:t>of long-term care in Poland (in line with milestone A69G)</w:t>
            </w:r>
          </w:p>
          <w:p w14:paraId="1718B64D" w14:textId="77777777" w:rsidR="00AF3650" w:rsidRPr="00E0193B" w:rsidRDefault="00AF3650" w:rsidP="00AF3650">
            <w:pPr>
              <w:spacing w:after="120" w:line="240" w:lineRule="auto"/>
              <w:jc w:val="left"/>
              <w:rPr>
                <w:rFonts w:eastAsia="Calibri"/>
                <w:lang w:val="en-US"/>
              </w:rPr>
            </w:pPr>
            <w:r w:rsidRPr="00E0193B">
              <w:rPr>
                <w:rFonts w:eastAsia="Calibri"/>
                <w:lang w:val="en-US"/>
              </w:rPr>
              <w:t>Qualitative indicators (for milestones): Provision in the law amending relevant laws indicating its entry into force</w:t>
            </w:r>
          </w:p>
          <w:p w14:paraId="2A16699D" w14:textId="77777777" w:rsidR="00AF3650" w:rsidRPr="00E0193B" w:rsidRDefault="00AF3650" w:rsidP="00AF3650">
            <w:pPr>
              <w:spacing w:after="120" w:line="240" w:lineRule="auto"/>
              <w:jc w:val="left"/>
              <w:rPr>
                <w:rFonts w:eastAsia="Calibri"/>
                <w:lang w:val="en-US"/>
              </w:rPr>
            </w:pPr>
            <w:r w:rsidRPr="00E0193B">
              <w:rPr>
                <w:rFonts w:eastAsia="Calibri"/>
                <w:lang w:val="en-US"/>
              </w:rPr>
              <w:t>Indicative timeline for completion: Q4 2024</w:t>
            </w:r>
          </w:p>
          <w:p w14:paraId="38DE6402" w14:textId="77777777" w:rsidR="00AF3650" w:rsidRPr="00E0193B" w:rsidRDefault="00AF3650" w:rsidP="00AF3650">
            <w:pPr>
              <w:spacing w:after="120" w:line="240" w:lineRule="auto"/>
              <w:jc w:val="left"/>
              <w:rPr>
                <w:rFonts w:eastAsia="Calibri"/>
                <w:lang w:val="en-US"/>
              </w:rPr>
            </w:pPr>
            <w:r w:rsidRPr="00E0193B">
              <w:rPr>
                <w:rFonts w:eastAsia="Calibri"/>
                <w:lang w:val="en-US"/>
              </w:rPr>
              <w:t xml:space="preserve">Description of each milestone and target: Entry into force of a law amending relevant laws which shall implement the reform </w:t>
            </w:r>
            <w:r w:rsidRPr="00E0193B">
              <w:rPr>
                <w:rFonts w:eastAsia="Calibri"/>
                <w:lang w:val="en-US"/>
              </w:rPr>
              <w:lastRenderedPageBreak/>
              <w:t>priorities as identified in the strategic review of long-term care in Poland</w:t>
            </w:r>
          </w:p>
        </w:tc>
        <w:tc>
          <w:tcPr>
            <w:tcW w:w="1969" w:type="pct"/>
          </w:tcPr>
          <w:p w14:paraId="7149ABA6" w14:textId="77777777" w:rsidR="00AF3650" w:rsidRPr="00E0193B" w:rsidRDefault="00AF3650" w:rsidP="00AF3650">
            <w:pPr>
              <w:spacing w:after="120" w:line="240" w:lineRule="auto"/>
              <w:jc w:val="left"/>
              <w:rPr>
                <w:color w:val="FF0000"/>
                <w:lang w:val="en-US"/>
              </w:rPr>
            </w:pPr>
            <w:r w:rsidRPr="00E0193B">
              <w:rPr>
                <w:color w:val="FF0000"/>
                <w:lang w:val="en-GB"/>
              </w:rPr>
              <w:lastRenderedPageBreak/>
              <w:t>Entry into force of legal act or acts implementing selected reform priorities determined on the basis of the strategic review of long-term care in Poland (based on the conclusions of the milestone A69G)</w:t>
            </w:r>
          </w:p>
          <w:p w14:paraId="324AE3DC" w14:textId="77777777" w:rsidR="00AF3650" w:rsidRPr="00E0193B" w:rsidRDefault="00AF3650" w:rsidP="00AF3650">
            <w:pPr>
              <w:spacing w:after="120" w:line="240" w:lineRule="auto"/>
              <w:jc w:val="left"/>
              <w:rPr>
                <w:rFonts w:eastAsia="Calibri"/>
                <w:color w:val="FF0000"/>
                <w:lang w:val="en-US"/>
              </w:rPr>
            </w:pPr>
            <w:r w:rsidRPr="00E0193B">
              <w:rPr>
                <w:rFonts w:eastAsia="Calibri"/>
                <w:color w:val="FF0000"/>
                <w:lang w:val="en-US"/>
              </w:rPr>
              <w:t>Qualitative indicators (for milestones):</w:t>
            </w:r>
          </w:p>
          <w:p w14:paraId="7E143FC4" w14:textId="77777777" w:rsidR="00AF3650" w:rsidRPr="00E0193B" w:rsidRDefault="00AF3650" w:rsidP="00AF3650">
            <w:pPr>
              <w:spacing w:after="120" w:line="240" w:lineRule="auto"/>
              <w:jc w:val="left"/>
              <w:rPr>
                <w:color w:val="FF0000"/>
                <w:lang w:val="en-US"/>
              </w:rPr>
            </w:pPr>
            <w:r w:rsidRPr="00E0193B">
              <w:rPr>
                <w:color w:val="FF0000"/>
                <w:lang w:val="en-US"/>
              </w:rPr>
              <w:t>Provisions indicating the entry into force of legislation prepared to implement the reform</w:t>
            </w:r>
          </w:p>
          <w:p w14:paraId="69DF4207" w14:textId="495329D9" w:rsidR="00AF3650" w:rsidRPr="00E0193B" w:rsidRDefault="00AF3650" w:rsidP="00AF3650">
            <w:pPr>
              <w:spacing w:after="120" w:line="240" w:lineRule="auto"/>
              <w:jc w:val="left"/>
              <w:rPr>
                <w:rFonts w:eastAsia="Calibri"/>
                <w:color w:val="FF0000"/>
                <w:lang w:val="en-US"/>
              </w:rPr>
            </w:pPr>
            <w:r w:rsidRPr="00E0193B">
              <w:rPr>
                <w:rFonts w:eastAsia="Calibri"/>
                <w:color w:val="FF0000"/>
                <w:lang w:val="en-US"/>
              </w:rPr>
              <w:t>Indicative timeline for completion: Q</w:t>
            </w:r>
            <w:r w:rsidR="00E0193B">
              <w:rPr>
                <w:rFonts w:eastAsia="Calibri"/>
                <w:color w:val="FF0000"/>
                <w:lang w:val="en-US"/>
              </w:rPr>
              <w:t>4</w:t>
            </w:r>
            <w:r w:rsidRPr="00E0193B">
              <w:rPr>
                <w:rFonts w:eastAsia="Calibri"/>
                <w:color w:val="FF0000"/>
                <w:lang w:val="en-US"/>
              </w:rPr>
              <w:t xml:space="preserve"> 202</w:t>
            </w:r>
            <w:r w:rsidR="00E0193B">
              <w:rPr>
                <w:rFonts w:eastAsia="Calibri"/>
                <w:color w:val="FF0000"/>
                <w:lang w:val="en-US"/>
              </w:rPr>
              <w:t>5</w:t>
            </w:r>
          </w:p>
          <w:p w14:paraId="34F50240" w14:textId="77777777" w:rsidR="00AF3650" w:rsidRPr="00E0193B" w:rsidRDefault="00AF3650" w:rsidP="00AF3650">
            <w:pPr>
              <w:spacing w:after="120" w:line="240" w:lineRule="auto"/>
              <w:jc w:val="left"/>
              <w:rPr>
                <w:rFonts w:eastAsia="Calibri"/>
                <w:color w:val="FF0000"/>
                <w:lang w:val="en-US"/>
              </w:rPr>
            </w:pPr>
            <w:r w:rsidRPr="00E0193B">
              <w:rPr>
                <w:rFonts w:eastAsia="Calibri"/>
                <w:color w:val="FF0000"/>
                <w:lang w:val="en-US"/>
              </w:rPr>
              <w:t>Description of each milestone and target:</w:t>
            </w:r>
          </w:p>
          <w:p w14:paraId="366426D2" w14:textId="77777777" w:rsidR="00AF3650" w:rsidRPr="00E0193B" w:rsidRDefault="00AF3650" w:rsidP="00AF3650">
            <w:pPr>
              <w:spacing w:line="259" w:lineRule="auto"/>
              <w:jc w:val="left"/>
              <w:rPr>
                <w:rFonts w:eastAsia="Calibri"/>
                <w:color w:val="FF0000"/>
                <w:lang w:val="en-US"/>
              </w:rPr>
            </w:pPr>
            <w:r w:rsidRPr="00E0193B">
              <w:rPr>
                <w:rFonts w:eastAsia="Calibri"/>
                <w:color w:val="FF0000"/>
                <w:lang w:val="en-US"/>
              </w:rPr>
              <w:t>Entry into force of an act or acts (laws or regulations) addressing the following priorities, identified on the basis of the strategic review of long-term care in Poland:</w:t>
            </w:r>
          </w:p>
          <w:p w14:paraId="3B320A66" w14:textId="7DC8B3D3" w:rsidR="00AF3650" w:rsidRPr="00E0193B" w:rsidRDefault="00AF3650" w:rsidP="00AF3650">
            <w:pPr>
              <w:spacing w:line="259" w:lineRule="auto"/>
              <w:jc w:val="left"/>
              <w:rPr>
                <w:rFonts w:eastAsia="Calibri"/>
                <w:color w:val="FF0000"/>
                <w:lang w:val="en-US"/>
              </w:rPr>
            </w:pPr>
            <w:r w:rsidRPr="00E0193B">
              <w:rPr>
                <w:rFonts w:eastAsia="Calibri"/>
                <w:color w:val="FF0000"/>
                <w:lang w:val="en-US"/>
              </w:rPr>
              <w:lastRenderedPageBreak/>
              <w:t xml:space="preserve">- Introduction of the senior voucher </w:t>
            </w:r>
            <w:r w:rsidR="00E0193B">
              <w:rPr>
                <w:rFonts w:eastAsia="Calibri"/>
                <w:color w:val="FF0000"/>
                <w:lang w:val="en-US"/>
              </w:rPr>
              <w:t>as of 1 January</w:t>
            </w:r>
            <w:r w:rsidRPr="00E0193B">
              <w:rPr>
                <w:rFonts w:eastAsia="Calibri"/>
                <w:color w:val="FF0000"/>
                <w:lang w:val="en-US"/>
              </w:rPr>
              <w:t xml:space="preserve"> 2026 (entry into force of the relevant legal act by the end of 2025)</w:t>
            </w:r>
          </w:p>
          <w:p w14:paraId="09C5C92B" w14:textId="77777777" w:rsidR="00AF3650" w:rsidRPr="00E0193B" w:rsidRDefault="00AF3650" w:rsidP="00AF3650">
            <w:pPr>
              <w:spacing w:line="259" w:lineRule="auto"/>
              <w:jc w:val="left"/>
              <w:rPr>
                <w:rFonts w:eastAsia="Calibri"/>
                <w:color w:val="FF0000"/>
                <w:lang w:val="en-US"/>
              </w:rPr>
            </w:pPr>
            <w:r w:rsidRPr="00E0193B">
              <w:rPr>
                <w:rFonts w:eastAsia="Calibri"/>
                <w:color w:val="FF0000"/>
                <w:lang w:val="en-US"/>
              </w:rPr>
              <w:t>- definition of "long-term care" in a way that is consistent for the entire care system of the country (i.e. both on the health care and social assistance side);</w:t>
            </w:r>
          </w:p>
          <w:p w14:paraId="03C32F7F" w14:textId="77777777" w:rsidR="00AF3650" w:rsidRPr="00E0193B" w:rsidRDefault="00AF3650" w:rsidP="00AF3650">
            <w:pPr>
              <w:spacing w:line="259" w:lineRule="auto"/>
              <w:jc w:val="left"/>
              <w:rPr>
                <w:rFonts w:eastAsia="Calibri"/>
                <w:color w:val="FF0000"/>
                <w:lang w:val="en-US"/>
              </w:rPr>
            </w:pPr>
            <w:r w:rsidRPr="00E0193B">
              <w:rPr>
                <w:rFonts w:eastAsia="Calibri"/>
                <w:color w:val="FF0000"/>
                <w:lang w:val="en-US"/>
              </w:rPr>
              <w:t>- defining the concept of "informal carer" and "informal care";</w:t>
            </w:r>
          </w:p>
          <w:p w14:paraId="7201C971" w14:textId="77777777" w:rsidR="00AF3650" w:rsidRPr="00E0193B" w:rsidRDefault="00AF3650" w:rsidP="00AF3650">
            <w:pPr>
              <w:spacing w:line="259" w:lineRule="auto"/>
              <w:jc w:val="left"/>
              <w:rPr>
                <w:rFonts w:eastAsia="Calibri"/>
                <w:color w:val="FF0000"/>
                <w:lang w:val="en-US"/>
              </w:rPr>
            </w:pPr>
            <w:r w:rsidRPr="00E0193B">
              <w:rPr>
                <w:rFonts w:eastAsia="Calibri"/>
                <w:color w:val="FF0000"/>
                <w:lang w:val="en-US"/>
              </w:rPr>
              <w:t>- revision of the existing standards for services provided in the social assistance system, ensuring adequate support for persons in need of care and definition of quality standards for long-term care on the basis of the current legislation;</w:t>
            </w:r>
          </w:p>
          <w:p w14:paraId="4999D7A1" w14:textId="77777777" w:rsidR="00AF3650" w:rsidRPr="00E0193B" w:rsidRDefault="00AF3650" w:rsidP="00AF3650">
            <w:pPr>
              <w:spacing w:line="259" w:lineRule="auto"/>
              <w:jc w:val="left"/>
              <w:rPr>
                <w:rFonts w:eastAsia="Calibri"/>
                <w:color w:val="FF0000"/>
                <w:lang w:val="en-US"/>
              </w:rPr>
            </w:pPr>
            <w:r w:rsidRPr="00E0193B">
              <w:rPr>
                <w:rFonts w:eastAsia="Calibri"/>
                <w:color w:val="FF0000"/>
                <w:lang w:val="en-US"/>
              </w:rPr>
              <w:t xml:space="preserve">- improvement of mechanisms for monitoring and evaluation of the quality of care provided, by amending the provisions on supervision and control in social assistance; </w:t>
            </w:r>
          </w:p>
          <w:p w14:paraId="386210B1" w14:textId="4F9482F6" w:rsidR="00AF3650" w:rsidRPr="00E0193B" w:rsidRDefault="00550679" w:rsidP="00D35471">
            <w:pPr>
              <w:spacing w:line="259" w:lineRule="auto"/>
              <w:jc w:val="left"/>
              <w:rPr>
                <w:rFonts w:eastAsia="Calibri"/>
                <w:color w:val="FF0000"/>
                <w:lang w:val="en-US"/>
              </w:rPr>
            </w:pPr>
            <w:r w:rsidRPr="00E0193B">
              <w:rPr>
                <w:rFonts w:eastAsia="Calibri"/>
                <w:color w:val="FF0000"/>
                <w:lang w:val="en-US"/>
              </w:rPr>
              <w:t xml:space="preserve">- </w:t>
            </w:r>
            <w:r w:rsidR="00AF3650" w:rsidRPr="00E0193B">
              <w:rPr>
                <w:rFonts w:eastAsia="Calibri"/>
                <w:color w:val="FF0000"/>
                <w:lang w:val="en-US"/>
              </w:rPr>
              <w:t>designation of entities responsible for coordination and information activities.</w:t>
            </w:r>
          </w:p>
        </w:tc>
      </w:tr>
      <w:tr w:rsidR="00FB7D82" w:rsidRPr="00E0193B" w14:paraId="6126D330" w14:textId="77777777" w:rsidTr="00FB7D82">
        <w:tc>
          <w:tcPr>
            <w:tcW w:w="1179" w:type="pct"/>
          </w:tcPr>
          <w:p w14:paraId="686F2947" w14:textId="77777777" w:rsidR="00FB7D82" w:rsidRPr="00E0193B" w:rsidRDefault="00FB7D82" w:rsidP="00FB7D82">
            <w:pPr>
              <w:spacing w:after="120" w:line="240" w:lineRule="auto"/>
              <w:jc w:val="left"/>
              <w:rPr>
                <w:rFonts w:eastAsia="Calibri"/>
              </w:rPr>
            </w:pPr>
            <w:r w:rsidRPr="00E0193B">
              <w:rPr>
                <w:rFonts w:eastAsia="Calibri"/>
              </w:rPr>
              <w:lastRenderedPageBreak/>
              <w:t>Uzasadnienie</w:t>
            </w:r>
          </w:p>
        </w:tc>
        <w:tc>
          <w:tcPr>
            <w:tcW w:w="3821" w:type="pct"/>
            <w:gridSpan w:val="2"/>
          </w:tcPr>
          <w:p w14:paraId="750E0562" w14:textId="77777777" w:rsidR="00AF3650" w:rsidRPr="00E0193B" w:rsidRDefault="00AF3650" w:rsidP="00AF3650">
            <w:pPr>
              <w:spacing w:before="120" w:after="120" w:line="264" w:lineRule="auto"/>
            </w:pPr>
            <w:r w:rsidRPr="00E0193B">
              <w:t>System opieki długoterminowej (ODT) w Polsce jest bardzo złożony i obecnie zapewnienie finansowanych ze środków publicznych usług formalnej ODT opiera się przede wszystkim na różnych typach usług świadczonych zarówno przez podmioty sektora zdrowia, jak i pomocy społecznej. Dodatkowo, szeroko definiowana ODT obejmuje także opiekę nieformalną, opiekę dostarczaną przez sektor prywatny oraz świadczenia pieniężne (głównie z systemu ubezpieczeń społecznych i systemu świadczeń rodzinnych) przysługujące zarówno osobom wymagającym opieki, jak i ich opiekunom. Przedstawione w raporcie Banku Światowego wyzwania i rozwiązania dla systemu opieki długoterminowej zostały opracowane w bardzo szerokim zakresie, a horyzont czasowy proponowanych przez Bank zmian znacznie wykracza poza ramy czasowe reformy A4.6. Jak szacuje Bank Światowy, reforma miałaby potencjalny wpływ na ponad 5,4 tys. podmiotów świadczących usługi opieki długoterminowej, ok. 450 tys. klientów (odbiorców usług) tych podmiotów, a docelowo potencjalnie do 4,1 mln osób (potencjalnych klientów ODT i ich opiekunów), którzy korzystają obecnie z różnego rodzaju świadczeń pieniężnych. Według GUS obecnie w Polsce osoby powyżej 65. roku życia (które są najczęściej klientami ODT) stanowią ok. 16% mieszkańców. W 2025 r. będzie to już 22% ludności, a w 2050 r. 33%. Według prognoz, seniorzy będą stanowili coraz liczniejszą grupę społeczną w znacznej części wymagającą opieki/wsparcia w funkcjonowaniu (szczególnie w przypadku osób po 80. roku życia, których liczba w 2030 roku wyniesie ok. 2,2 mln).</w:t>
            </w:r>
          </w:p>
          <w:p w14:paraId="35F17843" w14:textId="77777777" w:rsidR="00AF3650" w:rsidRPr="00E0193B" w:rsidRDefault="00AF3650" w:rsidP="00AF3650">
            <w:pPr>
              <w:spacing w:before="120" w:after="120" w:line="264" w:lineRule="auto"/>
            </w:pPr>
            <w:r w:rsidRPr="00E0193B">
              <w:t>Kwestia organizacji opieki długoterminowej, m.in. ze względu na rosnące obciążenie demograficzne, jest bardzo istotna i wrażliwa społecznie – wszelkie reformy w tym zakresie muszą być wprowadzane w drodze konsensusu i przy zaangażowaniu szerokiego grona interesariuszy.</w:t>
            </w:r>
          </w:p>
          <w:p w14:paraId="0B9F7F54" w14:textId="3ECBBFCE" w:rsidR="00AF3650" w:rsidRPr="00E0193B" w:rsidRDefault="00AF3650" w:rsidP="00AF3650">
            <w:pPr>
              <w:spacing w:before="120" w:after="120" w:line="264" w:lineRule="auto"/>
            </w:pPr>
            <w:r w:rsidRPr="00E0193B">
              <w:t>Resorty (MZ i MRPiPS) wskazują, że trudnością będzie także ustalenie podmiotów odpowiedzianych za wdrożenie poszczególnych rekomendacji, co może prowadzić do problemów związanych z m.in. określeniem właściwej instytucji odpowiedzialnej za realizację poszczególnych jej elementów i etapów. Kwestia odpowiedzialności poszczególnych podmiotów za elementy reformy jest z pewnością istotną kwestią do omówienia pomiędzy właściwymi stronami (nie powinna być wskazywana przez podmiot zewnętrzny). Wskazane przez Bank Światowy rekomendacje wykraczają bowiem poza kompetencje MZ i MRPiPS, które są odpowiedzialne za wdrożenie reformy w ramach A70G.</w:t>
            </w:r>
          </w:p>
          <w:p w14:paraId="00E47CF5" w14:textId="77777777" w:rsidR="00AF3650" w:rsidRPr="00E0193B" w:rsidRDefault="00AF3650" w:rsidP="00AF3650">
            <w:pPr>
              <w:spacing w:before="120" w:after="120" w:line="264" w:lineRule="auto"/>
            </w:pPr>
            <w:r w:rsidRPr="00E0193B">
              <w:t>Zakres rekomendacji obejmuje także zadania realizowane przez jednostki samorządu terytorialnego, na które w przypadku wprowadzenia zmian prawnych, zostaną nałożone znaczące zobowiązania (w tym finansowe) i otrzymają nowe zadania. Wymaga to więc pogłębionych konsultacji i negocjacji z przedstawicielami JST różnych szczebli.</w:t>
            </w:r>
          </w:p>
          <w:p w14:paraId="589A6266" w14:textId="77777777" w:rsidR="00AF3650" w:rsidRPr="00E0193B" w:rsidRDefault="00AF3650" w:rsidP="00AF3650">
            <w:pPr>
              <w:spacing w:before="120" w:after="120" w:line="264" w:lineRule="auto"/>
            </w:pPr>
            <w:r w:rsidRPr="00E0193B">
              <w:t>Część kwestii należy do kompetencji resortów, które nie realizują reformy A4.6, np. Ministerstwa Rozwoju i Technologii. Istotna w tym zakresie jest także kwestia konieczności zwiększenia nakładów finansowych na opiekę długoterminową, które są niskie w porównaniu z innymi krajami UE. Bez zwiększenia nakładów finansowych nie będzie możliwe wdrożenie postulatów wynikających z raportu, na co resorty odpowiedzialne za reformę (MZ i MRPiPS) nie mają pełnego wpływu.</w:t>
            </w:r>
          </w:p>
          <w:p w14:paraId="35BDC104" w14:textId="77777777" w:rsidR="00AF3650" w:rsidRPr="00E0193B" w:rsidRDefault="00AF3650" w:rsidP="00AF3650">
            <w:pPr>
              <w:spacing w:before="120" w:after="120" w:line="264" w:lineRule="auto"/>
            </w:pPr>
            <w:r w:rsidRPr="00E0193B">
              <w:t>Reforma systemu, który de facto jako całość w Polsce nie istnieje, bo jego elementy są rozproszone pomiędzy kompetencje różnych ministerstw (w tym nowo powołane stanowisko ministra ds. polityki senioralnej), ale też sektor prywatny i organizacje pozarządowe, jest procesem wyjątkowo skomplikowanym. Z tego powodu rekomendacje zaproponowane przez ekspertów Banku Światowego mogą być realnie wdrożone dopiero w perspektywie kilku lub kilkunastoletniej. Z tego względu nie uda się zrealizować kamienia milowego A70G w pierwotnie wyznaczonym terminie. Niemożliwe jest również odpowiedzialne wdrożenie tak kompleksowej reformy w pełnym zakresie w okresie realizacji KPO.</w:t>
            </w:r>
          </w:p>
          <w:p w14:paraId="4BA29337" w14:textId="77777777" w:rsidR="00AF3650" w:rsidRPr="00E0193B" w:rsidRDefault="00AF3650" w:rsidP="00AF3650">
            <w:pPr>
              <w:spacing w:before="120" w:after="120" w:line="264" w:lineRule="auto"/>
            </w:pPr>
            <w:r w:rsidRPr="00E0193B">
              <w:t>Mając na uwadze wskazane powyżej czynniki, PL proponuje modyfikację zapisów omawianego kamienia milowego i ograniczenie reformy do obszarów kompetencji MZ i MRPiPS oraz zakresu możliwego do uregulowania w perspektywie realizacji KPO. Ze względu na zakres działań koniecznych do podjęcia, zaproponowano też wydłużenie terminu na zrealizowanie reformy.</w:t>
            </w:r>
          </w:p>
          <w:p w14:paraId="36F679E0" w14:textId="77777777" w:rsidR="00AF3650" w:rsidRPr="00E0193B" w:rsidRDefault="00AF3650" w:rsidP="00AF3650">
            <w:pPr>
              <w:spacing w:before="120" w:after="120" w:line="264" w:lineRule="auto"/>
            </w:pPr>
            <w:r w:rsidRPr="00E0193B">
              <w:t xml:space="preserve">Treść projektu raportu z przeglądu systemu opieki długoterminowej, zaprezentowanego przez Bank Światowy, wskazuje na konieczność przeprowadzenia bardzo czasochłonnych procesów legislacyjnych, poprzedzonych zebraniem dodatkowych danych i ich analizą. </w:t>
            </w:r>
            <w:r w:rsidRPr="00E0193B">
              <w:lastRenderedPageBreak/>
              <w:t>Należy także wskazać, iż w projekcie raportu zgromadzono dostępne dane na temat systemu opieki długoterminowej w Polsce oraz sformułowano rekomendacje kierunkowe, ale bez przeprowadzenia analizy wykonalności, tj. określenia możliwości organizacyjnych, kosztowych i kadrowych wprowadzenia proponowanych rozwiązań. Nie określano szczegółowych sposobów operacjonalizacji rekomendacji, gdyż zadanie to powinno być wykonane przez właściwe resorty będące właścicielami polityki po zatwierdzeniu ostatecznej wersji przeglądu . Dlatego też, te aspekty będą mogły zostać dopiero poddane analizom. Proponowane zmiany prawne będą bowiem wiązały się, w większości przypadków, z koniecznością odpowiedniego oszacowania skutków finansowych i wygospodarowania środków na finansowanie działań nie tylko na szczeblu centralnym, ale też regionalnym i lokalnym.</w:t>
            </w:r>
          </w:p>
          <w:p w14:paraId="28AE5880" w14:textId="77777777" w:rsidR="00AF3650" w:rsidRPr="00E0193B" w:rsidRDefault="00AF3650" w:rsidP="00AF3650">
            <w:pPr>
              <w:spacing w:before="120" w:after="120" w:line="264" w:lineRule="auto"/>
            </w:pPr>
            <w:r w:rsidRPr="00E0193B">
              <w:t xml:space="preserve">Z tego względu w proponowanym nowym brzmieniu kamienia milowego A70G wskazano kilka priorytetów, które mają szansę na wdrożenie w okresie realizacji KPO. Będą one obejmowały zdefiniowanie „opieki długoterminowej” w całości systemu polityki społecznej kraju (tj. zarówno po stronie opieki zdrowotnej, jak i pomocy społecznej), zamiast pojęcia obejmującego tylko świadczenia po stronie opieki zdrowotnej (jak ujmowana jest ona obecnie). Obecnie w polskim systemie prawnym pojęcie opieki długoterminowej używane jest wyłącznie w sektorze opieki zdrowotnej – jest pojęciem ujętym w ustawie o świadczeniach opieki zdrowotnej finansowanych ze środków publicznych i rozporządzeniach wykonawczych do tej ustawy. </w:t>
            </w:r>
          </w:p>
          <w:p w14:paraId="4385DCF9" w14:textId="77777777" w:rsidR="00AF3650" w:rsidRPr="00E0193B" w:rsidRDefault="00AF3650" w:rsidP="00AF3650">
            <w:pPr>
              <w:spacing w:before="120" w:after="120" w:line="264" w:lineRule="auto"/>
            </w:pPr>
            <w:r w:rsidRPr="00E0193B">
              <w:t xml:space="preserve">W systemie ochrony zdrowia zdefiniowano opiekę długoterminową jako całokształt działań medycznych i społecznych polegających na świadczeniu długotrwałej opieki pielęgniarskiej, rehabilitacji, świadczeń terapeutycznych i usług pielęgnacyjno–opiekuńczych oraz kontynuacji leczenia farmakologicznego i dietetycznego osobom przewlekle chorym i niesamodzielnym, które nie wymagają hospitalizacji w warunkach oddziału szpitalnego. Świadczenia pielęgnacyjne i opiekuńcze adresowane są zarówno do osób dorosłych, jak i do dzieci. </w:t>
            </w:r>
          </w:p>
          <w:p w14:paraId="017B1853" w14:textId="77777777" w:rsidR="00AF3650" w:rsidRPr="00E0193B" w:rsidRDefault="00AF3650" w:rsidP="00AF3650">
            <w:pPr>
              <w:spacing w:before="120" w:after="120" w:line="264" w:lineRule="auto"/>
            </w:pPr>
            <w:r w:rsidRPr="00E0193B">
              <w:t>Głównymi aktami prawnymi, które odnoszą się do obszarów z zakresu szeroko rozumianej opieki długoterminowej jest:</w:t>
            </w:r>
            <w:r w:rsidRPr="00E0193B">
              <w:br/>
              <w:t>- ustawa o świadczeniach opieki zdrowotnej finansowanych ze środków publicznych, a także</w:t>
            </w:r>
          </w:p>
          <w:p w14:paraId="6A60CFCA" w14:textId="77777777" w:rsidR="00AF3650" w:rsidRPr="00E0193B" w:rsidRDefault="00AF3650" w:rsidP="00AF3650">
            <w:pPr>
              <w:spacing w:before="120" w:after="120" w:line="264" w:lineRule="auto"/>
            </w:pPr>
            <w:r w:rsidRPr="00E0193B">
              <w:t>- ustawa o pomocy społecznej.</w:t>
            </w:r>
          </w:p>
          <w:p w14:paraId="1F105599" w14:textId="77777777" w:rsidR="00AF3650" w:rsidRPr="00E0193B" w:rsidRDefault="00AF3650" w:rsidP="00AF3650">
            <w:pPr>
              <w:spacing w:before="120" w:after="120" w:line="264" w:lineRule="auto"/>
            </w:pPr>
            <w:r w:rsidRPr="00E0193B">
              <w:t>Konieczność zdefiniowania opieki długoterminowej szerzej, przez objęcie definicją także między innymi usług i świadczeń z zakresu pomocy społecznej, będzie wymagała zmian w ww. dwóch ustawach, a także szeregu aktów wykonawczych do tychże ustaw (określenie, w których aktach wykonawczych taka zmiana będzie niezbędna do końca realizacji KPO, nie jest obecnie możliwe ze względu na konieczność dokonania przeglądu tychże aktów i odpowiednie uszeregowanie kolejności ich nowelizacji, aby nie spowodować ograniczenia dostępu do usług i świadczeń w odnośnym sektorze).</w:t>
            </w:r>
          </w:p>
          <w:p w14:paraId="50B08C06" w14:textId="77777777" w:rsidR="00AF3650" w:rsidRPr="00E0193B" w:rsidRDefault="00AF3650" w:rsidP="00AF3650">
            <w:pPr>
              <w:spacing w:before="120" w:after="120" w:line="264" w:lineRule="auto"/>
              <w:rPr>
                <w:highlight w:val="yellow"/>
              </w:rPr>
            </w:pPr>
            <w:r w:rsidRPr="00E0193B">
              <w:t xml:space="preserve">Wśród działań priorytetowych do realizacji do końca wdrażania KPO wskazano także </w:t>
            </w:r>
            <w:r w:rsidRPr="00E0193B" w:rsidDel="0FB447EC">
              <w:t xml:space="preserve"> </w:t>
            </w:r>
            <w:r w:rsidRPr="00E0193B">
              <w:t xml:space="preserve">zdefiniowanie pojęcia „opiekuna nieformalnego" oraz „opieki nieformalnej”, aby możliwe było odpowiednie planowanie strumienia usług i świadczeń adresowanych do tej grupy odbiorców. Definicja ta zostanie sformułowana w przepisach rangi ustawowej. </w:t>
            </w:r>
          </w:p>
          <w:p w14:paraId="1FF899EC" w14:textId="77777777" w:rsidR="00AF3650" w:rsidRPr="00E0193B" w:rsidRDefault="00AF3650" w:rsidP="00AF3650">
            <w:pPr>
              <w:spacing w:line="259" w:lineRule="auto"/>
            </w:pPr>
            <w:r w:rsidRPr="00E0193B">
              <w:t>W zakresie obu systemów zaproponowany zostanie skoordynowany system świadczeń z zakresu opieki zdrowotnej i pomocy społecznej</w:t>
            </w:r>
          </w:p>
          <w:p w14:paraId="1F35C11D" w14:textId="77777777" w:rsidR="00AF3650" w:rsidRPr="00E0193B" w:rsidRDefault="00AF3650" w:rsidP="00AF3650">
            <w:pPr>
              <w:spacing w:before="120" w:after="120" w:line="264" w:lineRule="auto"/>
            </w:pPr>
            <w:r w:rsidRPr="00E0193B">
              <w:t xml:space="preserve">Priorytetowe działania legislacyjne powinny także prowadzić do desygnowania podmiotów odpowiedzialnych za działania koordynacyjne i informacyjne w obszarze opieki długoterminowej, co będzie stanowiło niezbędny punkt wyjścia do ich uruchomienia i rozwoju. </w:t>
            </w:r>
          </w:p>
          <w:p w14:paraId="6C3E28DC" w14:textId="77777777" w:rsidR="00AF3650" w:rsidRPr="00E0193B" w:rsidRDefault="00AF3650" w:rsidP="00AF3650">
            <w:r w:rsidRPr="00E0193B">
              <w:t>Jako obszar zmian legislacyjnych wprowadzanych do końca realizacji KPO wskazano także zmianę obowiązujących standardów usług świadczonych w systemie pomocy społecznej, zapewniających adekwatne do potrzeb wsparcie osób wymagających opieki.</w:t>
            </w:r>
          </w:p>
          <w:p w14:paraId="27B26A06" w14:textId="1061EFC2" w:rsidR="00AF3650" w:rsidRPr="00E0193B" w:rsidRDefault="00AF3650" w:rsidP="00AF3650">
            <w:r w:rsidRPr="00E0193B">
              <w:t xml:space="preserve">Szczegółowe określenie kierunków działań w zakresie zmiany obowiązujących standardów usług świadczonych w systemie pomocy społecznej, zapewniających adekwatne do potrzeb wsparcie osób wymagających opieki, będzie przeprowadzone na podstawie rekomendacji wskazanych w strategicznym przeglądzie opieki długoterminowej w Polsce. Rekomendacje w tym zakresie będą określały kierunki zmian. Zasadniczo zmiany będą miały na celu rozwój usług środowiskowych, w tym opieki długoterminowej ewentualne uelastycznienie zasad przyznawania niektórych form pomocy stanowiących wsparcie w ramach opieki długoterminowej.  </w:t>
            </w:r>
          </w:p>
          <w:p w14:paraId="029A2374" w14:textId="77777777" w:rsidR="00AF3650" w:rsidRPr="00E0193B" w:rsidRDefault="00AF3650" w:rsidP="00AF3650">
            <w:pPr>
              <w:spacing w:before="120" w:after="120" w:line="264" w:lineRule="auto"/>
            </w:pPr>
            <w:r w:rsidRPr="00E0193B">
              <w:t xml:space="preserve">Wymogi dla poszczególnych zakresów świadczeń opieki długoterminowej w obszarze opieki zdrowotnej są określone w rozporządzeniu Ministra Zdrowia w sprawie świadczeń pielęgnacyjnych i opiekuńczych w ramach opieki długoterminowej (w tym wymogi dot. personelu, sprzętu medycznego i pomocniczego oraz warunków lokalowych). </w:t>
            </w:r>
          </w:p>
          <w:p w14:paraId="6E4EC040" w14:textId="77777777" w:rsidR="00AF3650" w:rsidRPr="00E0193B" w:rsidRDefault="00AF3650" w:rsidP="00AF3650">
            <w:pPr>
              <w:spacing w:before="120" w:after="120" w:line="264" w:lineRule="auto"/>
            </w:pPr>
            <w:r w:rsidRPr="00E0193B">
              <w:t>Jednym z celów priorytetowych reformy będzie także ulepszenie mechanizmów monitorowania i ewaluacji jakości świadczonej opieki, poprzez zmianę przepisów w sprawie nadzoru i kontroli w pomocy społecznej.</w:t>
            </w:r>
          </w:p>
          <w:p w14:paraId="5E325069" w14:textId="77777777" w:rsidR="00AF3650" w:rsidRPr="00E0193B" w:rsidRDefault="00AF3650" w:rsidP="00AF3650">
            <w:pPr>
              <w:spacing w:before="120" w:after="120" w:line="264" w:lineRule="auto"/>
            </w:pPr>
            <w:r w:rsidRPr="00E0193B">
              <w:t xml:space="preserve">Należy podkreślić, iż zmiany w obszarze opieki długoterminowej, które będą wprowadzane w najbliższych latach (w tym do końca okresu realizacji KPO), będą wiązały się ze zwiększeniem finansowania pakietu usług i świadczeń w szeroko rozumianym ujęciu tejże opieki. Między innymi ze względu na zachodzące zmiany demograficzne, a także konieczność odpowiedzi na niezaspokojone potrzeby zdrowotne, nakłady na cały sektor opieki zdrowotnej w Polsce sukcesywnie rosną. Rosną także nakłady Narodowego Funduszu Zdrowia na świadczenia pielęgnacyjne i opiekuńcze w ramach opieki długoterminowej – z ok. 2,1 mld zł w 2020 r. do zaplanowanych ponad 3,7 mld zł w 2024 r. Dodatkowo - zgodnie z ustawą o świadczeniach opieki zdrowotnej finansowanych ze środków publicznych - Agencja Oceny Technologii Medycznych i Taryfikacji (AOTMiT), na bieżąco dokonuje analiz związanych z poziomem finansowania świadczeń opieki zdrowotnej. Podstawowym celem tego procesu jest ustalenie taryfy dla świadczeń opieki zdrowotnej finansowanych ze środków publicznych, przede wszystkim poprzez uzyskanie wiedzy o rzeczywistych kosztach </w:t>
            </w:r>
            <w:r w:rsidRPr="00E0193B">
              <w:lastRenderedPageBreak/>
              <w:t>ponoszonych w związku z realizacją tych świadczeń oraz o wzajemnych relacjach poziomu kosztów pomiędzy poszczególnymi świadczeniami. Cel ten jest realizowany przy założeniu, że taryfikacja ma służyć równoważeniu podaży świadczeń i potrzeb zdrowotnych, zapewnieniu możliwie najlepszej dostępności do świadczeń gwarantowanych oraz gospodarności w zakresie wydawania środków publicznych. Uwzględniając zakres prac AOTMiT nad weryfikacją poziomu finansowania świadczeń opieki zdrowotnej, należy zauważyć, że Minister Zdrowia w uzasadnionych przypadkach na bieżąco reaguje na wnioski zgłaszane przez organizacje pracodawców, czy podmioty lecznicze, celem wyjaśnienia ewentualnych rozbieżności w wycenach świadczeń i ich ponownej weryfikacji oraz ewentualnej zmiany przez AOTMiT.</w:t>
            </w:r>
          </w:p>
          <w:p w14:paraId="4B43B1F9" w14:textId="29F90309" w:rsidR="00AF3650" w:rsidRPr="00E0193B" w:rsidRDefault="00AF3650" w:rsidP="00AF3650">
            <w:pPr>
              <w:spacing w:before="120" w:after="120" w:line="264" w:lineRule="auto"/>
              <w:rPr>
                <w:rFonts w:eastAsia="Lato"/>
              </w:rPr>
            </w:pPr>
            <w:r w:rsidRPr="00E0193B">
              <w:rPr>
                <w:rFonts w:eastAsia="Lato"/>
              </w:rPr>
              <w:t>W zakresie pomocy społecznej również odnotowywany jest wzrost wydatków na działania z zakresu pomocy społeczne (w tym na działania zaliczane do opieki długoterminowej z tego obszaru), zarówno te na poziomie samorządów jak i resortu. Dla przykładu łączne wykonanie za rok 2021 wyniosło 4.388.897 tys. zł, natomiast wykonanie za rok 2022 wrosło już do kwoty 4.653.742 tys. zł.</w:t>
            </w:r>
          </w:p>
          <w:p w14:paraId="12BD8A39" w14:textId="32BB0EBB" w:rsidR="00E0193B" w:rsidRPr="00E0193B" w:rsidRDefault="00E0193B" w:rsidP="00E0193B">
            <w:r>
              <w:t xml:space="preserve">Refoma wprowadzi także od 1 stycznai 2026r </w:t>
            </w:r>
            <w:r w:rsidRPr="00E0193B">
              <w:t>bon senioralny, który będzie przysługiwał osobom w wieku powyżej 75 lat z potrzebami pomocy w podstawowych czynnościach dnia codziennego. Bon obejmował będzie usługi opiekuńcze, w tym:</w:t>
            </w:r>
          </w:p>
          <w:p w14:paraId="0C6C6FC5" w14:textId="77777777" w:rsidR="00E0193B" w:rsidRPr="00E0193B" w:rsidRDefault="00E0193B" w:rsidP="00E0193B">
            <w:pPr>
              <w:pStyle w:val="Akapitzlist"/>
              <w:numPr>
                <w:ilvl w:val="0"/>
                <w:numId w:val="39"/>
              </w:numPr>
              <w:spacing w:after="0" w:line="240" w:lineRule="auto"/>
              <w:contextualSpacing w:val="0"/>
              <w:jc w:val="left"/>
            </w:pPr>
            <w:r w:rsidRPr="00E0193B">
              <w:t>usługi zaspokajające codzienne życiowe potrzeby,</w:t>
            </w:r>
          </w:p>
          <w:p w14:paraId="3708A1D9" w14:textId="77777777" w:rsidR="00E0193B" w:rsidRPr="00E0193B" w:rsidRDefault="00E0193B" w:rsidP="00E0193B">
            <w:pPr>
              <w:pStyle w:val="Akapitzlist"/>
              <w:numPr>
                <w:ilvl w:val="0"/>
                <w:numId w:val="39"/>
              </w:numPr>
              <w:spacing w:after="0" w:line="240" w:lineRule="auto"/>
              <w:contextualSpacing w:val="0"/>
              <w:jc w:val="left"/>
            </w:pPr>
            <w:r w:rsidRPr="00E0193B">
              <w:t xml:space="preserve">pomoc w uzyskaniu dostępu do świadczeń zdrowotnych, </w:t>
            </w:r>
          </w:p>
          <w:p w14:paraId="6135CE08" w14:textId="77777777" w:rsidR="00E0193B" w:rsidRPr="00E0193B" w:rsidRDefault="00E0193B" w:rsidP="00E0193B">
            <w:pPr>
              <w:pStyle w:val="Akapitzlist"/>
              <w:numPr>
                <w:ilvl w:val="0"/>
                <w:numId w:val="39"/>
              </w:numPr>
              <w:spacing w:after="0" w:line="240" w:lineRule="auto"/>
              <w:contextualSpacing w:val="0"/>
              <w:jc w:val="left"/>
            </w:pPr>
            <w:r w:rsidRPr="00E0193B">
              <w:t xml:space="preserve">podstawową opiekę higieniczno-pielęgnacyjnej, </w:t>
            </w:r>
          </w:p>
          <w:p w14:paraId="682DFEB1" w14:textId="77777777" w:rsidR="00E0193B" w:rsidRPr="00E0193B" w:rsidRDefault="00E0193B" w:rsidP="00E0193B">
            <w:pPr>
              <w:pStyle w:val="Akapitzlist"/>
              <w:numPr>
                <w:ilvl w:val="0"/>
                <w:numId w:val="39"/>
              </w:numPr>
              <w:spacing w:after="0" w:line="240" w:lineRule="auto"/>
              <w:contextualSpacing w:val="0"/>
              <w:jc w:val="left"/>
            </w:pPr>
            <w:r w:rsidRPr="00E0193B">
              <w:t xml:space="preserve">zapewnienie kontaktów z otoczeniem. </w:t>
            </w:r>
          </w:p>
          <w:p w14:paraId="13FA66AC" w14:textId="405897C8" w:rsidR="00E0193B" w:rsidRPr="00944D67" w:rsidRDefault="00E0193B" w:rsidP="00275AB6">
            <w:pPr>
              <w:rPr>
                <w:rFonts w:eastAsiaTheme="minorHAnsi"/>
                <w:color w:val="000000" w:themeColor="text1"/>
              </w:rPr>
            </w:pPr>
            <w:r w:rsidRPr="00E0193B">
              <w:t xml:space="preserve">Gminy będą realizować usługi w ramach bonu lub będą mogły zlecić je innym podmiotom. Świadczone w ramach bonu usługi będą realizowane w miejscu zamieszkania </w:t>
            </w:r>
            <w:r w:rsidRPr="00A501D9">
              <w:t>osoby korzystającej ze wsparcia, a więc zgodnie z zasadą deinstytucjonalizacji.</w:t>
            </w:r>
            <w:r w:rsidRPr="00A501D9">
              <w:rPr>
                <w:color w:val="FF0000"/>
              </w:rPr>
              <w:t xml:space="preserve"> </w:t>
            </w:r>
            <w:r w:rsidR="00275AB6" w:rsidRPr="00A501D9">
              <w:rPr>
                <w:color w:val="000000" w:themeColor="text1"/>
              </w:rPr>
              <w:t>Dzięki wprowadzeniu bonu senioralnego nastąpi zwiększenie finansowania usług opieki długoterminowej dla osób starszych w Polsce. Rozwiązanie to odciąży także rodziny osób starszych potrzebujących opieki, a tym samym będzie przeciwdziałać wcześniejszej dezaktywizacji, głównie kobiet w związku z koniecznością zapewnienia opieki, przyczyni się do wzrostu zatrudnienia w usługach świadczonych na rzecz osób starszych, czy umożliwi zmniejszenie szarej strefy w tym sektorze zgodnie z założeniami reformy.</w:t>
            </w:r>
            <w:r w:rsidRPr="00944D67">
              <w:rPr>
                <w:color w:val="000000" w:themeColor="text1"/>
              </w:rPr>
              <w:t xml:space="preserve"> </w:t>
            </w:r>
          </w:p>
          <w:p w14:paraId="7F0F7186" w14:textId="17A79B38" w:rsidR="00AF3650" w:rsidRPr="00E0193B" w:rsidRDefault="00AF3650" w:rsidP="00AF3650">
            <w:pPr>
              <w:spacing w:before="120" w:after="120" w:line="264" w:lineRule="auto"/>
            </w:pPr>
            <w:r w:rsidRPr="00E0193B">
              <w:t xml:space="preserve">W związku z powyższym, pewne jest, że w najbliższych latach w dalszym ciągu wzrastały będą nakłady na realizację świadczeń i usług w szeroko rozumianym sektorze opieki długoterminowej.  Planując w sposób odpowiedzialny reformę  tak dużego systemu, należy uwzględnić konieczność etapowego wprowadzenia poszczególnych rozwiązań prawnych. </w:t>
            </w:r>
          </w:p>
          <w:p w14:paraId="0E831A3E" w14:textId="6AC1998E" w:rsidR="00AF3650" w:rsidRPr="00E0193B" w:rsidRDefault="00AF3650" w:rsidP="00AF3650">
            <w:pPr>
              <w:spacing w:before="120" w:after="120" w:line="264" w:lineRule="auto"/>
            </w:pPr>
            <w:r w:rsidRPr="00E0193B">
              <w:t>Wdrożenie reformy będzie wymagało zebrania dodatkowych danych i ich analizy, dyskusji między różnymi interesariuszami systemu, a także realnej oceny możliwości zwiększenia nakładów publicznych na różnych poziomach zarządzania opieką długoterminową.</w:t>
            </w:r>
          </w:p>
          <w:p w14:paraId="0BEEBF20" w14:textId="5723BFAB" w:rsidR="00FB7D82" w:rsidRPr="00E0193B" w:rsidRDefault="00AF3650" w:rsidP="00550679">
            <w:pPr>
              <w:spacing w:before="120" w:after="120" w:line="264" w:lineRule="auto"/>
            </w:pPr>
            <w:r w:rsidRPr="00E0193B">
              <w:t>Raz jeszcze należy podkreślić, że w raporcie z przeglądu sytemu opieki długoterminowej w Polsce wskazano, iż obecnie system ten regulowany jest przez liczne akty prawne – w tym dwie ustawy koordynowane przez różnych ministrów (ministra ds. zdrowia i ministra ds. zabezpieczenia społecznego) i niedotyczące wyłącznie tematyki opieki długoterminowej, ale całego systemu pomocy społecznej oraz świadczeń opieki zdrowotnej finansowanych ze środków publicznych, a także ok. 70 rozporządzeń. Wprowadzenie dodatkowych definicji i uzgodnienie pojęć, które byłyby adekwatne do potrzeb usługobiorców tylko tych dwóch systemów, będzie wymagało zmiany szeregu obowiązujących przepisów. Proces taki powinien prowadzić do trwałego uporządkowania kluczowych regulacji dot. opieki długoterminowej, a nie do wprowadzenia rozwiązań tymczasowych i niedostatecznie skonsultowanych. Z tego względu wymaga on działań przemyślanych i etapowych.</w:t>
            </w:r>
          </w:p>
        </w:tc>
      </w:tr>
      <w:tr w:rsidR="00491CB3" w:rsidRPr="00E0193B" w14:paraId="1FAF9DC2" w14:textId="77777777" w:rsidTr="00FB7D82">
        <w:tc>
          <w:tcPr>
            <w:tcW w:w="1179" w:type="pct"/>
          </w:tcPr>
          <w:p w14:paraId="2980CADB" w14:textId="77777777" w:rsidR="00491CB3" w:rsidRPr="00E0193B" w:rsidRDefault="00491CB3" w:rsidP="00491CB3">
            <w:pPr>
              <w:spacing w:after="120" w:line="240" w:lineRule="auto"/>
              <w:jc w:val="left"/>
              <w:rPr>
                <w:rFonts w:eastAsia="Calibri"/>
              </w:rPr>
            </w:pPr>
            <w:r w:rsidRPr="00E0193B">
              <w:rPr>
                <w:rFonts w:eastAsia="Calibri"/>
              </w:rPr>
              <w:lastRenderedPageBreak/>
              <w:t>Szacowany koszy</w:t>
            </w:r>
          </w:p>
        </w:tc>
        <w:tc>
          <w:tcPr>
            <w:tcW w:w="3821" w:type="pct"/>
            <w:gridSpan w:val="2"/>
          </w:tcPr>
          <w:p w14:paraId="4CF2F50C" w14:textId="77777777" w:rsidR="00491CB3" w:rsidRPr="00E0193B" w:rsidRDefault="00491CB3" w:rsidP="00491CB3">
            <w:pPr>
              <w:spacing w:after="120" w:line="240" w:lineRule="auto"/>
              <w:jc w:val="left"/>
              <w:rPr>
                <w:rFonts w:eastAsia="Calibri"/>
              </w:rPr>
            </w:pPr>
            <w:r w:rsidRPr="00E0193B">
              <w:t>Zmiana nie ma wpływu na szacowany koszt</w:t>
            </w:r>
            <w:r w:rsidRPr="00E0193B" w:rsidDel="003E08A1">
              <w:rPr>
                <w:rFonts w:eastAsia="Calibri"/>
              </w:rPr>
              <w:t xml:space="preserve"> </w:t>
            </w:r>
          </w:p>
        </w:tc>
      </w:tr>
      <w:tr w:rsidR="00491CB3" w:rsidRPr="00E0193B" w14:paraId="42B4DE0C" w14:textId="77777777" w:rsidTr="00FB7D82">
        <w:tc>
          <w:tcPr>
            <w:tcW w:w="1179" w:type="pct"/>
          </w:tcPr>
          <w:p w14:paraId="2F43F17F" w14:textId="77777777" w:rsidR="00491CB3" w:rsidRPr="00E0193B" w:rsidRDefault="00491CB3" w:rsidP="00491CB3">
            <w:pPr>
              <w:spacing w:after="120" w:line="240" w:lineRule="auto"/>
              <w:jc w:val="left"/>
              <w:rPr>
                <w:rFonts w:eastAsia="Calibri"/>
              </w:rPr>
            </w:pPr>
            <w:r w:rsidRPr="00E0193B">
              <w:rPr>
                <w:rFonts w:eastAsia="Calibri"/>
              </w:rPr>
              <w:t>Klimatyczny i cyfrowy tagging</w:t>
            </w:r>
          </w:p>
        </w:tc>
        <w:tc>
          <w:tcPr>
            <w:tcW w:w="3821" w:type="pct"/>
            <w:gridSpan w:val="2"/>
          </w:tcPr>
          <w:p w14:paraId="5C945CB1" w14:textId="77777777" w:rsidR="00491CB3" w:rsidRPr="00E0193B" w:rsidRDefault="00491CB3" w:rsidP="00491CB3">
            <w:pPr>
              <w:spacing w:after="120" w:line="240" w:lineRule="auto"/>
              <w:jc w:val="left"/>
              <w:rPr>
                <w:rFonts w:eastAsia="Calibri"/>
              </w:rPr>
            </w:pPr>
            <w:r w:rsidRPr="00E0193B">
              <w:t>Zmiana nie ma wpływu na tagging klimatyczny i cyfrowy</w:t>
            </w:r>
            <w:r w:rsidRPr="00E0193B" w:rsidDel="003E08A1">
              <w:rPr>
                <w:rFonts w:eastAsia="Calibri"/>
              </w:rPr>
              <w:t xml:space="preserve"> </w:t>
            </w:r>
          </w:p>
        </w:tc>
      </w:tr>
      <w:tr w:rsidR="00491CB3" w:rsidRPr="00E0193B" w14:paraId="691C38C3" w14:textId="77777777" w:rsidTr="00FB7D82">
        <w:tc>
          <w:tcPr>
            <w:tcW w:w="1179" w:type="pct"/>
          </w:tcPr>
          <w:p w14:paraId="2FB753D8" w14:textId="77777777" w:rsidR="00491CB3" w:rsidRPr="00E0193B" w:rsidRDefault="00491CB3" w:rsidP="00491CB3">
            <w:pPr>
              <w:spacing w:after="120" w:line="240" w:lineRule="auto"/>
              <w:jc w:val="left"/>
              <w:rPr>
                <w:rFonts w:eastAsia="Calibri"/>
              </w:rPr>
            </w:pPr>
            <w:r w:rsidRPr="00E0193B">
              <w:rPr>
                <w:rFonts w:eastAsia="Calibri"/>
              </w:rPr>
              <w:t xml:space="preserve">Ocena DNSH </w:t>
            </w:r>
          </w:p>
        </w:tc>
        <w:tc>
          <w:tcPr>
            <w:tcW w:w="3821" w:type="pct"/>
            <w:gridSpan w:val="2"/>
          </w:tcPr>
          <w:p w14:paraId="27184503" w14:textId="77777777" w:rsidR="00491CB3" w:rsidRPr="00E0193B" w:rsidRDefault="00491CB3" w:rsidP="00491CB3">
            <w:pPr>
              <w:spacing w:after="120" w:line="240" w:lineRule="auto"/>
              <w:jc w:val="left"/>
              <w:rPr>
                <w:rFonts w:eastAsia="Calibri"/>
              </w:rPr>
            </w:pPr>
            <w:r w:rsidRPr="00E0193B">
              <w:t>Zmiana nie ma wpływu na DNSH</w:t>
            </w:r>
            <w:r w:rsidRPr="00E0193B" w:rsidDel="003E08A1">
              <w:rPr>
                <w:rFonts w:eastAsia="Calibri"/>
              </w:rPr>
              <w:t xml:space="preserve"> </w:t>
            </w:r>
          </w:p>
        </w:tc>
      </w:tr>
    </w:tbl>
    <w:p w14:paraId="558E9193" w14:textId="5973A073" w:rsidR="00491CB3" w:rsidRPr="00E0193B" w:rsidRDefault="00491CB3" w:rsidP="00D94758">
      <w:pPr>
        <w:spacing w:after="120" w:line="240" w:lineRule="auto"/>
        <w:jc w:val="left"/>
        <w:rPr>
          <w:rFonts w:eastAsia="Calibri"/>
          <w:b/>
          <w:bCs/>
        </w:rPr>
      </w:pPr>
    </w:p>
    <w:p w14:paraId="2EE3422D" w14:textId="04FDAC43" w:rsidR="00491CB3" w:rsidRPr="00E0193B" w:rsidRDefault="00D94758" w:rsidP="00D94758">
      <w:pPr>
        <w:shd w:val="clear" w:color="auto" w:fill="FFFFFF"/>
        <w:autoSpaceDE w:val="0"/>
        <w:autoSpaceDN w:val="0"/>
        <w:adjustRightInd w:val="0"/>
        <w:spacing w:after="120" w:line="240" w:lineRule="auto"/>
        <w:jc w:val="left"/>
        <w:rPr>
          <w:rFonts w:eastAsia="Calibri"/>
          <w:b/>
          <w:bCs/>
        </w:rPr>
      </w:pPr>
      <w:r w:rsidRPr="00E0193B">
        <w:rPr>
          <w:rFonts w:eastAsia="Calibri"/>
          <w:b/>
          <w:bCs/>
        </w:rPr>
        <w:t>Komponent B - Zielona energia i zmniejszenie energochłonności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26"/>
        <w:gridCol w:w="3448"/>
        <w:gridCol w:w="3642"/>
      </w:tblGrid>
      <w:tr w:rsidR="00D94758" w:rsidRPr="00E0193B" w14:paraId="7E3D55AE" w14:textId="77777777" w:rsidTr="008C1B0D">
        <w:tc>
          <w:tcPr>
            <w:tcW w:w="1068" w:type="pct"/>
          </w:tcPr>
          <w:p w14:paraId="6AC740DC" w14:textId="77777777" w:rsidR="00D94758" w:rsidRPr="00E0193B" w:rsidRDefault="00D94758" w:rsidP="00D94758">
            <w:pPr>
              <w:spacing w:after="120" w:line="240" w:lineRule="auto"/>
              <w:rPr>
                <w:b/>
                <w:bCs/>
              </w:rPr>
            </w:pPr>
            <w:r w:rsidRPr="00E0193B">
              <w:rPr>
                <w:b/>
                <w:bCs/>
              </w:rPr>
              <w:t>Numer inwestycji</w:t>
            </w:r>
          </w:p>
        </w:tc>
        <w:tc>
          <w:tcPr>
            <w:tcW w:w="3932" w:type="pct"/>
            <w:gridSpan w:val="2"/>
          </w:tcPr>
          <w:p w14:paraId="791037E5" w14:textId="77777777" w:rsidR="00D94758" w:rsidRPr="00E0193B" w:rsidRDefault="00D94758" w:rsidP="00D94758">
            <w:pPr>
              <w:autoSpaceDE w:val="0"/>
              <w:autoSpaceDN w:val="0"/>
              <w:adjustRightInd w:val="0"/>
              <w:spacing w:after="120" w:line="240" w:lineRule="auto"/>
              <w:jc w:val="left"/>
              <w:rPr>
                <w:rFonts w:eastAsia="Calibri"/>
                <w:b/>
                <w:bCs/>
                <w:color w:val="000000"/>
                <w:lang w:val="en-GB" w:eastAsia="en-GB"/>
              </w:rPr>
            </w:pPr>
            <w:r w:rsidRPr="00E0193B">
              <w:rPr>
                <w:rFonts w:eastAsia="Calibri"/>
                <w:b/>
                <w:bCs/>
                <w:color w:val="000000"/>
                <w:lang w:val="en-GB" w:eastAsia="en-GB"/>
              </w:rPr>
              <w:t>B.1.1.2.</w:t>
            </w:r>
          </w:p>
        </w:tc>
      </w:tr>
      <w:tr w:rsidR="00D94758" w:rsidRPr="00E0193B" w14:paraId="6B8DC47A" w14:textId="77777777" w:rsidTr="008C1B0D">
        <w:trPr>
          <w:trHeight w:val="668"/>
        </w:trPr>
        <w:tc>
          <w:tcPr>
            <w:tcW w:w="1068" w:type="pct"/>
          </w:tcPr>
          <w:p w14:paraId="120D0068" w14:textId="77777777" w:rsidR="00D94758" w:rsidRPr="00E0193B" w:rsidRDefault="00D94758" w:rsidP="00D94758">
            <w:pPr>
              <w:autoSpaceDE w:val="0"/>
              <w:autoSpaceDN w:val="0"/>
              <w:adjustRightInd w:val="0"/>
              <w:spacing w:after="120" w:line="240" w:lineRule="auto"/>
              <w:jc w:val="left"/>
              <w:rPr>
                <w:rFonts w:eastAsia="Calibri"/>
                <w:b/>
                <w:bCs/>
                <w:color w:val="000000"/>
                <w:lang w:val="en-GB" w:eastAsia="en-GB"/>
              </w:rPr>
            </w:pPr>
            <w:r w:rsidRPr="00E0193B">
              <w:rPr>
                <w:rFonts w:eastAsia="Calibri"/>
                <w:b/>
                <w:bCs/>
                <w:color w:val="000000"/>
                <w:lang w:val="en-GB" w:eastAsia="en-GB"/>
              </w:rPr>
              <w:t xml:space="preserve">Nazwa inwestycji </w:t>
            </w:r>
          </w:p>
        </w:tc>
        <w:tc>
          <w:tcPr>
            <w:tcW w:w="3932" w:type="pct"/>
            <w:gridSpan w:val="2"/>
          </w:tcPr>
          <w:p w14:paraId="17D54391" w14:textId="77777777" w:rsidR="00D94758" w:rsidRPr="00E0193B" w:rsidRDefault="00D94758" w:rsidP="00D94758">
            <w:pPr>
              <w:autoSpaceDE w:val="0"/>
              <w:autoSpaceDN w:val="0"/>
              <w:adjustRightInd w:val="0"/>
              <w:spacing w:after="120" w:line="240" w:lineRule="auto"/>
              <w:jc w:val="left"/>
              <w:rPr>
                <w:rFonts w:eastAsia="Calibri"/>
                <w:b/>
                <w:bCs/>
                <w:color w:val="000000"/>
                <w:lang w:eastAsia="en-GB"/>
              </w:rPr>
            </w:pPr>
            <w:r w:rsidRPr="00E0193B">
              <w:rPr>
                <w:rFonts w:eastAsia="Calibri"/>
                <w:b/>
                <w:bCs/>
                <w:color w:val="000000"/>
                <w:lang w:eastAsia="en-GB"/>
              </w:rPr>
              <w:t>Wymiana źródeł ciepła i poprawa efektywności energetycznej w budynkach mieszkalnych</w:t>
            </w:r>
          </w:p>
        </w:tc>
      </w:tr>
      <w:tr w:rsidR="00D94758" w:rsidRPr="00E0193B" w14:paraId="0C63CC1C" w14:textId="77777777" w:rsidTr="008C1B0D">
        <w:tc>
          <w:tcPr>
            <w:tcW w:w="1068" w:type="pct"/>
          </w:tcPr>
          <w:p w14:paraId="38B75C01" w14:textId="77777777" w:rsidR="00D94758" w:rsidRPr="00E0193B" w:rsidRDefault="00D94758" w:rsidP="00D94758">
            <w:pPr>
              <w:autoSpaceDE w:val="0"/>
              <w:autoSpaceDN w:val="0"/>
              <w:adjustRightInd w:val="0"/>
              <w:spacing w:after="120" w:line="240" w:lineRule="auto"/>
              <w:jc w:val="left"/>
              <w:rPr>
                <w:rFonts w:eastAsia="Calibri"/>
                <w:color w:val="000000"/>
                <w:lang w:eastAsia="en-GB"/>
              </w:rPr>
            </w:pPr>
            <w:r w:rsidRPr="00E0193B">
              <w:rPr>
                <w:rFonts w:eastAsia="Calibri"/>
                <w:color w:val="000000"/>
                <w:lang w:eastAsia="en-GB"/>
              </w:rPr>
              <w:t>Rodzaj wprowadzonej zmiany w odniesieniu do CID</w:t>
            </w:r>
          </w:p>
        </w:tc>
        <w:tc>
          <w:tcPr>
            <w:tcW w:w="3932" w:type="pct"/>
            <w:gridSpan w:val="2"/>
          </w:tcPr>
          <w:p w14:paraId="6D516A8D" w14:textId="77777777" w:rsidR="00D94758" w:rsidRPr="00E0193B" w:rsidRDefault="00D94758" w:rsidP="00D94758">
            <w:pPr>
              <w:autoSpaceDE w:val="0"/>
              <w:autoSpaceDN w:val="0"/>
              <w:adjustRightInd w:val="0"/>
              <w:spacing w:after="120" w:line="240" w:lineRule="auto"/>
              <w:jc w:val="left"/>
              <w:rPr>
                <w:rFonts w:eastAsia="Calibri"/>
                <w:color w:val="000000"/>
                <w:lang w:eastAsia="en-GB"/>
              </w:rPr>
            </w:pPr>
            <w:r w:rsidRPr="00E0193B">
              <w:rPr>
                <w:rFonts w:eastAsia="Calibri"/>
                <w:color w:val="000000"/>
                <w:lang w:eastAsia="en-GB"/>
              </w:rPr>
              <w:t xml:space="preserve">Zwiększenie budżetu inwestycji o 140 mln euro do 240 mln euro w części dotyczącej poprawy efektywności energetycznej w budynkach wielorodzinnych </w:t>
            </w:r>
          </w:p>
          <w:p w14:paraId="67719B68" w14:textId="77777777" w:rsidR="00D94758" w:rsidRPr="00E0193B" w:rsidRDefault="00D94758" w:rsidP="00D94758">
            <w:pPr>
              <w:autoSpaceDE w:val="0"/>
              <w:autoSpaceDN w:val="0"/>
              <w:adjustRightInd w:val="0"/>
              <w:spacing w:after="120" w:line="240" w:lineRule="auto"/>
              <w:jc w:val="left"/>
              <w:rPr>
                <w:rFonts w:eastAsia="Calibri"/>
                <w:color w:val="000000"/>
                <w:lang w:eastAsia="en-GB"/>
              </w:rPr>
            </w:pPr>
          </w:p>
        </w:tc>
      </w:tr>
      <w:tr w:rsidR="00D94758" w:rsidRPr="00E0193B" w14:paraId="63C19147" w14:textId="77777777" w:rsidTr="008C1B0D">
        <w:tc>
          <w:tcPr>
            <w:tcW w:w="1068" w:type="pct"/>
            <w:shd w:val="clear" w:color="auto" w:fill="FFFFFF"/>
          </w:tcPr>
          <w:p w14:paraId="6B9A1427" w14:textId="77777777" w:rsidR="00D94758" w:rsidRPr="00E0193B" w:rsidRDefault="00D94758" w:rsidP="00D94758">
            <w:pPr>
              <w:autoSpaceDE w:val="0"/>
              <w:autoSpaceDN w:val="0"/>
              <w:adjustRightInd w:val="0"/>
              <w:spacing w:after="120" w:line="240" w:lineRule="auto"/>
              <w:jc w:val="left"/>
              <w:rPr>
                <w:rFonts w:eastAsia="Calibri"/>
                <w:color w:val="000000"/>
                <w:lang w:val="en-GB" w:eastAsia="en-GB"/>
              </w:rPr>
            </w:pPr>
            <w:r w:rsidRPr="00E0193B">
              <w:rPr>
                <w:rFonts w:eastAsia="Calibri"/>
                <w:color w:val="000000"/>
                <w:lang w:val="en-GB" w:eastAsia="en-GB"/>
              </w:rPr>
              <w:t>Podstawa prawna zmiany</w:t>
            </w:r>
          </w:p>
        </w:tc>
        <w:tc>
          <w:tcPr>
            <w:tcW w:w="3932" w:type="pct"/>
            <w:gridSpan w:val="2"/>
            <w:shd w:val="clear" w:color="auto" w:fill="FFFFFF"/>
          </w:tcPr>
          <w:p w14:paraId="11040F09" w14:textId="77777777" w:rsidR="00D94758" w:rsidRPr="00E0193B" w:rsidRDefault="00D94758" w:rsidP="00D94758">
            <w:pPr>
              <w:spacing w:after="120" w:line="240" w:lineRule="auto"/>
            </w:pPr>
            <w:r w:rsidRPr="00E0193B">
              <w:t>art. 21 rozporządzenia Parlamentu Europejskiego i Rady (UE) 2021/241 z dnia 12 lutego 2021 r. ustanawiające Instrument na rzecz Odbudowy i Zwiększania Odporności</w:t>
            </w:r>
            <w:r w:rsidRPr="00E0193B" w:rsidDel="00B7189E">
              <w:t xml:space="preserve"> </w:t>
            </w:r>
          </w:p>
        </w:tc>
      </w:tr>
      <w:tr w:rsidR="00D94758" w:rsidRPr="00E0193B" w14:paraId="3A184EFA" w14:textId="77777777" w:rsidTr="008C1B0D">
        <w:tc>
          <w:tcPr>
            <w:tcW w:w="1068" w:type="pct"/>
            <w:shd w:val="clear" w:color="auto" w:fill="D9D9D9"/>
          </w:tcPr>
          <w:p w14:paraId="13EF35CD" w14:textId="77777777" w:rsidR="00D94758" w:rsidRPr="00E0193B" w:rsidRDefault="00D94758" w:rsidP="00D94758">
            <w:pPr>
              <w:spacing w:after="120" w:line="240" w:lineRule="auto"/>
              <w:rPr>
                <w:highlight w:val="lightGray"/>
              </w:rPr>
            </w:pPr>
            <w:r w:rsidRPr="00E0193B">
              <w:rPr>
                <w:highlight w:val="lightGray"/>
              </w:rPr>
              <w:t>Modyfikowany element</w:t>
            </w:r>
          </w:p>
        </w:tc>
        <w:tc>
          <w:tcPr>
            <w:tcW w:w="1912" w:type="pct"/>
            <w:shd w:val="clear" w:color="auto" w:fill="D9D9D9"/>
          </w:tcPr>
          <w:p w14:paraId="5AEFA741" w14:textId="77777777" w:rsidR="00D94758" w:rsidRPr="00E0193B" w:rsidRDefault="00D94758" w:rsidP="00D94758">
            <w:pPr>
              <w:spacing w:after="120" w:line="240" w:lineRule="auto"/>
              <w:jc w:val="center"/>
              <w:rPr>
                <w:highlight w:val="lightGray"/>
              </w:rPr>
            </w:pPr>
            <w:r w:rsidRPr="00E0193B">
              <w:rPr>
                <w:highlight w:val="lightGray"/>
              </w:rPr>
              <w:t>Wersja aktualna</w:t>
            </w:r>
          </w:p>
        </w:tc>
        <w:tc>
          <w:tcPr>
            <w:tcW w:w="2020" w:type="pct"/>
            <w:shd w:val="clear" w:color="auto" w:fill="D9D9D9"/>
          </w:tcPr>
          <w:p w14:paraId="36F041C7" w14:textId="77777777" w:rsidR="00D94758" w:rsidRPr="00E0193B" w:rsidRDefault="00D94758" w:rsidP="00D94758">
            <w:pPr>
              <w:spacing w:after="120" w:line="240" w:lineRule="auto"/>
              <w:jc w:val="center"/>
              <w:rPr>
                <w:highlight w:val="lightGray"/>
              </w:rPr>
            </w:pPr>
            <w:r w:rsidRPr="00E0193B">
              <w:rPr>
                <w:highlight w:val="lightGray"/>
              </w:rPr>
              <w:t>Wersja zmieniona</w:t>
            </w:r>
          </w:p>
        </w:tc>
      </w:tr>
      <w:tr w:rsidR="00D94758" w:rsidRPr="00E0193B" w14:paraId="6BF87071" w14:textId="77777777" w:rsidTr="008C1B0D">
        <w:tc>
          <w:tcPr>
            <w:tcW w:w="1068" w:type="pct"/>
            <w:vMerge w:val="restart"/>
            <w:shd w:val="clear" w:color="auto" w:fill="auto"/>
          </w:tcPr>
          <w:p w14:paraId="519AA4EF" w14:textId="77777777" w:rsidR="00D94758" w:rsidRPr="00E0193B" w:rsidRDefault="00D94758" w:rsidP="00D94758">
            <w:pPr>
              <w:spacing w:after="120" w:line="240" w:lineRule="auto"/>
              <w:rPr>
                <w:highlight w:val="lightGray"/>
              </w:rPr>
            </w:pPr>
            <w:r w:rsidRPr="00E0193B">
              <w:t>Opis kamienia milowego lub wskaźnika</w:t>
            </w:r>
          </w:p>
        </w:tc>
        <w:tc>
          <w:tcPr>
            <w:tcW w:w="1912" w:type="pct"/>
            <w:shd w:val="clear" w:color="auto" w:fill="auto"/>
          </w:tcPr>
          <w:p w14:paraId="34B6560B" w14:textId="77777777" w:rsidR="00D94758" w:rsidRPr="00E0193B" w:rsidRDefault="00D94758" w:rsidP="00D94758">
            <w:pPr>
              <w:autoSpaceDE w:val="0"/>
              <w:autoSpaceDN w:val="0"/>
              <w:adjustRightInd w:val="0"/>
              <w:spacing w:after="0" w:line="240" w:lineRule="auto"/>
              <w:jc w:val="left"/>
              <w:rPr>
                <w:rFonts w:eastAsia="Calibri"/>
                <w:color w:val="000000"/>
                <w:lang w:eastAsia="en-GB"/>
              </w:rPr>
            </w:pPr>
            <w:r w:rsidRPr="00E0193B">
              <w:rPr>
                <w:rFonts w:eastAsia="Calibri"/>
                <w:color w:val="000000"/>
                <w:lang w:eastAsia="en-GB"/>
              </w:rPr>
              <w:t xml:space="preserve">B11G </w:t>
            </w:r>
          </w:p>
          <w:p w14:paraId="520FA914" w14:textId="77777777" w:rsidR="00D94758" w:rsidRPr="00E0193B" w:rsidRDefault="00D94758" w:rsidP="00D94758">
            <w:pPr>
              <w:autoSpaceDE w:val="0"/>
              <w:autoSpaceDN w:val="0"/>
              <w:adjustRightInd w:val="0"/>
              <w:spacing w:after="0" w:line="240" w:lineRule="auto"/>
              <w:jc w:val="left"/>
              <w:rPr>
                <w:rFonts w:eastAsia="Calibri"/>
                <w:color w:val="000000"/>
                <w:lang w:eastAsia="en-GB"/>
              </w:rPr>
            </w:pPr>
            <w:r w:rsidRPr="00E0193B">
              <w:rPr>
                <w:rFonts w:eastAsia="Calibri"/>
                <w:color w:val="000000"/>
                <w:lang w:eastAsia="en-GB"/>
              </w:rPr>
              <w:t>T2 – Termomodernizacja i instalacja odnawialnych źródeł energii w budynkach mieszkalnych (budynki jedno- i wielorodzinne)</w:t>
            </w:r>
          </w:p>
          <w:p w14:paraId="3DD6503D" w14:textId="77777777" w:rsidR="00D94758" w:rsidRPr="00E0193B" w:rsidRDefault="00D94758" w:rsidP="00D94758">
            <w:pPr>
              <w:autoSpaceDE w:val="0"/>
              <w:autoSpaceDN w:val="0"/>
              <w:adjustRightInd w:val="0"/>
              <w:spacing w:after="0" w:line="240" w:lineRule="auto"/>
              <w:jc w:val="left"/>
              <w:rPr>
                <w:rFonts w:eastAsia="Calibri"/>
                <w:color w:val="000000"/>
                <w:lang w:eastAsia="en-GB"/>
              </w:rPr>
            </w:pPr>
            <w:r w:rsidRPr="00E0193B">
              <w:rPr>
                <w:rFonts w:eastAsia="Calibri"/>
                <w:color w:val="000000"/>
                <w:lang w:eastAsia="en-GB"/>
              </w:rPr>
              <w:t>Cel: 494 590</w:t>
            </w:r>
          </w:p>
          <w:p w14:paraId="61D1042F" w14:textId="77777777" w:rsidR="00D94758" w:rsidRPr="00E0193B" w:rsidRDefault="00D94758" w:rsidP="00D94758">
            <w:pPr>
              <w:autoSpaceDE w:val="0"/>
              <w:autoSpaceDN w:val="0"/>
              <w:adjustRightInd w:val="0"/>
              <w:spacing w:after="0" w:line="240" w:lineRule="auto"/>
              <w:jc w:val="left"/>
              <w:rPr>
                <w:rFonts w:eastAsia="Calibri"/>
                <w:noProof/>
                <w:color w:val="000000"/>
                <w:lang w:eastAsia="en-GB"/>
              </w:rPr>
            </w:pPr>
          </w:p>
          <w:p w14:paraId="2A9A589D" w14:textId="77777777" w:rsidR="00D94758" w:rsidRPr="00E0193B" w:rsidRDefault="00D94758" w:rsidP="00D94758">
            <w:pPr>
              <w:autoSpaceDE w:val="0"/>
              <w:autoSpaceDN w:val="0"/>
              <w:adjustRightInd w:val="0"/>
              <w:spacing w:after="0" w:line="240" w:lineRule="auto"/>
              <w:jc w:val="left"/>
              <w:rPr>
                <w:rFonts w:eastAsia="Calibri"/>
                <w:i/>
                <w:iCs/>
                <w:color w:val="000000"/>
                <w:lang w:eastAsia="en-GB"/>
              </w:rPr>
            </w:pPr>
            <w:r w:rsidRPr="00E0193B">
              <w:rPr>
                <w:rFonts w:eastAsia="Calibri"/>
                <w:i/>
                <w:iCs/>
                <w:noProof/>
                <w:color w:val="000000"/>
                <w:lang w:eastAsia="en-GB"/>
              </w:rPr>
              <w:t>(w tym 115 590 mieszkań w budynkach wielorodzinnych)</w:t>
            </w:r>
          </w:p>
        </w:tc>
        <w:tc>
          <w:tcPr>
            <w:tcW w:w="2020" w:type="pct"/>
            <w:shd w:val="clear" w:color="auto" w:fill="auto"/>
          </w:tcPr>
          <w:p w14:paraId="7E465B32" w14:textId="77777777" w:rsidR="00D94758" w:rsidRPr="00E0193B" w:rsidRDefault="00D94758" w:rsidP="00D94758">
            <w:pPr>
              <w:autoSpaceDE w:val="0"/>
              <w:autoSpaceDN w:val="0"/>
              <w:adjustRightInd w:val="0"/>
              <w:spacing w:after="0" w:line="240" w:lineRule="auto"/>
              <w:jc w:val="left"/>
              <w:rPr>
                <w:rFonts w:eastAsia="Calibri"/>
                <w:color w:val="000000"/>
                <w:lang w:eastAsia="en-GB"/>
              </w:rPr>
            </w:pPr>
            <w:r w:rsidRPr="00E0193B">
              <w:rPr>
                <w:rFonts w:eastAsia="Calibri"/>
                <w:color w:val="000000"/>
                <w:lang w:eastAsia="en-GB"/>
              </w:rPr>
              <w:t xml:space="preserve">B11G </w:t>
            </w:r>
          </w:p>
          <w:p w14:paraId="6C257709" w14:textId="77777777" w:rsidR="00D94758" w:rsidRPr="00E0193B" w:rsidRDefault="00D94758" w:rsidP="00D94758">
            <w:pPr>
              <w:autoSpaceDE w:val="0"/>
              <w:autoSpaceDN w:val="0"/>
              <w:adjustRightInd w:val="0"/>
              <w:spacing w:after="0" w:line="240" w:lineRule="auto"/>
              <w:jc w:val="left"/>
              <w:rPr>
                <w:rFonts w:eastAsia="Calibri"/>
                <w:color w:val="000000"/>
                <w:lang w:eastAsia="en-GB"/>
              </w:rPr>
            </w:pPr>
            <w:r w:rsidRPr="00E0193B">
              <w:rPr>
                <w:rFonts w:eastAsia="Calibri"/>
                <w:color w:val="000000"/>
                <w:lang w:eastAsia="en-GB"/>
              </w:rPr>
              <w:t>T2 – Termomodernizacja i instalacja odnawialnych źródeł energii w budynkach mieszkalnych (budynki jedno- i wielorodzinne)</w:t>
            </w:r>
          </w:p>
          <w:p w14:paraId="7454876E" w14:textId="00FBA2B7" w:rsidR="00D94758" w:rsidRPr="00944D67" w:rsidRDefault="00D94758" w:rsidP="00D94758">
            <w:pPr>
              <w:autoSpaceDE w:val="0"/>
              <w:autoSpaceDN w:val="0"/>
              <w:adjustRightInd w:val="0"/>
              <w:spacing w:after="0" w:line="240" w:lineRule="auto"/>
              <w:jc w:val="left"/>
              <w:rPr>
                <w:rFonts w:eastAsia="Calibri"/>
                <w:color w:val="000000" w:themeColor="text1"/>
                <w:lang w:eastAsia="en-GB"/>
              </w:rPr>
            </w:pPr>
            <w:r w:rsidRPr="00E0193B">
              <w:rPr>
                <w:rFonts w:eastAsia="Calibri"/>
                <w:lang w:eastAsia="en-GB"/>
              </w:rPr>
              <w:t>Cel</w:t>
            </w:r>
            <w:r w:rsidRPr="00944D67">
              <w:rPr>
                <w:rFonts w:eastAsia="Calibri"/>
                <w:color w:val="000000" w:themeColor="text1"/>
                <w:lang w:eastAsia="en-GB"/>
              </w:rPr>
              <w:t>: 1</w:t>
            </w:r>
            <w:r w:rsidR="0084358D" w:rsidRPr="00944D67">
              <w:rPr>
                <w:rFonts w:eastAsia="Calibri"/>
                <w:color w:val="000000" w:themeColor="text1"/>
                <w:lang w:eastAsia="en-GB"/>
              </w:rPr>
              <w:t> </w:t>
            </w:r>
            <w:r w:rsidRPr="00944D67">
              <w:rPr>
                <w:rFonts w:eastAsia="Calibri"/>
                <w:color w:val="000000" w:themeColor="text1"/>
                <w:lang w:eastAsia="en-GB"/>
              </w:rPr>
              <w:t>2</w:t>
            </w:r>
            <w:r w:rsidR="0084358D" w:rsidRPr="00944D67">
              <w:rPr>
                <w:rFonts w:eastAsia="Calibri"/>
                <w:color w:val="000000" w:themeColor="text1"/>
                <w:lang w:eastAsia="en-GB"/>
              </w:rPr>
              <w:t>05 084</w:t>
            </w:r>
          </w:p>
          <w:p w14:paraId="69DC8E34" w14:textId="77777777" w:rsidR="00D94758" w:rsidRPr="00944D67" w:rsidRDefault="00D94758" w:rsidP="00D94758">
            <w:pPr>
              <w:autoSpaceDE w:val="0"/>
              <w:autoSpaceDN w:val="0"/>
              <w:adjustRightInd w:val="0"/>
              <w:spacing w:after="0" w:line="240" w:lineRule="auto"/>
              <w:jc w:val="left"/>
              <w:rPr>
                <w:rFonts w:eastAsia="Calibri"/>
                <w:noProof/>
                <w:color w:val="000000" w:themeColor="text1"/>
                <w:lang w:eastAsia="en-GB"/>
              </w:rPr>
            </w:pPr>
          </w:p>
          <w:p w14:paraId="4D485BD9" w14:textId="4959FE41" w:rsidR="00D94758" w:rsidRPr="00E0193B" w:rsidRDefault="00D94758" w:rsidP="00D94758">
            <w:pPr>
              <w:autoSpaceDE w:val="0"/>
              <w:autoSpaceDN w:val="0"/>
              <w:adjustRightInd w:val="0"/>
              <w:spacing w:after="0" w:line="240" w:lineRule="auto"/>
              <w:jc w:val="left"/>
              <w:rPr>
                <w:rFonts w:eastAsia="Calibri"/>
                <w:i/>
                <w:iCs/>
                <w:color w:val="000000"/>
                <w:lang w:eastAsia="en-GB"/>
              </w:rPr>
            </w:pPr>
            <w:r w:rsidRPr="00944D67">
              <w:rPr>
                <w:rFonts w:eastAsia="Calibri"/>
                <w:i/>
                <w:iCs/>
                <w:noProof/>
                <w:color w:val="000000" w:themeColor="text1"/>
                <w:lang w:eastAsia="en-GB"/>
              </w:rPr>
              <w:t>(w tym 8</w:t>
            </w:r>
            <w:r w:rsidR="0084358D" w:rsidRPr="00944D67">
              <w:rPr>
                <w:rFonts w:eastAsia="Calibri"/>
                <w:i/>
                <w:iCs/>
                <w:noProof/>
                <w:color w:val="000000" w:themeColor="text1"/>
                <w:lang w:eastAsia="en-GB"/>
              </w:rPr>
              <w:t>26 084</w:t>
            </w:r>
            <w:r w:rsidRPr="00944D67">
              <w:rPr>
                <w:rFonts w:eastAsia="Calibri"/>
                <w:i/>
                <w:iCs/>
                <w:noProof/>
                <w:color w:val="000000" w:themeColor="text1"/>
                <w:lang w:eastAsia="en-GB"/>
              </w:rPr>
              <w:t xml:space="preserve"> </w:t>
            </w:r>
            <w:r w:rsidRPr="00E0193B">
              <w:rPr>
                <w:rFonts w:eastAsia="Calibri"/>
                <w:i/>
                <w:iCs/>
                <w:noProof/>
                <w:lang w:eastAsia="en-GB"/>
              </w:rPr>
              <w:t>mieszkań w budynkach wielorodzinnych)</w:t>
            </w:r>
          </w:p>
        </w:tc>
      </w:tr>
      <w:tr w:rsidR="00D94758" w:rsidRPr="00935797" w14:paraId="0137FA36" w14:textId="77777777" w:rsidTr="008C1B0D">
        <w:tc>
          <w:tcPr>
            <w:tcW w:w="1068" w:type="pct"/>
            <w:vMerge/>
            <w:shd w:val="clear" w:color="auto" w:fill="auto"/>
          </w:tcPr>
          <w:p w14:paraId="34FE8C5F" w14:textId="77777777" w:rsidR="00D94758" w:rsidRPr="00E0193B" w:rsidRDefault="00D94758" w:rsidP="00D94758">
            <w:pPr>
              <w:spacing w:after="120" w:line="240" w:lineRule="auto"/>
            </w:pPr>
          </w:p>
        </w:tc>
        <w:tc>
          <w:tcPr>
            <w:tcW w:w="1912" w:type="pct"/>
          </w:tcPr>
          <w:p w14:paraId="245BF2F4" w14:textId="77777777" w:rsidR="00D94758" w:rsidRPr="00E0193B" w:rsidRDefault="00D94758" w:rsidP="00D94758">
            <w:pPr>
              <w:autoSpaceDE w:val="0"/>
              <w:autoSpaceDN w:val="0"/>
              <w:adjustRightInd w:val="0"/>
              <w:spacing w:after="0" w:line="240" w:lineRule="auto"/>
              <w:jc w:val="left"/>
              <w:rPr>
                <w:rFonts w:eastAsia="Calibri"/>
                <w:color w:val="000000"/>
                <w:lang w:val="en-GB" w:eastAsia="en-GB"/>
              </w:rPr>
            </w:pPr>
            <w:r w:rsidRPr="00E0193B">
              <w:rPr>
                <w:rFonts w:eastAsia="Calibri"/>
                <w:color w:val="000000"/>
                <w:lang w:val="en-GB" w:eastAsia="en-GB"/>
              </w:rPr>
              <w:t xml:space="preserve">B11G </w:t>
            </w:r>
          </w:p>
          <w:p w14:paraId="76843754" w14:textId="77777777" w:rsidR="00D94758" w:rsidRPr="00E0193B" w:rsidRDefault="00D94758" w:rsidP="00D94758">
            <w:pPr>
              <w:autoSpaceDE w:val="0"/>
              <w:autoSpaceDN w:val="0"/>
              <w:adjustRightInd w:val="0"/>
              <w:spacing w:after="0" w:line="240" w:lineRule="auto"/>
              <w:jc w:val="left"/>
              <w:rPr>
                <w:rFonts w:eastAsia="Calibri"/>
                <w:color w:val="000000"/>
                <w:lang w:val="en-GB" w:eastAsia="en-GB"/>
              </w:rPr>
            </w:pPr>
            <w:r w:rsidRPr="00E0193B">
              <w:rPr>
                <w:rFonts w:eastAsia="Calibri"/>
                <w:color w:val="000000"/>
                <w:lang w:val="en-GB" w:eastAsia="en-GB"/>
              </w:rPr>
              <w:t xml:space="preserve">T2 - Thermo-modernisation and installation of renewable energy sources in residential buildings (single and multi-family buildings) </w:t>
            </w:r>
          </w:p>
          <w:p w14:paraId="494B96AA" w14:textId="77777777" w:rsidR="00D94758" w:rsidRPr="00E0193B" w:rsidRDefault="00D94758" w:rsidP="00D94758">
            <w:pPr>
              <w:spacing w:after="120" w:line="240" w:lineRule="auto"/>
              <w:jc w:val="left"/>
              <w:rPr>
                <w:lang w:val="en-AU"/>
              </w:rPr>
            </w:pPr>
            <w:r w:rsidRPr="00E0193B">
              <w:rPr>
                <w:lang w:val="en-GB"/>
              </w:rPr>
              <w:t xml:space="preserve">Goal: </w:t>
            </w:r>
            <w:r w:rsidRPr="00E0193B">
              <w:rPr>
                <w:lang w:val="en-AU"/>
              </w:rPr>
              <w:t xml:space="preserve">494 590 </w:t>
            </w:r>
          </w:p>
          <w:p w14:paraId="73DFC90D" w14:textId="77777777" w:rsidR="00D94758" w:rsidRPr="00E0193B" w:rsidRDefault="00D94758" w:rsidP="00D94758">
            <w:pPr>
              <w:spacing w:after="120" w:line="240" w:lineRule="auto"/>
              <w:jc w:val="left"/>
              <w:rPr>
                <w:i/>
                <w:iCs/>
                <w:lang w:val="en-GB"/>
              </w:rPr>
            </w:pPr>
            <w:r w:rsidRPr="00E0193B">
              <w:rPr>
                <w:i/>
                <w:iCs/>
                <w:lang w:val="en-AU"/>
              </w:rPr>
              <w:lastRenderedPageBreak/>
              <w:t xml:space="preserve">(including </w:t>
            </w:r>
            <w:r w:rsidRPr="00E0193B">
              <w:rPr>
                <w:i/>
                <w:iCs/>
                <w:noProof/>
                <w:color w:val="000000"/>
                <w:lang w:val="en-AU"/>
              </w:rPr>
              <w:t xml:space="preserve">115 590 </w:t>
            </w:r>
            <w:r w:rsidRPr="00E0193B">
              <w:rPr>
                <w:i/>
                <w:iCs/>
                <w:noProof/>
                <w:color w:val="000000"/>
                <w:lang w:val="en-GB"/>
              </w:rPr>
              <w:t>dwelling in multifamily buildings)</w:t>
            </w:r>
          </w:p>
        </w:tc>
        <w:tc>
          <w:tcPr>
            <w:tcW w:w="2020" w:type="pct"/>
          </w:tcPr>
          <w:p w14:paraId="6B30FAFF" w14:textId="77777777" w:rsidR="00D94758" w:rsidRPr="00E0193B" w:rsidRDefault="00D94758" w:rsidP="00D94758">
            <w:pPr>
              <w:autoSpaceDE w:val="0"/>
              <w:autoSpaceDN w:val="0"/>
              <w:adjustRightInd w:val="0"/>
              <w:spacing w:after="0" w:line="240" w:lineRule="auto"/>
              <w:jc w:val="left"/>
              <w:rPr>
                <w:rFonts w:eastAsia="Calibri"/>
                <w:color w:val="000000"/>
                <w:lang w:val="en-GB" w:eastAsia="en-GB"/>
              </w:rPr>
            </w:pPr>
            <w:r w:rsidRPr="00E0193B">
              <w:rPr>
                <w:rFonts w:eastAsia="Calibri"/>
                <w:color w:val="000000"/>
                <w:lang w:val="en-GB" w:eastAsia="en-GB"/>
              </w:rPr>
              <w:lastRenderedPageBreak/>
              <w:t>B11G</w:t>
            </w:r>
          </w:p>
          <w:p w14:paraId="5119EB77" w14:textId="77777777" w:rsidR="00D94758" w:rsidRPr="00E0193B" w:rsidRDefault="00D94758" w:rsidP="00D94758">
            <w:pPr>
              <w:autoSpaceDE w:val="0"/>
              <w:autoSpaceDN w:val="0"/>
              <w:adjustRightInd w:val="0"/>
              <w:spacing w:after="0" w:line="240" w:lineRule="auto"/>
              <w:jc w:val="left"/>
              <w:rPr>
                <w:rFonts w:eastAsia="Calibri"/>
                <w:color w:val="000000"/>
                <w:lang w:val="en-GB" w:eastAsia="en-GB"/>
              </w:rPr>
            </w:pPr>
            <w:r w:rsidRPr="00E0193B">
              <w:rPr>
                <w:rFonts w:eastAsia="Calibri"/>
                <w:color w:val="000000"/>
                <w:lang w:val="en-GB" w:eastAsia="en-GB"/>
              </w:rPr>
              <w:t xml:space="preserve">T2 - Thermo-modernisation and installation of renewable energy sources in residential buildings (single and multi-family buildings) </w:t>
            </w:r>
          </w:p>
          <w:p w14:paraId="6A6B248C" w14:textId="64AB6168" w:rsidR="00D94758" w:rsidRPr="00944D67" w:rsidRDefault="00D94758" w:rsidP="00D94758">
            <w:pPr>
              <w:spacing w:after="120" w:line="240" w:lineRule="auto"/>
              <w:rPr>
                <w:color w:val="000000" w:themeColor="text1"/>
                <w:lang w:val="en-AU"/>
              </w:rPr>
            </w:pPr>
            <w:r w:rsidRPr="00E0193B">
              <w:rPr>
                <w:lang w:val="en-GB"/>
              </w:rPr>
              <w:t>Goal</w:t>
            </w:r>
            <w:r w:rsidRPr="00944D67">
              <w:rPr>
                <w:color w:val="000000" w:themeColor="text1"/>
                <w:lang w:val="en-GB"/>
              </w:rPr>
              <w:t xml:space="preserve">: </w:t>
            </w:r>
            <w:r w:rsidRPr="00944D67">
              <w:rPr>
                <w:color w:val="000000" w:themeColor="text1"/>
                <w:lang w:val="en-AU"/>
              </w:rPr>
              <w:t>1</w:t>
            </w:r>
            <w:r w:rsidR="0084358D" w:rsidRPr="00944D67">
              <w:rPr>
                <w:color w:val="000000" w:themeColor="text1"/>
                <w:lang w:val="en-AU"/>
              </w:rPr>
              <w:t> </w:t>
            </w:r>
            <w:r w:rsidRPr="00944D67">
              <w:rPr>
                <w:color w:val="000000" w:themeColor="text1"/>
                <w:lang w:val="en-AU"/>
              </w:rPr>
              <w:t>2</w:t>
            </w:r>
            <w:r w:rsidR="0084358D" w:rsidRPr="00944D67">
              <w:rPr>
                <w:color w:val="000000" w:themeColor="text1"/>
                <w:lang w:val="en-AU"/>
              </w:rPr>
              <w:t>05 084</w:t>
            </w:r>
          </w:p>
          <w:p w14:paraId="2B65F36A" w14:textId="3CEEF0DC" w:rsidR="00D94758" w:rsidRPr="00E0193B" w:rsidRDefault="00D94758" w:rsidP="00D94758">
            <w:pPr>
              <w:spacing w:after="120" w:line="240" w:lineRule="auto"/>
              <w:rPr>
                <w:i/>
                <w:iCs/>
                <w:lang w:val="en-GB"/>
              </w:rPr>
            </w:pPr>
            <w:r w:rsidRPr="00944D67">
              <w:rPr>
                <w:i/>
                <w:iCs/>
                <w:color w:val="000000" w:themeColor="text1"/>
                <w:lang w:val="en-AU"/>
              </w:rPr>
              <w:lastRenderedPageBreak/>
              <w:t xml:space="preserve">(including </w:t>
            </w:r>
            <w:r w:rsidRPr="00944D67">
              <w:rPr>
                <w:i/>
                <w:iCs/>
                <w:noProof/>
                <w:color w:val="000000" w:themeColor="text1"/>
                <w:lang w:val="en-GB"/>
              </w:rPr>
              <w:t>8</w:t>
            </w:r>
            <w:r w:rsidR="0084358D" w:rsidRPr="00944D67">
              <w:rPr>
                <w:i/>
                <w:iCs/>
                <w:noProof/>
                <w:color w:val="000000" w:themeColor="text1"/>
                <w:lang w:val="en-GB"/>
              </w:rPr>
              <w:t>26 084</w:t>
            </w:r>
            <w:r w:rsidRPr="00944D67">
              <w:rPr>
                <w:i/>
                <w:iCs/>
                <w:noProof/>
                <w:color w:val="000000" w:themeColor="text1"/>
                <w:lang w:val="en-GB"/>
              </w:rPr>
              <w:t xml:space="preserve"> dwelling in multifamily buildings)</w:t>
            </w:r>
          </w:p>
        </w:tc>
      </w:tr>
      <w:tr w:rsidR="00D94758" w:rsidRPr="00E0193B" w14:paraId="79F6C4AD" w14:textId="77777777" w:rsidTr="008C1B0D">
        <w:tc>
          <w:tcPr>
            <w:tcW w:w="1068" w:type="pct"/>
          </w:tcPr>
          <w:p w14:paraId="5B868EC8" w14:textId="77777777" w:rsidR="00D94758" w:rsidRPr="00E0193B" w:rsidRDefault="00D94758" w:rsidP="00D94758">
            <w:pPr>
              <w:spacing w:after="120" w:line="240" w:lineRule="auto"/>
            </w:pPr>
            <w:r w:rsidRPr="00E0193B">
              <w:lastRenderedPageBreak/>
              <w:t>Uzasadnienie</w:t>
            </w:r>
          </w:p>
        </w:tc>
        <w:tc>
          <w:tcPr>
            <w:tcW w:w="3932" w:type="pct"/>
            <w:gridSpan w:val="2"/>
          </w:tcPr>
          <w:p w14:paraId="54206C18" w14:textId="65E673B2" w:rsidR="00D94758" w:rsidRPr="00A501D9" w:rsidRDefault="00D94758" w:rsidP="00D94758">
            <w:pPr>
              <w:spacing w:after="120" w:line="240" w:lineRule="auto"/>
            </w:pPr>
            <w:r w:rsidRPr="00A501D9">
              <w:t xml:space="preserve">Na realizację inwestycji B.1.1.2. Wymiana źródeł ciepła i poprawa efektywności energetycznej budynków mieszkalnych (realizowana wspólnie przez Ministerstwo Klimatu i Środowiska oraz Ministerstwo Rozwoju i Technologii) przeznaczono kwotę 3 200 286 450 euro, z czego 3 100 308 741 euro przeznaczone jest na realizację koordynowanego przez MKiŚ programu „Czyste Powietrze”, zaś kwota 99 977 709  mln euro przeznaczona jest na realizację koordynowanego przez Ministerstwo Rozwoju i Technologii programu TERMO, w ramach którego wspierane są inwestycje termomodernizacyjne, remontowe, OZE w budynkach wielorodzinnych. Najczęstszym beneficjentem programu TERMO są wspólnoty mieszkaniowe i spółdzielnie mieszkaniowe. </w:t>
            </w:r>
          </w:p>
          <w:p w14:paraId="7ADFA710" w14:textId="77777777" w:rsidR="00D94758" w:rsidRPr="00A501D9" w:rsidRDefault="00D94758" w:rsidP="00D94758">
            <w:pPr>
              <w:spacing w:after="120" w:line="240" w:lineRule="auto"/>
            </w:pPr>
            <w:r w:rsidRPr="00A501D9">
              <w:t>W związku z obserwowanym rozwojem popytu na poszczególne instrumenty wsparcia proponowane jest zwiększenie wysokości wsparcia w części dotyczącej poprawy efektywności energetycznej w budynkach wielorodzinnych.</w:t>
            </w:r>
          </w:p>
          <w:p w14:paraId="0AD94E33" w14:textId="5AC563F9" w:rsidR="0084358D" w:rsidRPr="00A501D9" w:rsidRDefault="0084358D" w:rsidP="0084358D">
            <w:pPr>
              <w:spacing w:after="120" w:line="240" w:lineRule="auto"/>
            </w:pPr>
            <w:r w:rsidRPr="00A501D9">
              <w:t>Nabór wniosków finansowanych z KPO w ramach programu TERMO (inwestycja B.1.1.2</w:t>
            </w:r>
            <w:r w:rsidR="00EB660F" w:rsidRPr="00A501D9">
              <w:t xml:space="preserve">) </w:t>
            </w:r>
            <w:r w:rsidRPr="00A501D9">
              <w:t>ruszył 1 lutego 2023 r. Do dnia 31 marca 2024 r. w ramach programu:</w:t>
            </w:r>
          </w:p>
          <w:p w14:paraId="1DB4D704" w14:textId="749313EC" w:rsidR="0084358D" w:rsidRPr="00A501D9" w:rsidRDefault="0084358D" w:rsidP="000257A8">
            <w:pPr>
              <w:pStyle w:val="Akapitzlist"/>
              <w:numPr>
                <w:ilvl w:val="0"/>
                <w:numId w:val="46"/>
              </w:numPr>
              <w:spacing w:after="120" w:line="240" w:lineRule="auto"/>
            </w:pPr>
            <w:r w:rsidRPr="00A501D9">
              <w:t>Potencjalni beneficjenci złożyli 4 293 wnioski na kwotę wsparcia 354,3 mln zł.</w:t>
            </w:r>
            <w:r w:rsidR="00EB660F" w:rsidRPr="00A501D9">
              <w:t xml:space="preserve"> </w:t>
            </w:r>
            <w:r w:rsidRPr="00A501D9">
              <w:t>Liczba mieszkań w budynkach objętych wnioskami wyniosła 289 084.</w:t>
            </w:r>
          </w:p>
          <w:p w14:paraId="2C012DB7" w14:textId="641E9B6A" w:rsidR="0084358D" w:rsidRPr="00A501D9" w:rsidRDefault="0084358D" w:rsidP="00B64C03">
            <w:pPr>
              <w:pStyle w:val="Akapitzlist"/>
              <w:numPr>
                <w:ilvl w:val="0"/>
                <w:numId w:val="46"/>
              </w:numPr>
              <w:spacing w:after="120" w:line="240" w:lineRule="auto"/>
            </w:pPr>
            <w:r w:rsidRPr="00A501D9">
              <w:t>Przyznano beneficjentom 2 939 grantów na kwotę wsparcia 230,1 mln zł. Liczba</w:t>
            </w:r>
            <w:r w:rsidR="00EB660F" w:rsidRPr="00A501D9">
              <w:t xml:space="preserve"> </w:t>
            </w:r>
            <w:r w:rsidRPr="00A501D9">
              <w:t>mieszkań w budynkach objętych przyznaniami wyniosła 190 524.</w:t>
            </w:r>
          </w:p>
          <w:p w14:paraId="642871D6" w14:textId="4DD28276" w:rsidR="0084358D" w:rsidRPr="00A501D9" w:rsidRDefault="00EB660F" w:rsidP="00974644">
            <w:pPr>
              <w:pStyle w:val="Akapitzlist"/>
              <w:numPr>
                <w:ilvl w:val="0"/>
                <w:numId w:val="46"/>
              </w:numPr>
              <w:spacing w:after="120" w:line="240" w:lineRule="auto"/>
            </w:pPr>
            <w:r w:rsidRPr="00A501D9">
              <w:t>Wy</w:t>
            </w:r>
            <w:r w:rsidR="0084358D" w:rsidRPr="00A501D9">
              <w:t>płacono beneficjentom ze środków przedpłatowych Polskiego Fundusz</w:t>
            </w:r>
            <w:r w:rsidRPr="00A501D9">
              <w:t xml:space="preserve">u </w:t>
            </w:r>
            <w:r w:rsidR="0084358D" w:rsidRPr="00A501D9">
              <w:t>Rozwoju 723 granty na kwotę 37,1 mln zł. Liczba mieszkań w budynkach objętyc</w:t>
            </w:r>
            <w:r w:rsidRPr="00A501D9">
              <w:t xml:space="preserve">h </w:t>
            </w:r>
            <w:r w:rsidR="0084358D" w:rsidRPr="00A501D9">
              <w:t>dofinansowaniem wyniosła 47 401.</w:t>
            </w:r>
          </w:p>
          <w:p w14:paraId="372BA75A" w14:textId="6BD0FDF9" w:rsidR="0084358D" w:rsidRPr="00A501D9" w:rsidRDefault="0084358D" w:rsidP="0084358D">
            <w:pPr>
              <w:spacing w:after="120" w:line="240" w:lineRule="auto"/>
            </w:pPr>
            <w:r w:rsidRPr="00A501D9">
              <w:t>Najpopularniejszym rodzajem inwestycji (ok. 93,7% kwoty wsparcia wynikającego z</w:t>
            </w:r>
            <w:r w:rsidR="00EB660F" w:rsidRPr="00A501D9">
              <w:t xml:space="preserve">e </w:t>
            </w:r>
            <w:r w:rsidRPr="00A501D9">
              <w:t>złożonych wniosków) są inwestycje w instalacje odnawialnych źródeł energii (OZE</w:t>
            </w:r>
            <w:r w:rsidR="00EB660F" w:rsidRPr="00A501D9">
              <w:t xml:space="preserve">) </w:t>
            </w:r>
            <w:r w:rsidRPr="00A501D9">
              <w:t>produkujących energię na potrzeby budynków wielorodzinnych (głównie panele</w:t>
            </w:r>
            <w:r w:rsidR="00EB660F" w:rsidRPr="00A501D9">
              <w:t xml:space="preserve"> </w:t>
            </w:r>
            <w:r w:rsidRPr="00A501D9">
              <w:t>fotowoltaiczne, ale także pompy ciepła i kolektory słoneczne)</w:t>
            </w:r>
            <w:r w:rsidR="00EB660F" w:rsidRPr="00A501D9">
              <w:t>. Popularność oferowanego wsparcia została wzmocniona przepisami dotyczącymi prosumenta lokatorskiego, które zwiększyły atrakcyjność dla mieszkańców budynków wielorodzinnych inwestowania w instalacje OZE. Przepisy te były częścią reformy stanowiącej kamień milowy KPO.</w:t>
            </w:r>
          </w:p>
          <w:p w14:paraId="02F3DB77" w14:textId="16B742C2" w:rsidR="0084358D" w:rsidRPr="00A501D9" w:rsidRDefault="00EB660F" w:rsidP="0084358D">
            <w:pPr>
              <w:spacing w:after="120" w:line="240" w:lineRule="auto"/>
            </w:pPr>
            <w:r w:rsidRPr="00A501D9">
              <w:t>T</w:t>
            </w:r>
            <w:r w:rsidR="0084358D" w:rsidRPr="00A501D9">
              <w:t>empo napływu wniosków o wsparcie wskazuje, że w ciągu kilku miesięcy może wyczerpać</w:t>
            </w:r>
            <w:r w:rsidRPr="00A501D9">
              <w:t xml:space="preserve"> </w:t>
            </w:r>
            <w:r w:rsidR="0084358D" w:rsidRPr="00A501D9">
              <w:t>się przysługująca MRiT kwota z KPO na realizację programu TERMO. Przeciętnie</w:t>
            </w:r>
            <w:r w:rsidRPr="00A501D9">
              <w:t xml:space="preserve"> </w:t>
            </w:r>
            <w:r w:rsidR="0084358D" w:rsidRPr="00A501D9">
              <w:t>miesięcznie składane są wnioski na kwotę 25,3 mln zł (złożono wnioski na kwotę 354,3 mln</w:t>
            </w:r>
            <w:r w:rsidRPr="00A501D9">
              <w:t xml:space="preserve"> </w:t>
            </w:r>
            <w:r w:rsidR="0084358D" w:rsidRPr="00A501D9">
              <w:t>zł w ciągu 14 miesięcy). Przy przyjęciu kursu 1 euro = 4,4673 zł, w ramach programu można</w:t>
            </w:r>
            <w:r w:rsidRPr="00A501D9">
              <w:t xml:space="preserve"> </w:t>
            </w:r>
            <w:r w:rsidR="0084358D" w:rsidRPr="00A501D9">
              <w:t>jeszcze przyjąć wnioski na kwotę ok. 90 mln zł. Oznacza to, że wnioski o wsparcie będą</w:t>
            </w:r>
            <w:r w:rsidRPr="00A501D9">
              <w:t xml:space="preserve"> </w:t>
            </w:r>
            <w:r w:rsidR="0084358D" w:rsidRPr="00A501D9">
              <w:t>miały pokrycie w dostępnych na ich realizację środkach jeszcze tylko przez ok. 4 miesiące.</w:t>
            </w:r>
          </w:p>
          <w:p w14:paraId="773F7E2F" w14:textId="0C078D9C" w:rsidR="0084358D" w:rsidRPr="00A501D9" w:rsidRDefault="0084358D" w:rsidP="0084358D">
            <w:pPr>
              <w:spacing w:after="120" w:line="240" w:lineRule="auto"/>
            </w:pPr>
            <w:r w:rsidRPr="00A501D9">
              <w:t>Przy założeniu, że wnioski o wsparcie ze środków KPO w ramach programu TERMO będą</w:t>
            </w:r>
            <w:r w:rsidR="00EB660F" w:rsidRPr="00A501D9">
              <w:t xml:space="preserve"> </w:t>
            </w:r>
            <w:r w:rsidRPr="00A501D9">
              <w:t>napływać w aktualnym tempie (25,3 mln zł miesięcznie), do połowy 2026 r. mogą zostać</w:t>
            </w:r>
            <w:r w:rsidR="00EB660F" w:rsidRPr="00A501D9">
              <w:t xml:space="preserve"> </w:t>
            </w:r>
            <w:r w:rsidRPr="00A501D9">
              <w:t>złożone wnioski na kwotę 718 mln zł. Biorąc pod uwagę, że w ramach aktualnego limitu</w:t>
            </w:r>
            <w:r w:rsidR="00EB660F" w:rsidRPr="00A501D9">
              <w:t xml:space="preserve"> </w:t>
            </w:r>
            <w:r w:rsidRPr="00A501D9">
              <w:t>dostępna jest jeszcze kwota ok. 90 mln zł, dla zaspokojenia potencjalnego popytu na środki</w:t>
            </w:r>
            <w:r w:rsidR="00EB660F" w:rsidRPr="00A501D9">
              <w:t xml:space="preserve"> </w:t>
            </w:r>
            <w:r w:rsidRPr="00A501D9">
              <w:t>brakuje kwoty 602 mln zł, czyli ok. 140 mln euro, biorąc pod uwagę kurs NBP z dnia 29</w:t>
            </w:r>
            <w:r w:rsidR="00EB660F" w:rsidRPr="00A501D9">
              <w:t xml:space="preserve"> </w:t>
            </w:r>
            <w:r w:rsidRPr="00A501D9">
              <w:t>marca 2024 r. (1 euro = 4,30 zł) lub 134,8 mln euro biorąc pod uwagę kurs 1 euro = 4,4673</w:t>
            </w:r>
            <w:r w:rsidR="00EB660F" w:rsidRPr="00A501D9">
              <w:t xml:space="preserve"> </w:t>
            </w:r>
            <w:r w:rsidRPr="00A501D9">
              <w:t>PLN.</w:t>
            </w:r>
          </w:p>
          <w:p w14:paraId="2D7EF12B" w14:textId="510946EF" w:rsidR="00D94758" w:rsidRPr="00A501D9" w:rsidRDefault="0084358D" w:rsidP="00D94758">
            <w:pPr>
              <w:spacing w:after="120" w:line="240" w:lineRule="auto"/>
            </w:pPr>
            <w:r w:rsidRPr="00A501D9">
              <w:t>Wskaźnik B11G (po zakończeniu inwestycji) powinien osiągnąć wartość 494 590 domów</w:t>
            </w:r>
            <w:r w:rsidR="00EB660F" w:rsidRPr="00A501D9">
              <w:t xml:space="preserve"> </w:t>
            </w:r>
            <w:r w:rsidRPr="00A501D9">
              <w:t>lub mieszkań. Tymczasem w ramach wniosków złożonych w programie TERMO na dzień 31</w:t>
            </w:r>
            <w:r w:rsidR="00EB660F" w:rsidRPr="00A501D9">
              <w:t xml:space="preserve"> </w:t>
            </w:r>
            <w:r w:rsidRPr="00A501D9">
              <w:t>marca 2024 r. osiągnięto liczbę 289 084 mieszkań. Przy zapewnieniu dodatkowego</w:t>
            </w:r>
            <w:r w:rsidR="00EB660F" w:rsidRPr="00A501D9">
              <w:t xml:space="preserve"> </w:t>
            </w:r>
            <w:r w:rsidRPr="00A501D9">
              <w:t>finansowania na poziomie 602 mln zł możliwe jest osiągnięcie do połowy 2026 r. łącznej</w:t>
            </w:r>
            <w:r w:rsidR="00EB660F" w:rsidRPr="00A501D9">
              <w:t xml:space="preserve"> </w:t>
            </w:r>
            <w:r w:rsidRPr="00A501D9">
              <w:t>wartości 826 644 mieszkań w budynkach poddanych termomodernizacji lub podłączonych</w:t>
            </w:r>
            <w:r w:rsidR="00EB660F" w:rsidRPr="00A501D9">
              <w:t xml:space="preserve"> </w:t>
            </w:r>
            <w:r w:rsidRPr="00A501D9">
              <w:t>do instalacji OZE.</w:t>
            </w:r>
          </w:p>
        </w:tc>
      </w:tr>
      <w:tr w:rsidR="00D94758" w:rsidRPr="00E0193B" w14:paraId="1BB0B01E" w14:textId="77777777" w:rsidTr="008C1B0D">
        <w:tc>
          <w:tcPr>
            <w:tcW w:w="1068" w:type="pct"/>
          </w:tcPr>
          <w:p w14:paraId="0AE41AAF" w14:textId="77777777" w:rsidR="00D94758" w:rsidRPr="00E0193B" w:rsidRDefault="00D94758" w:rsidP="00D94758">
            <w:pPr>
              <w:spacing w:after="120" w:line="240" w:lineRule="auto"/>
            </w:pPr>
            <w:r w:rsidRPr="00E0193B">
              <w:t>Szacowany koszt</w:t>
            </w:r>
          </w:p>
        </w:tc>
        <w:tc>
          <w:tcPr>
            <w:tcW w:w="3932" w:type="pct"/>
            <w:gridSpan w:val="2"/>
          </w:tcPr>
          <w:p w14:paraId="6BE06C89" w14:textId="77777777" w:rsidR="00D94758" w:rsidRPr="00E0193B" w:rsidRDefault="00D94758" w:rsidP="00D94758">
            <w:pPr>
              <w:spacing w:after="120" w:line="240" w:lineRule="auto"/>
            </w:pPr>
            <w:r w:rsidRPr="00E0193B">
              <w:t>Zwiększenie wysokości wsparcia w części dotyczącej poprawy efektywności energetycznej w budynkach wielorodzinnych o 140 mln euro, do 240 mln euro.</w:t>
            </w:r>
          </w:p>
        </w:tc>
      </w:tr>
      <w:tr w:rsidR="00D94758" w:rsidRPr="00E0193B" w14:paraId="1E846584" w14:textId="77777777" w:rsidTr="008C1B0D">
        <w:tc>
          <w:tcPr>
            <w:tcW w:w="1068" w:type="pct"/>
          </w:tcPr>
          <w:p w14:paraId="64613B8C" w14:textId="77777777" w:rsidR="00D94758" w:rsidRPr="00E0193B" w:rsidRDefault="00D94758" w:rsidP="00D94758">
            <w:pPr>
              <w:spacing w:after="120" w:line="240" w:lineRule="auto"/>
            </w:pPr>
            <w:r w:rsidRPr="00E0193B">
              <w:t xml:space="preserve">Cyfrowy i klimatyczny tagging </w:t>
            </w:r>
          </w:p>
        </w:tc>
        <w:tc>
          <w:tcPr>
            <w:tcW w:w="3932" w:type="pct"/>
            <w:gridSpan w:val="2"/>
          </w:tcPr>
          <w:p w14:paraId="01366319" w14:textId="77777777" w:rsidR="00D94758" w:rsidRPr="00E0193B" w:rsidRDefault="00D94758" w:rsidP="00D94758">
            <w:pPr>
              <w:spacing w:after="120" w:line="240" w:lineRule="auto"/>
            </w:pPr>
            <w:r w:rsidRPr="00E0193B">
              <w:rPr>
                <w:rFonts w:eastAsia="Calibri"/>
              </w:rPr>
              <w:t xml:space="preserve">Zmiana ma wpływ na tagging klimatyczny – zwiększenie </w:t>
            </w:r>
            <w:r w:rsidRPr="00E0193B">
              <w:rPr>
                <w:rFonts w:eastAsia="Calibri"/>
                <w:color w:val="000000"/>
                <w:lang w:eastAsia="en-GB"/>
              </w:rPr>
              <w:t>o 140 mln euro</w:t>
            </w:r>
          </w:p>
        </w:tc>
      </w:tr>
      <w:tr w:rsidR="00D94758" w:rsidRPr="00E0193B" w14:paraId="65B854A1" w14:textId="77777777" w:rsidTr="008C1B0D">
        <w:tc>
          <w:tcPr>
            <w:tcW w:w="1068" w:type="pct"/>
            <w:tcBorders>
              <w:bottom w:val="single" w:sz="4" w:space="0" w:color="auto"/>
            </w:tcBorders>
          </w:tcPr>
          <w:p w14:paraId="58372B9B" w14:textId="77777777" w:rsidR="00D94758" w:rsidRPr="00E0193B" w:rsidRDefault="00D94758" w:rsidP="00D94758">
            <w:pPr>
              <w:spacing w:after="120" w:line="240" w:lineRule="auto"/>
            </w:pPr>
            <w:r w:rsidRPr="00E0193B">
              <w:t xml:space="preserve">Zasada DNSH </w:t>
            </w:r>
          </w:p>
        </w:tc>
        <w:tc>
          <w:tcPr>
            <w:tcW w:w="3932" w:type="pct"/>
            <w:gridSpan w:val="2"/>
            <w:tcBorders>
              <w:bottom w:val="single" w:sz="4" w:space="0" w:color="auto"/>
            </w:tcBorders>
          </w:tcPr>
          <w:p w14:paraId="5790B68E" w14:textId="77777777" w:rsidR="00D94758" w:rsidRPr="00E0193B" w:rsidRDefault="00D94758" w:rsidP="00D94758">
            <w:pPr>
              <w:spacing w:after="120" w:line="240" w:lineRule="auto"/>
            </w:pPr>
            <w:r w:rsidRPr="00E0193B">
              <w:rPr>
                <w:rFonts w:eastAsia="Calibri"/>
              </w:rPr>
              <w:t>Zmiana nie ma wpływu na DNSH</w:t>
            </w:r>
          </w:p>
        </w:tc>
      </w:tr>
      <w:tr w:rsidR="00D94758" w:rsidRPr="00E0193B" w14:paraId="4C874A1D" w14:textId="77777777" w:rsidTr="008C1B0D">
        <w:tc>
          <w:tcPr>
            <w:tcW w:w="1068" w:type="pct"/>
            <w:tcBorders>
              <w:bottom w:val="single" w:sz="4" w:space="0" w:color="auto"/>
            </w:tcBorders>
          </w:tcPr>
          <w:p w14:paraId="6B9385AB" w14:textId="77777777" w:rsidR="00D94758" w:rsidRPr="00E0193B" w:rsidRDefault="00D94758" w:rsidP="00D94758">
            <w:pPr>
              <w:spacing w:after="120" w:line="240" w:lineRule="auto"/>
            </w:pPr>
            <w:r w:rsidRPr="00E0193B">
              <w:t xml:space="preserve">Pomoc publiczna </w:t>
            </w:r>
          </w:p>
        </w:tc>
        <w:tc>
          <w:tcPr>
            <w:tcW w:w="3932" w:type="pct"/>
            <w:gridSpan w:val="2"/>
            <w:tcBorders>
              <w:bottom w:val="single" w:sz="4" w:space="0" w:color="auto"/>
            </w:tcBorders>
          </w:tcPr>
          <w:p w14:paraId="157BE184" w14:textId="77777777" w:rsidR="00D94758" w:rsidRPr="00E0193B" w:rsidRDefault="00D94758" w:rsidP="00D94758">
            <w:pPr>
              <w:spacing w:after="120" w:line="240" w:lineRule="auto"/>
            </w:pPr>
            <w:r w:rsidRPr="00E0193B">
              <w:rPr>
                <w:rFonts w:eastAsia="Calibri"/>
              </w:rPr>
              <w:t>Zmiana nie ma wpływu na pomoc publiczną</w:t>
            </w:r>
          </w:p>
        </w:tc>
      </w:tr>
    </w:tbl>
    <w:p w14:paraId="7D33071C" w14:textId="6EF346A2" w:rsidR="00D94758" w:rsidRPr="00E0193B" w:rsidRDefault="00D94758" w:rsidP="00D94758">
      <w:pPr>
        <w:shd w:val="clear" w:color="auto" w:fill="FFFFFF"/>
        <w:autoSpaceDE w:val="0"/>
        <w:autoSpaceDN w:val="0"/>
        <w:adjustRightInd w:val="0"/>
        <w:spacing w:after="120" w:line="240" w:lineRule="auto"/>
        <w:jc w:val="left"/>
        <w:rPr>
          <w:rFonts w:eastAsia="Calibri"/>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3347"/>
        <w:gridCol w:w="3543"/>
      </w:tblGrid>
      <w:tr w:rsidR="00A036BB" w:rsidRPr="00E0193B" w14:paraId="6D252400" w14:textId="77777777" w:rsidTr="005E6576">
        <w:tc>
          <w:tcPr>
            <w:tcW w:w="1082" w:type="pct"/>
            <w:tcBorders>
              <w:top w:val="single" w:sz="4" w:space="0" w:color="auto"/>
              <w:left w:val="single" w:sz="4" w:space="0" w:color="auto"/>
              <w:bottom w:val="single" w:sz="4" w:space="0" w:color="auto"/>
              <w:right w:val="single" w:sz="4" w:space="0" w:color="auto"/>
            </w:tcBorders>
            <w:shd w:val="clear" w:color="auto" w:fill="FFFFFF" w:themeFill="background1"/>
          </w:tcPr>
          <w:p w14:paraId="2D18D940" w14:textId="77777777" w:rsidR="00A036BB" w:rsidRPr="00E0193B" w:rsidRDefault="00A036BB" w:rsidP="005E6576">
            <w:pPr>
              <w:spacing w:after="0" w:line="240" w:lineRule="auto"/>
              <w:rPr>
                <w:b/>
                <w:bCs/>
              </w:rPr>
            </w:pPr>
            <w:r w:rsidRPr="00E0193B">
              <w:rPr>
                <w:b/>
                <w:bCs/>
              </w:rPr>
              <w:t>Numer inwestycji</w:t>
            </w:r>
          </w:p>
        </w:tc>
        <w:tc>
          <w:tcPr>
            <w:tcW w:w="391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D533BAD" w14:textId="77777777" w:rsidR="00A036BB" w:rsidRPr="00E0193B" w:rsidRDefault="00A036BB" w:rsidP="005E6576">
            <w:pPr>
              <w:pStyle w:val="Default"/>
              <w:rPr>
                <w:b/>
                <w:bCs/>
              </w:rPr>
            </w:pPr>
            <w:r w:rsidRPr="00E0193B">
              <w:rPr>
                <w:b/>
                <w:bCs/>
              </w:rPr>
              <w:t xml:space="preserve">B2.2.3 </w:t>
            </w:r>
          </w:p>
        </w:tc>
      </w:tr>
      <w:tr w:rsidR="00A036BB" w:rsidRPr="00E0193B" w14:paraId="02953C16" w14:textId="77777777" w:rsidTr="005E6576">
        <w:tc>
          <w:tcPr>
            <w:tcW w:w="1082" w:type="pct"/>
            <w:tcBorders>
              <w:top w:val="single" w:sz="4" w:space="0" w:color="auto"/>
              <w:left w:val="single" w:sz="4" w:space="0" w:color="auto"/>
              <w:bottom w:val="single" w:sz="4" w:space="0" w:color="auto"/>
              <w:right w:val="single" w:sz="4" w:space="0" w:color="auto"/>
            </w:tcBorders>
          </w:tcPr>
          <w:p w14:paraId="44E31121" w14:textId="77777777" w:rsidR="00A036BB" w:rsidRPr="00E0193B" w:rsidRDefault="00A036BB" w:rsidP="005E6576">
            <w:pPr>
              <w:spacing w:after="0"/>
              <w:rPr>
                <w:b/>
                <w:bCs/>
              </w:rPr>
            </w:pPr>
            <w:r w:rsidRPr="00E0193B">
              <w:rPr>
                <w:b/>
                <w:bCs/>
              </w:rPr>
              <w:t xml:space="preserve">Nazwa inwestycji </w:t>
            </w:r>
          </w:p>
        </w:tc>
        <w:tc>
          <w:tcPr>
            <w:tcW w:w="3918" w:type="pct"/>
            <w:gridSpan w:val="2"/>
            <w:tcBorders>
              <w:top w:val="single" w:sz="4" w:space="0" w:color="auto"/>
              <w:left w:val="single" w:sz="4" w:space="0" w:color="auto"/>
              <w:bottom w:val="single" w:sz="4" w:space="0" w:color="auto"/>
              <w:right w:val="single" w:sz="4" w:space="0" w:color="auto"/>
            </w:tcBorders>
          </w:tcPr>
          <w:p w14:paraId="56150603" w14:textId="77777777" w:rsidR="00A036BB" w:rsidRPr="00E0193B" w:rsidRDefault="00A036BB" w:rsidP="005E6576">
            <w:pPr>
              <w:pStyle w:val="Default"/>
              <w:rPr>
                <w:b/>
                <w:bCs/>
              </w:rPr>
            </w:pPr>
            <w:r w:rsidRPr="00E0193B">
              <w:rPr>
                <w:b/>
                <w:bCs/>
              </w:rPr>
              <w:t>Budowa infrastruktury terminalowej offshore</w:t>
            </w:r>
          </w:p>
          <w:p w14:paraId="7F9497EC" w14:textId="77777777" w:rsidR="00A036BB" w:rsidRPr="00E0193B" w:rsidRDefault="00A036BB" w:rsidP="005E6576">
            <w:pPr>
              <w:pStyle w:val="Default"/>
              <w:rPr>
                <w:b/>
                <w:bCs/>
              </w:rPr>
            </w:pPr>
          </w:p>
        </w:tc>
      </w:tr>
      <w:tr w:rsidR="00A036BB" w:rsidRPr="00935797" w14:paraId="356E42CA" w14:textId="77777777" w:rsidTr="005E6576">
        <w:tc>
          <w:tcPr>
            <w:tcW w:w="1082" w:type="pct"/>
            <w:tcBorders>
              <w:top w:val="single" w:sz="4" w:space="0" w:color="auto"/>
              <w:left w:val="single" w:sz="4" w:space="0" w:color="auto"/>
              <w:bottom w:val="single" w:sz="4" w:space="0" w:color="auto"/>
              <w:right w:val="single" w:sz="4" w:space="0" w:color="auto"/>
            </w:tcBorders>
          </w:tcPr>
          <w:p w14:paraId="322EDB81" w14:textId="77777777" w:rsidR="00A036BB" w:rsidRPr="00E0193B" w:rsidRDefault="00A036BB" w:rsidP="005E6576">
            <w:pPr>
              <w:spacing w:after="0"/>
            </w:pPr>
            <w:r w:rsidRPr="00E0193B">
              <w:t>Rodzaj wprowadzonej zmiany w odniesieniu do CID</w:t>
            </w:r>
          </w:p>
        </w:tc>
        <w:tc>
          <w:tcPr>
            <w:tcW w:w="3918" w:type="pct"/>
            <w:gridSpan w:val="2"/>
            <w:tcBorders>
              <w:top w:val="single" w:sz="4" w:space="0" w:color="auto"/>
              <w:left w:val="single" w:sz="4" w:space="0" w:color="auto"/>
              <w:bottom w:val="single" w:sz="4" w:space="0" w:color="auto"/>
              <w:right w:val="single" w:sz="4" w:space="0" w:color="auto"/>
            </w:tcBorders>
          </w:tcPr>
          <w:p w14:paraId="4AA7B098" w14:textId="77777777" w:rsidR="00A036BB" w:rsidRPr="00E0193B" w:rsidRDefault="00A036BB" w:rsidP="005E6576">
            <w:pPr>
              <w:pStyle w:val="Default"/>
              <w:jc w:val="both"/>
              <w:rPr>
                <w:bCs/>
                <w:lang w:val="pl-PL"/>
              </w:rPr>
            </w:pPr>
            <w:r w:rsidRPr="00E0193B">
              <w:rPr>
                <w:bCs/>
                <w:lang w:val="pl-PL"/>
              </w:rPr>
              <w:t xml:space="preserve">Zmiana brzmienia fragmentu opisu inwestycji oraz opisu sposobu osiągnięcia kamienia milowego B37G w tabeli. </w:t>
            </w:r>
          </w:p>
          <w:p w14:paraId="1E2E81B3" w14:textId="77777777" w:rsidR="00A036BB" w:rsidRPr="00E0193B" w:rsidRDefault="00A036BB" w:rsidP="005E6576">
            <w:pPr>
              <w:pStyle w:val="Default"/>
              <w:jc w:val="both"/>
              <w:rPr>
                <w:bCs/>
                <w:lang w:val="pl-PL"/>
              </w:rPr>
            </w:pPr>
          </w:p>
          <w:p w14:paraId="793278A1" w14:textId="77777777" w:rsidR="00A036BB" w:rsidRPr="00E0193B" w:rsidRDefault="00A036BB" w:rsidP="005E6576">
            <w:pPr>
              <w:pStyle w:val="Default"/>
              <w:jc w:val="both"/>
              <w:rPr>
                <w:bCs/>
              </w:rPr>
            </w:pPr>
            <w:r w:rsidRPr="00E0193B">
              <w:rPr>
                <w:bCs/>
              </w:rPr>
              <w:t>Change of the wording of the investment description and the description of how to achieve the B37G milestone in the table.</w:t>
            </w:r>
          </w:p>
          <w:p w14:paraId="204AB911" w14:textId="77777777" w:rsidR="00A036BB" w:rsidRPr="00E0193B" w:rsidRDefault="00A036BB" w:rsidP="005E6576">
            <w:pPr>
              <w:pStyle w:val="Default"/>
              <w:jc w:val="both"/>
              <w:rPr>
                <w:bCs/>
              </w:rPr>
            </w:pPr>
          </w:p>
          <w:p w14:paraId="6DAA8F53" w14:textId="77777777" w:rsidR="00A036BB" w:rsidRPr="00E0193B" w:rsidRDefault="00A036BB" w:rsidP="005E6576">
            <w:pPr>
              <w:pStyle w:val="Default"/>
              <w:jc w:val="both"/>
              <w:rPr>
                <w:bCs/>
                <w:lang w:val="pl-PL"/>
              </w:rPr>
            </w:pPr>
            <w:r w:rsidRPr="00E0193B">
              <w:rPr>
                <w:bCs/>
                <w:lang w:val="pl-PL"/>
              </w:rPr>
              <w:t>Dodanie kolejnej inwestycji w zakresie B38G o nazwie „Przebudowa falochronów w Porcie Darłowo wraz z poprawą warunków falowania wewnątrz basenu poprzez budowę nowych obiektów hydrotechnicznych”.</w:t>
            </w:r>
          </w:p>
          <w:p w14:paraId="43494E4D" w14:textId="77777777" w:rsidR="00A036BB" w:rsidRPr="00E0193B" w:rsidRDefault="00A036BB" w:rsidP="005E6576">
            <w:pPr>
              <w:pStyle w:val="Default"/>
              <w:jc w:val="both"/>
              <w:rPr>
                <w:rStyle w:val="rynqvb"/>
                <w:bCs/>
                <w:lang w:val="pl-PL"/>
              </w:rPr>
            </w:pPr>
          </w:p>
          <w:p w14:paraId="6E4DB038" w14:textId="77777777" w:rsidR="00A036BB" w:rsidRPr="00E0193B" w:rsidRDefault="00A036BB" w:rsidP="005E6576">
            <w:pPr>
              <w:pStyle w:val="Default"/>
              <w:jc w:val="both"/>
              <w:rPr>
                <w:bCs/>
              </w:rPr>
            </w:pPr>
            <w:r w:rsidRPr="00E0193B">
              <w:rPr>
                <w:rStyle w:val="rynqvb"/>
                <w:bCs/>
              </w:rPr>
              <w:t>Adding another investment in the scope of B38G measure called "Reconstruction of breakwaters in the Port of Darłowo along with improvement of wave conditions inside the basin through the construction of new hydrotechnical facilities”</w:t>
            </w:r>
          </w:p>
        </w:tc>
      </w:tr>
      <w:tr w:rsidR="00A036BB" w:rsidRPr="00E0193B" w14:paraId="21ACD610" w14:textId="77777777" w:rsidTr="005E6576">
        <w:tc>
          <w:tcPr>
            <w:tcW w:w="1082" w:type="pct"/>
            <w:tcBorders>
              <w:top w:val="single" w:sz="4" w:space="0" w:color="auto"/>
              <w:left w:val="single" w:sz="4" w:space="0" w:color="auto"/>
              <w:bottom w:val="single" w:sz="4" w:space="0" w:color="auto"/>
              <w:right w:val="single" w:sz="4" w:space="0" w:color="auto"/>
            </w:tcBorders>
            <w:shd w:val="clear" w:color="auto" w:fill="FFFFFF" w:themeFill="background1"/>
          </w:tcPr>
          <w:p w14:paraId="62050F54" w14:textId="77777777" w:rsidR="00A036BB" w:rsidRPr="00E0193B" w:rsidRDefault="00A036BB" w:rsidP="005E6576">
            <w:pPr>
              <w:spacing w:after="0"/>
            </w:pPr>
            <w:r w:rsidRPr="00E0193B">
              <w:t>Podstawa prawna zmiany</w:t>
            </w:r>
          </w:p>
        </w:tc>
        <w:tc>
          <w:tcPr>
            <w:tcW w:w="391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72A0272" w14:textId="77777777" w:rsidR="00A036BB" w:rsidRPr="00E0193B" w:rsidRDefault="00A036BB" w:rsidP="005E6576">
            <w:pPr>
              <w:pStyle w:val="Default"/>
              <w:rPr>
                <w:b/>
                <w:bCs/>
                <w:lang w:val="pl-PL"/>
              </w:rPr>
            </w:pPr>
            <w:r w:rsidRPr="00E0193B">
              <w:rPr>
                <w:lang w:val="pl-PL"/>
              </w:rPr>
              <w:t>Artykuł 21 – zmiana wynikająca z obiektywnych okoliczności</w:t>
            </w:r>
          </w:p>
        </w:tc>
      </w:tr>
      <w:tr w:rsidR="00A036BB" w:rsidRPr="00E0193B" w14:paraId="76070AA0" w14:textId="77777777" w:rsidTr="005E6576">
        <w:tc>
          <w:tcPr>
            <w:tcW w:w="1082" w:type="pct"/>
            <w:shd w:val="clear" w:color="auto" w:fill="D9D9D9" w:themeFill="background1" w:themeFillShade="D9"/>
          </w:tcPr>
          <w:p w14:paraId="7E9CE705" w14:textId="77777777" w:rsidR="00A036BB" w:rsidRPr="00E0193B" w:rsidRDefault="00A036BB" w:rsidP="005E6576">
            <w:pPr>
              <w:spacing w:after="120" w:line="240" w:lineRule="auto"/>
            </w:pPr>
            <w:r w:rsidRPr="00E0193B">
              <w:t>Modyfikowany element</w:t>
            </w:r>
          </w:p>
        </w:tc>
        <w:tc>
          <w:tcPr>
            <w:tcW w:w="1905" w:type="pct"/>
            <w:shd w:val="clear" w:color="auto" w:fill="D9D9D9" w:themeFill="background1" w:themeFillShade="D9"/>
          </w:tcPr>
          <w:p w14:paraId="6457A865" w14:textId="77777777" w:rsidR="00A036BB" w:rsidRPr="00E0193B" w:rsidRDefault="00A036BB" w:rsidP="005E6576">
            <w:pPr>
              <w:spacing w:after="120" w:line="240" w:lineRule="auto"/>
              <w:jc w:val="center"/>
            </w:pPr>
            <w:r w:rsidRPr="00E0193B">
              <w:t>Wersja aktualna</w:t>
            </w:r>
          </w:p>
        </w:tc>
        <w:tc>
          <w:tcPr>
            <w:tcW w:w="2013" w:type="pct"/>
            <w:shd w:val="clear" w:color="auto" w:fill="D9D9D9" w:themeFill="background1" w:themeFillShade="D9"/>
          </w:tcPr>
          <w:p w14:paraId="11E41505" w14:textId="77777777" w:rsidR="00A036BB" w:rsidRPr="00E0193B" w:rsidRDefault="00A036BB" w:rsidP="005E6576">
            <w:pPr>
              <w:spacing w:after="120" w:line="240" w:lineRule="auto"/>
              <w:jc w:val="center"/>
            </w:pPr>
            <w:r w:rsidRPr="00E0193B">
              <w:t>Wersja zmieniona</w:t>
            </w:r>
          </w:p>
        </w:tc>
      </w:tr>
      <w:tr w:rsidR="00A036BB" w:rsidRPr="00E0193B" w14:paraId="55C81C62" w14:textId="77777777" w:rsidTr="005E6576">
        <w:tc>
          <w:tcPr>
            <w:tcW w:w="1082" w:type="pct"/>
            <w:vMerge w:val="restart"/>
          </w:tcPr>
          <w:p w14:paraId="072F839B" w14:textId="77777777" w:rsidR="00A036BB" w:rsidRPr="00E0193B" w:rsidRDefault="00A036BB" w:rsidP="005E6576">
            <w:pPr>
              <w:spacing w:after="120" w:line="240" w:lineRule="auto"/>
            </w:pPr>
            <w:r w:rsidRPr="00E0193B">
              <w:t>Opis komponentu oraz/lub działania (inwestycji/reformy)</w:t>
            </w:r>
          </w:p>
        </w:tc>
        <w:tc>
          <w:tcPr>
            <w:tcW w:w="1905" w:type="pct"/>
          </w:tcPr>
          <w:p w14:paraId="44D87EF1" w14:textId="77777777" w:rsidR="00A036BB" w:rsidRPr="00E0193B" w:rsidRDefault="00A036BB" w:rsidP="005E6576">
            <w:r w:rsidRPr="00E0193B">
              <w:t>(…) W portach w Łebie i Ustce powstaną dwa terminale serwisowe dla morskiej energetyki wiatrowej, które będą stanowić kluczową infrastrukturę obsługującą instalacje morskie.</w:t>
            </w:r>
          </w:p>
          <w:p w14:paraId="408AAEC7" w14:textId="77777777" w:rsidR="00A036BB" w:rsidRPr="00E0193B" w:rsidRDefault="00A036BB" w:rsidP="005E6576">
            <w:pPr>
              <w:pStyle w:val="Default"/>
              <w:spacing w:after="120"/>
              <w:rPr>
                <w:lang w:val="pl-PL"/>
              </w:rPr>
            </w:pPr>
          </w:p>
          <w:p w14:paraId="235FF038" w14:textId="77777777" w:rsidR="00A036BB" w:rsidRPr="00E0193B" w:rsidRDefault="00A036BB" w:rsidP="005E6576">
            <w:pPr>
              <w:pStyle w:val="Default"/>
              <w:spacing w:after="120"/>
              <w:rPr>
                <w:u w:val="single"/>
                <w:lang w:val="pl-PL"/>
              </w:rPr>
            </w:pPr>
            <w:r w:rsidRPr="00E0193B">
              <w:rPr>
                <w:lang w:val="pl-PL"/>
              </w:rPr>
              <w:t>(…) Realizacja inwestycji w morski terminal instalacyjny i morskie terminale serwisowe w Łebie i Ustce zakończy się do dnia 30 czerwca 2026 r.</w:t>
            </w:r>
          </w:p>
        </w:tc>
        <w:tc>
          <w:tcPr>
            <w:tcW w:w="2013" w:type="pct"/>
          </w:tcPr>
          <w:p w14:paraId="328F6BB6" w14:textId="77777777" w:rsidR="00A036BB" w:rsidRPr="00E0193B" w:rsidRDefault="00A036BB" w:rsidP="005E6576">
            <w:pPr>
              <w:rPr>
                <w:color w:val="FF0000"/>
              </w:rPr>
            </w:pPr>
            <w:r w:rsidRPr="00E0193B">
              <w:rPr>
                <w:color w:val="FF0000"/>
              </w:rPr>
              <w:t xml:space="preserve">(…) </w:t>
            </w:r>
            <w:r w:rsidRPr="00E0193B">
              <w:rPr>
                <w:strike/>
                <w:color w:val="FF0000"/>
              </w:rPr>
              <w:t>W portach w Łebie ,Ustce i Darłowie powstaną</w:t>
            </w:r>
            <w:r w:rsidRPr="00E0193B">
              <w:rPr>
                <w:color w:val="FF0000"/>
              </w:rPr>
              <w:t xml:space="preserve"> Trzy terminale serwisowe dla morskiej energetyki wiatrowej, które będą stanowić kluczową infrastrukturę obsługującą instalacje morskie, powstaną w portach w Łebie , Ustce i Darłowie.</w:t>
            </w:r>
          </w:p>
          <w:p w14:paraId="4323F704" w14:textId="1FBB54EB" w:rsidR="00A036BB" w:rsidRPr="00E0193B" w:rsidRDefault="00A036BB" w:rsidP="005E6576">
            <w:pPr>
              <w:pStyle w:val="Default"/>
              <w:spacing w:after="120"/>
              <w:rPr>
                <w:u w:val="single"/>
                <w:lang w:val="pl-PL"/>
              </w:rPr>
            </w:pPr>
            <w:r w:rsidRPr="00E0193B">
              <w:rPr>
                <w:color w:val="FF0000"/>
                <w:lang w:val="pl-PL"/>
              </w:rPr>
              <w:t>Zakończenie prac budowlanych dla morskiego terminalu instalacyjnego do 3</w:t>
            </w:r>
            <w:r w:rsidR="002C5DA8" w:rsidRPr="00E0193B">
              <w:rPr>
                <w:color w:val="FF0000"/>
                <w:lang w:val="pl-PL"/>
              </w:rPr>
              <w:t>1 sierpnia</w:t>
            </w:r>
            <w:r w:rsidRPr="00E0193B">
              <w:rPr>
                <w:color w:val="FF0000"/>
                <w:lang w:val="pl-PL"/>
              </w:rPr>
              <w:t xml:space="preserve"> 2026 oraz zakończenie budowy w morskich terminalach serwisowych w Łebie Ustce i Darłowie do 30 czerwca 2026 roku.</w:t>
            </w:r>
          </w:p>
        </w:tc>
      </w:tr>
      <w:tr w:rsidR="00A036BB" w:rsidRPr="00935797" w14:paraId="213278E1" w14:textId="77777777" w:rsidTr="00A036BB">
        <w:trPr>
          <w:trHeight w:val="1124"/>
        </w:trPr>
        <w:tc>
          <w:tcPr>
            <w:tcW w:w="1082" w:type="pct"/>
            <w:vMerge/>
          </w:tcPr>
          <w:p w14:paraId="78F5C3D3" w14:textId="77777777" w:rsidR="00A036BB" w:rsidRPr="00E0193B" w:rsidRDefault="00A036BB" w:rsidP="005E6576">
            <w:pPr>
              <w:spacing w:after="120" w:line="240" w:lineRule="auto"/>
            </w:pPr>
          </w:p>
        </w:tc>
        <w:tc>
          <w:tcPr>
            <w:tcW w:w="1905" w:type="pct"/>
          </w:tcPr>
          <w:p w14:paraId="076668E5" w14:textId="77777777" w:rsidR="00A036BB" w:rsidRPr="00E0193B" w:rsidRDefault="00A036BB" w:rsidP="005E6576">
            <w:pPr>
              <w:ind w:left="-6"/>
              <w:rPr>
                <w:lang w:val="en-GB"/>
              </w:rPr>
            </w:pPr>
            <w:r w:rsidRPr="00E0193B">
              <w:rPr>
                <w:lang w:val="en-GB"/>
              </w:rPr>
              <w:t>Two service terminals for offshore wind that constitute key infrastructure for the maintenance of offshore installations shall be carried out in the ports in Łeba and Ustka.</w:t>
            </w:r>
          </w:p>
          <w:p w14:paraId="7ED2DAC0" w14:textId="77777777" w:rsidR="00A036BB" w:rsidRPr="00E0193B" w:rsidRDefault="00A036BB" w:rsidP="005E6576">
            <w:pPr>
              <w:rPr>
                <w:lang w:val="en-GB"/>
              </w:rPr>
            </w:pPr>
            <w:r w:rsidRPr="00E0193B">
              <w:rPr>
                <w:lang w:val="en-GB"/>
              </w:rPr>
              <w:t xml:space="preserve">(…) The implementation of the investment in offshore installation terminal and offshore service terminals in Łeba and Ustka shall be completed by 30 June 2026. </w:t>
            </w:r>
          </w:p>
        </w:tc>
        <w:tc>
          <w:tcPr>
            <w:tcW w:w="2013" w:type="pct"/>
          </w:tcPr>
          <w:p w14:paraId="7A1EF57A" w14:textId="77777777" w:rsidR="00A036BB" w:rsidRPr="00E0193B" w:rsidRDefault="00A036BB" w:rsidP="005E6576">
            <w:pPr>
              <w:ind w:left="-6"/>
              <w:rPr>
                <w:color w:val="FF0000"/>
                <w:lang w:val="en-GB"/>
              </w:rPr>
            </w:pPr>
            <w:r w:rsidRPr="00E0193B">
              <w:rPr>
                <w:color w:val="FF0000"/>
                <w:lang w:val="en-GB"/>
              </w:rPr>
              <w:t>Three service terminals for offshore wind that constitute key infrastructure for the maintenance of offshore installations shall be carried out in the ports in Łeba, Ustka and Darłowo.</w:t>
            </w:r>
          </w:p>
          <w:p w14:paraId="10BC41BC" w14:textId="03CBD5D0" w:rsidR="00A036BB" w:rsidRPr="00E0193B" w:rsidRDefault="00A036BB" w:rsidP="005E6576">
            <w:pPr>
              <w:ind w:left="-6"/>
              <w:rPr>
                <w:color w:val="FF0000"/>
                <w:lang w:val="en-GB"/>
              </w:rPr>
            </w:pPr>
            <w:r w:rsidRPr="00E0193B">
              <w:rPr>
                <w:color w:val="FF0000"/>
                <w:lang w:val="en-GB"/>
              </w:rPr>
              <w:t>Completion of construction  works for the offshore installation terminal by 3</w:t>
            </w:r>
            <w:r w:rsidR="002C5DA8" w:rsidRPr="00E0193B">
              <w:rPr>
                <w:color w:val="FF0000"/>
                <w:lang w:val="en-GB"/>
              </w:rPr>
              <w:t>1 August</w:t>
            </w:r>
            <w:r w:rsidRPr="00E0193B">
              <w:rPr>
                <w:color w:val="FF0000"/>
                <w:lang w:val="en-GB"/>
              </w:rPr>
              <w:t xml:space="preserve"> 2026 and completion of investments in offshore service terminals in Łeba,Ustka and Darłowo by 30 June 2026.</w:t>
            </w:r>
          </w:p>
        </w:tc>
      </w:tr>
      <w:tr w:rsidR="00A036BB" w:rsidRPr="00E0193B" w14:paraId="7A90B345" w14:textId="77777777" w:rsidTr="005E6576">
        <w:trPr>
          <w:trHeight w:val="756"/>
        </w:trPr>
        <w:tc>
          <w:tcPr>
            <w:tcW w:w="1082" w:type="pct"/>
            <w:vMerge w:val="restart"/>
          </w:tcPr>
          <w:p w14:paraId="28541054" w14:textId="77777777" w:rsidR="00A036BB" w:rsidRPr="00E0193B" w:rsidRDefault="00A036BB" w:rsidP="005E6576">
            <w:pPr>
              <w:spacing w:after="120" w:line="240" w:lineRule="auto"/>
            </w:pPr>
            <w:r w:rsidRPr="00E0193B">
              <w:t>Opis kamienia milowego lub wskaźnika.</w:t>
            </w:r>
          </w:p>
        </w:tc>
        <w:tc>
          <w:tcPr>
            <w:tcW w:w="1905" w:type="pct"/>
          </w:tcPr>
          <w:p w14:paraId="3C033005" w14:textId="77777777" w:rsidR="00A036BB" w:rsidRPr="00E0193B" w:rsidRDefault="00A036BB" w:rsidP="005E6576">
            <w:pPr>
              <w:spacing w:after="0" w:line="240" w:lineRule="auto"/>
            </w:pPr>
            <w:r w:rsidRPr="00E0193B">
              <w:t>B37G Budowa terminalu instalacyjnego offshore</w:t>
            </w:r>
          </w:p>
          <w:p w14:paraId="615610EC" w14:textId="77777777" w:rsidR="00A036BB" w:rsidRPr="00E0193B" w:rsidRDefault="00A036BB" w:rsidP="005E6576">
            <w:pPr>
              <w:spacing w:after="0" w:line="240" w:lineRule="auto"/>
            </w:pPr>
          </w:p>
          <w:p w14:paraId="3DD41729" w14:textId="77777777" w:rsidR="00A036BB" w:rsidRPr="00E0193B" w:rsidRDefault="00A036BB" w:rsidP="005E6576">
            <w:pPr>
              <w:pStyle w:val="Default"/>
              <w:rPr>
                <w:lang w:val="pl-PL"/>
              </w:rPr>
            </w:pPr>
            <w:r w:rsidRPr="00E0193B">
              <w:rPr>
                <w:lang w:val="pl-PL"/>
              </w:rPr>
              <w:t>Opis każdego kamienia milowego i każdej wartości docelowej:</w:t>
            </w:r>
          </w:p>
          <w:p w14:paraId="0C89492E" w14:textId="77777777" w:rsidR="00A036BB" w:rsidRPr="00E0193B" w:rsidRDefault="00A036BB" w:rsidP="005E6576">
            <w:pPr>
              <w:spacing w:after="0" w:line="240" w:lineRule="auto"/>
            </w:pPr>
            <w:r w:rsidRPr="00E0193B">
              <w:t>Uruchomienie</w:t>
            </w:r>
          </w:p>
          <w:p w14:paraId="09C90F8E" w14:textId="77777777" w:rsidR="00A036BB" w:rsidRPr="00E0193B" w:rsidRDefault="00A036BB" w:rsidP="005E6576">
            <w:pPr>
              <w:spacing w:after="0" w:line="240" w:lineRule="auto"/>
            </w:pPr>
          </w:p>
          <w:p w14:paraId="1C3748A3" w14:textId="12C642E3" w:rsidR="00A036BB" w:rsidRPr="00A501D9" w:rsidRDefault="00A036BB" w:rsidP="00A501D9">
            <w:pPr>
              <w:spacing w:after="0" w:line="240" w:lineRule="auto"/>
              <w:rPr>
                <w:i/>
              </w:rPr>
            </w:pPr>
            <w:r w:rsidRPr="00E0193B">
              <w:t>Oddanie do użytku nowego pirsu portowego.</w:t>
            </w:r>
          </w:p>
        </w:tc>
        <w:tc>
          <w:tcPr>
            <w:tcW w:w="2013" w:type="pct"/>
          </w:tcPr>
          <w:p w14:paraId="0FEA6132" w14:textId="77777777" w:rsidR="00A036BB" w:rsidRPr="00E0193B" w:rsidRDefault="00A036BB" w:rsidP="005E6576">
            <w:pPr>
              <w:spacing w:after="0" w:line="240" w:lineRule="auto"/>
            </w:pPr>
            <w:r w:rsidRPr="00E0193B">
              <w:t>B37G Budowa terminalu instalacyjnego offshore</w:t>
            </w:r>
          </w:p>
          <w:p w14:paraId="2D9F75AF" w14:textId="77777777" w:rsidR="00A036BB" w:rsidRPr="00E0193B" w:rsidRDefault="00A036BB" w:rsidP="005E6576">
            <w:pPr>
              <w:spacing w:after="0" w:line="240" w:lineRule="auto"/>
            </w:pPr>
          </w:p>
          <w:p w14:paraId="59728F18" w14:textId="77777777" w:rsidR="00A036BB" w:rsidRPr="00E0193B" w:rsidRDefault="00A036BB" w:rsidP="005E6576">
            <w:pPr>
              <w:pStyle w:val="Default"/>
              <w:rPr>
                <w:lang w:val="pl-PL"/>
              </w:rPr>
            </w:pPr>
            <w:r w:rsidRPr="00E0193B">
              <w:rPr>
                <w:lang w:val="pl-PL"/>
              </w:rPr>
              <w:t>Opis każdego kamienia milowego i każdej wartości docelowej:</w:t>
            </w:r>
          </w:p>
          <w:p w14:paraId="1AE8615D" w14:textId="77777777" w:rsidR="00A036BB" w:rsidRPr="00E0193B" w:rsidRDefault="00A036BB" w:rsidP="005E6576">
            <w:pPr>
              <w:spacing w:after="0" w:line="240" w:lineRule="auto"/>
              <w:rPr>
                <w:i/>
              </w:rPr>
            </w:pPr>
            <w:r w:rsidRPr="00E0193B">
              <w:rPr>
                <w:strike/>
                <w:color w:val="FF0000"/>
              </w:rPr>
              <w:t>Uruchomienie.</w:t>
            </w:r>
            <w:r w:rsidRPr="00E0193B">
              <w:rPr>
                <w:color w:val="FF0000"/>
              </w:rPr>
              <w:t xml:space="preserve"> Zakończenie prac budowlanych</w:t>
            </w:r>
          </w:p>
          <w:p w14:paraId="5FEBF7DD" w14:textId="77777777" w:rsidR="00A036BB" w:rsidRPr="00E0193B" w:rsidRDefault="00A036BB" w:rsidP="005E6576">
            <w:pPr>
              <w:spacing w:after="0" w:line="240" w:lineRule="auto"/>
              <w:rPr>
                <w:i/>
              </w:rPr>
            </w:pPr>
            <w:r w:rsidRPr="00E0193B">
              <w:rPr>
                <w:strike/>
                <w:color w:val="FF0000"/>
              </w:rPr>
              <w:t>Oddanie do użytku nowego pirsu portowego.</w:t>
            </w:r>
            <w:r w:rsidRPr="00E0193B">
              <w:t xml:space="preserve"> </w:t>
            </w:r>
            <w:r w:rsidRPr="00E0193B">
              <w:rPr>
                <w:color w:val="FF0000"/>
              </w:rPr>
              <w:t>Zakończenie prac budowlanych</w:t>
            </w:r>
          </w:p>
        </w:tc>
      </w:tr>
      <w:tr w:rsidR="00A036BB" w:rsidRPr="00935797" w14:paraId="74FA0E90" w14:textId="77777777" w:rsidTr="005E6576">
        <w:trPr>
          <w:trHeight w:val="756"/>
        </w:trPr>
        <w:tc>
          <w:tcPr>
            <w:tcW w:w="1082" w:type="pct"/>
            <w:vMerge/>
          </w:tcPr>
          <w:p w14:paraId="1C3A640A" w14:textId="77777777" w:rsidR="00A036BB" w:rsidRPr="00E0193B" w:rsidRDefault="00A036BB" w:rsidP="005E6576">
            <w:pPr>
              <w:spacing w:after="120" w:line="240" w:lineRule="auto"/>
            </w:pPr>
          </w:p>
        </w:tc>
        <w:tc>
          <w:tcPr>
            <w:tcW w:w="1905" w:type="pct"/>
          </w:tcPr>
          <w:p w14:paraId="071CA4C9" w14:textId="77777777" w:rsidR="00A036BB" w:rsidRPr="00E0193B" w:rsidRDefault="00A036BB" w:rsidP="005E6576">
            <w:pPr>
              <w:spacing w:after="0" w:line="240" w:lineRule="auto"/>
              <w:rPr>
                <w:lang w:val="en-GB"/>
              </w:rPr>
            </w:pPr>
            <w:r w:rsidRPr="00E0193B">
              <w:rPr>
                <w:lang w:val="en-GB"/>
              </w:rPr>
              <w:t>B37G Construction of an offshore installation terminal</w:t>
            </w:r>
          </w:p>
          <w:p w14:paraId="70EA5BA1" w14:textId="77777777" w:rsidR="00A036BB" w:rsidRPr="00E0193B" w:rsidRDefault="00A036BB" w:rsidP="005E6576">
            <w:pPr>
              <w:spacing w:after="0" w:line="240" w:lineRule="auto"/>
              <w:rPr>
                <w:lang w:val="en-GB"/>
              </w:rPr>
            </w:pPr>
            <w:r w:rsidRPr="00E0193B">
              <w:rPr>
                <w:lang w:val="en-GB"/>
              </w:rPr>
              <w:t>Indicative timeline for completion</w:t>
            </w:r>
          </w:p>
          <w:p w14:paraId="69CA1A8F" w14:textId="77777777" w:rsidR="00A036BB" w:rsidRPr="00E0193B" w:rsidRDefault="00A036BB" w:rsidP="005E6576">
            <w:pPr>
              <w:spacing w:after="0" w:line="240" w:lineRule="auto"/>
              <w:rPr>
                <w:lang w:val="en-GB"/>
              </w:rPr>
            </w:pPr>
          </w:p>
          <w:p w14:paraId="3B4AE68D" w14:textId="06706EBE" w:rsidR="00A036BB" w:rsidRPr="00E0193B" w:rsidRDefault="00A036BB" w:rsidP="005E6576">
            <w:pPr>
              <w:spacing w:after="0" w:line="240" w:lineRule="auto"/>
              <w:rPr>
                <w:lang w:val="en-GB"/>
              </w:rPr>
            </w:pPr>
            <w:r w:rsidRPr="00E0193B">
              <w:rPr>
                <w:lang w:val="en-GB"/>
              </w:rPr>
              <w:t>Q2 2026</w:t>
            </w:r>
          </w:p>
        </w:tc>
        <w:tc>
          <w:tcPr>
            <w:tcW w:w="2013" w:type="pct"/>
          </w:tcPr>
          <w:p w14:paraId="437B82C5" w14:textId="77777777" w:rsidR="00A036BB" w:rsidRPr="00E0193B" w:rsidRDefault="00A036BB" w:rsidP="005E6576">
            <w:pPr>
              <w:spacing w:after="0" w:line="240" w:lineRule="auto"/>
              <w:rPr>
                <w:lang w:val="en-GB"/>
              </w:rPr>
            </w:pPr>
            <w:r w:rsidRPr="00E0193B">
              <w:rPr>
                <w:lang w:val="en-GB"/>
              </w:rPr>
              <w:t>B37G Construction of an offshore installation terminal</w:t>
            </w:r>
          </w:p>
          <w:p w14:paraId="74548758" w14:textId="77777777" w:rsidR="00A036BB" w:rsidRPr="00E0193B" w:rsidRDefault="00A036BB" w:rsidP="005E6576">
            <w:pPr>
              <w:spacing w:after="0" w:line="240" w:lineRule="auto"/>
              <w:rPr>
                <w:lang w:val="en-GB"/>
              </w:rPr>
            </w:pPr>
            <w:r w:rsidRPr="00E0193B">
              <w:rPr>
                <w:lang w:val="en-GB"/>
              </w:rPr>
              <w:t>Indicative timeline for completion</w:t>
            </w:r>
          </w:p>
          <w:p w14:paraId="69D93B9E" w14:textId="77777777" w:rsidR="00A036BB" w:rsidRPr="00E0193B" w:rsidRDefault="00A036BB" w:rsidP="005E6576">
            <w:pPr>
              <w:spacing w:after="0" w:line="240" w:lineRule="auto"/>
              <w:rPr>
                <w:lang w:val="en-GB"/>
              </w:rPr>
            </w:pPr>
          </w:p>
          <w:p w14:paraId="4DD117F4" w14:textId="77777777" w:rsidR="00A036BB" w:rsidRPr="00E0193B" w:rsidRDefault="00A036BB" w:rsidP="005E6576">
            <w:pPr>
              <w:spacing w:after="0" w:line="240" w:lineRule="auto"/>
              <w:rPr>
                <w:lang w:val="en-GB"/>
              </w:rPr>
            </w:pPr>
            <w:r w:rsidRPr="00E0193B">
              <w:rPr>
                <w:lang w:val="en-GB"/>
              </w:rPr>
              <w:t>Q3 2026</w:t>
            </w:r>
          </w:p>
          <w:p w14:paraId="6990D9A2" w14:textId="77777777" w:rsidR="00A036BB" w:rsidRPr="00E0193B" w:rsidRDefault="00A036BB" w:rsidP="005E6576">
            <w:pPr>
              <w:spacing w:after="0" w:line="240" w:lineRule="auto"/>
              <w:rPr>
                <w:lang w:val="en-GB"/>
              </w:rPr>
            </w:pPr>
          </w:p>
        </w:tc>
      </w:tr>
      <w:tr w:rsidR="00A036BB" w:rsidRPr="00E0193B" w14:paraId="7138B4C9" w14:textId="77777777" w:rsidTr="005E6576">
        <w:trPr>
          <w:trHeight w:val="756"/>
        </w:trPr>
        <w:tc>
          <w:tcPr>
            <w:tcW w:w="1082" w:type="pct"/>
            <w:vMerge/>
          </w:tcPr>
          <w:p w14:paraId="380DAE0A" w14:textId="77777777" w:rsidR="00A036BB" w:rsidRPr="00E0193B" w:rsidRDefault="00A036BB" w:rsidP="005E6576">
            <w:pPr>
              <w:spacing w:after="120" w:line="240" w:lineRule="auto"/>
              <w:rPr>
                <w:lang w:val="en-AU"/>
              </w:rPr>
            </w:pPr>
          </w:p>
        </w:tc>
        <w:tc>
          <w:tcPr>
            <w:tcW w:w="1905" w:type="pct"/>
          </w:tcPr>
          <w:p w14:paraId="7FDA75B1" w14:textId="77777777" w:rsidR="00A036BB" w:rsidRPr="00E0193B" w:rsidRDefault="00A036BB" w:rsidP="005E6576">
            <w:pPr>
              <w:spacing w:after="0" w:line="240" w:lineRule="auto"/>
              <w:rPr>
                <w:lang w:val="en-GB"/>
              </w:rPr>
            </w:pPr>
            <w:r w:rsidRPr="00E0193B">
              <w:rPr>
                <w:lang w:val="en-GB"/>
              </w:rPr>
              <w:t>B37G Construction of an offshore installation terminal</w:t>
            </w:r>
          </w:p>
          <w:p w14:paraId="7AE2131D" w14:textId="77777777" w:rsidR="00A036BB" w:rsidRPr="00E0193B" w:rsidRDefault="00A036BB" w:rsidP="005E6576">
            <w:pPr>
              <w:spacing w:after="120" w:line="240" w:lineRule="auto"/>
              <w:rPr>
                <w:lang w:val="en-GB"/>
              </w:rPr>
            </w:pPr>
            <w:r w:rsidRPr="00E0193B">
              <w:rPr>
                <w:lang w:val="en-GB"/>
              </w:rPr>
              <w:t>Description of each milestone and target:</w:t>
            </w:r>
          </w:p>
          <w:p w14:paraId="4E043DA4" w14:textId="77777777" w:rsidR="00A036BB" w:rsidRPr="00E0193B" w:rsidRDefault="00A036BB" w:rsidP="005E6576">
            <w:pPr>
              <w:spacing w:after="0" w:line="240" w:lineRule="auto"/>
              <w:rPr>
                <w:lang w:val="en-GB"/>
              </w:rPr>
            </w:pPr>
            <w:r w:rsidRPr="00E0193B">
              <w:rPr>
                <w:lang w:val="en-GB"/>
              </w:rPr>
              <w:t>Entry into operation</w:t>
            </w:r>
          </w:p>
          <w:p w14:paraId="13BD8B08" w14:textId="77777777" w:rsidR="00A036BB" w:rsidRPr="00E0193B" w:rsidRDefault="00A036BB" w:rsidP="005E6576">
            <w:pPr>
              <w:spacing w:after="0" w:line="240" w:lineRule="auto"/>
              <w:rPr>
                <w:b/>
                <w:bCs/>
                <w:lang w:val="en-GB"/>
              </w:rPr>
            </w:pPr>
          </w:p>
          <w:p w14:paraId="698B6C33" w14:textId="77777777" w:rsidR="00A036BB" w:rsidRPr="00E0193B" w:rsidRDefault="00A036BB" w:rsidP="005E6576">
            <w:pPr>
              <w:spacing w:after="0" w:line="240" w:lineRule="auto"/>
              <w:rPr>
                <w:b/>
                <w:bCs/>
                <w:lang w:val="en-GB"/>
              </w:rPr>
            </w:pPr>
          </w:p>
          <w:p w14:paraId="24C2C682" w14:textId="77777777" w:rsidR="00A036BB" w:rsidRPr="00E0193B" w:rsidRDefault="00A036BB" w:rsidP="005E6576">
            <w:pPr>
              <w:spacing w:after="0" w:line="240" w:lineRule="auto"/>
              <w:rPr>
                <w:lang w:val="en-GB"/>
              </w:rPr>
            </w:pPr>
            <w:r w:rsidRPr="00E0193B">
              <w:rPr>
                <w:lang w:val="en-GB"/>
              </w:rPr>
              <w:t>Entry into operation of a new port pier (…)</w:t>
            </w:r>
          </w:p>
          <w:p w14:paraId="5F4624DE" w14:textId="77777777" w:rsidR="00A036BB" w:rsidRPr="00E0193B" w:rsidRDefault="00A036BB" w:rsidP="005E6576">
            <w:pPr>
              <w:spacing w:after="0" w:line="240" w:lineRule="auto"/>
              <w:rPr>
                <w:b/>
                <w:bCs/>
                <w:lang w:val="en-GB"/>
              </w:rPr>
            </w:pPr>
          </w:p>
        </w:tc>
        <w:tc>
          <w:tcPr>
            <w:tcW w:w="2013" w:type="pct"/>
          </w:tcPr>
          <w:p w14:paraId="210148F8" w14:textId="77777777" w:rsidR="00A036BB" w:rsidRPr="00E0193B" w:rsidRDefault="00A036BB" w:rsidP="005E6576">
            <w:pPr>
              <w:spacing w:after="0" w:line="240" w:lineRule="auto"/>
              <w:rPr>
                <w:lang w:val="en-GB"/>
              </w:rPr>
            </w:pPr>
            <w:r w:rsidRPr="00E0193B">
              <w:rPr>
                <w:lang w:val="en-GB"/>
              </w:rPr>
              <w:t>B37G Construction of an offshore installation terminal</w:t>
            </w:r>
          </w:p>
          <w:p w14:paraId="49591049" w14:textId="77777777" w:rsidR="00A036BB" w:rsidRPr="00E0193B" w:rsidRDefault="00A036BB" w:rsidP="005E6576">
            <w:pPr>
              <w:spacing w:after="120" w:line="240" w:lineRule="auto"/>
              <w:rPr>
                <w:lang w:val="en-GB"/>
              </w:rPr>
            </w:pPr>
            <w:r w:rsidRPr="00E0193B">
              <w:rPr>
                <w:lang w:val="en-GB"/>
              </w:rPr>
              <w:t>Description of each milestone and target:</w:t>
            </w:r>
          </w:p>
          <w:p w14:paraId="78D29137" w14:textId="77777777" w:rsidR="00A036BB" w:rsidRPr="00E0193B" w:rsidRDefault="00A036BB" w:rsidP="005E6576">
            <w:pPr>
              <w:spacing w:after="0" w:line="240" w:lineRule="auto"/>
              <w:rPr>
                <w:color w:val="FF0000"/>
                <w:lang w:val="en-GB"/>
              </w:rPr>
            </w:pPr>
            <w:r w:rsidRPr="00E0193B">
              <w:rPr>
                <w:strike/>
                <w:color w:val="FF0000"/>
                <w:lang w:val="en-GB"/>
              </w:rPr>
              <w:t>Entry into operation</w:t>
            </w:r>
            <w:r w:rsidRPr="00E0193B">
              <w:rPr>
                <w:color w:val="FF0000"/>
                <w:lang w:val="en-GB"/>
              </w:rPr>
              <w:t xml:space="preserve"> </w:t>
            </w:r>
            <w:r w:rsidRPr="00E0193B">
              <w:rPr>
                <w:rFonts w:eastAsia="Aptos"/>
                <w:lang w:val="en-US"/>
              </w:rPr>
              <w:t>Completion of construction works.</w:t>
            </w:r>
          </w:p>
          <w:p w14:paraId="4119DCDF" w14:textId="77777777" w:rsidR="00A036BB" w:rsidRPr="00E0193B" w:rsidRDefault="00A036BB" w:rsidP="005E6576">
            <w:pPr>
              <w:spacing w:after="0" w:line="240" w:lineRule="auto"/>
              <w:rPr>
                <w:strike/>
                <w:color w:val="FF0000"/>
                <w:lang w:val="en-GB"/>
              </w:rPr>
            </w:pPr>
          </w:p>
          <w:p w14:paraId="183B3473" w14:textId="77777777" w:rsidR="00A036BB" w:rsidRPr="00E0193B" w:rsidRDefault="00A036BB" w:rsidP="005E6576">
            <w:pPr>
              <w:spacing w:after="0" w:line="240" w:lineRule="auto"/>
            </w:pPr>
            <w:r w:rsidRPr="00E0193B">
              <w:rPr>
                <w:strike/>
                <w:color w:val="FF0000"/>
                <w:lang w:val="en-GB"/>
              </w:rPr>
              <w:t>Entry into operation of a new port pier</w:t>
            </w:r>
            <w:r w:rsidRPr="00E0193B">
              <w:rPr>
                <w:color w:val="FF0000"/>
                <w:lang w:val="en-GB"/>
              </w:rPr>
              <w:t xml:space="preserve">. </w:t>
            </w:r>
            <w:r w:rsidRPr="00E0193B">
              <w:rPr>
                <w:rFonts w:eastAsia="Aptos"/>
                <w:lang w:val="en-US"/>
              </w:rPr>
              <w:t xml:space="preserve"> Completion of construction works (…)</w:t>
            </w:r>
          </w:p>
          <w:p w14:paraId="3257E6A9" w14:textId="77777777" w:rsidR="00A036BB" w:rsidRPr="00E0193B" w:rsidRDefault="00A036BB" w:rsidP="005E6576">
            <w:pPr>
              <w:spacing w:after="0" w:line="240" w:lineRule="auto"/>
              <w:rPr>
                <w:b/>
                <w:bCs/>
                <w:lang w:val="en-GB"/>
              </w:rPr>
            </w:pPr>
          </w:p>
        </w:tc>
      </w:tr>
      <w:tr w:rsidR="00A036BB" w:rsidRPr="00E0193B" w14:paraId="427B2553" w14:textId="77777777" w:rsidTr="005E6576">
        <w:trPr>
          <w:trHeight w:val="756"/>
        </w:trPr>
        <w:tc>
          <w:tcPr>
            <w:tcW w:w="1082" w:type="pct"/>
            <w:vMerge/>
          </w:tcPr>
          <w:p w14:paraId="277C8998" w14:textId="77777777" w:rsidR="00A036BB" w:rsidRPr="00E0193B" w:rsidRDefault="00A036BB" w:rsidP="005E6576">
            <w:pPr>
              <w:spacing w:after="120" w:line="240" w:lineRule="auto"/>
              <w:rPr>
                <w:lang w:val="en-US"/>
              </w:rPr>
            </w:pPr>
          </w:p>
        </w:tc>
        <w:tc>
          <w:tcPr>
            <w:tcW w:w="1905" w:type="pct"/>
          </w:tcPr>
          <w:p w14:paraId="6FB74862" w14:textId="77777777" w:rsidR="00A036BB" w:rsidRPr="00E0193B" w:rsidRDefault="00A036BB" w:rsidP="005E6576">
            <w:pPr>
              <w:spacing w:after="120" w:line="240" w:lineRule="auto"/>
            </w:pPr>
            <w:r w:rsidRPr="00E0193B">
              <w:t xml:space="preserve">B38G </w:t>
            </w:r>
            <w:r w:rsidRPr="00E0193B">
              <w:rPr>
                <w:rStyle w:val="y2iqfc"/>
                <w:rFonts w:eastAsiaTheme="minorEastAsia"/>
              </w:rPr>
              <w:t>Budowa morskiego terminalu serwisowego w Łebie i Ustce.</w:t>
            </w:r>
          </w:p>
          <w:p w14:paraId="6560D255" w14:textId="77777777" w:rsidR="00A036BB" w:rsidRPr="00E0193B" w:rsidRDefault="00A036BB" w:rsidP="005E6576">
            <w:pPr>
              <w:spacing w:after="120" w:line="240" w:lineRule="auto"/>
            </w:pPr>
            <w:r w:rsidRPr="00E0193B">
              <w:t>Cel: 2</w:t>
            </w:r>
          </w:p>
          <w:p w14:paraId="4E71F519" w14:textId="77777777" w:rsidR="00A036BB" w:rsidRPr="00E0193B" w:rsidRDefault="00A036BB" w:rsidP="005E6576">
            <w:pPr>
              <w:pStyle w:val="Default"/>
              <w:rPr>
                <w:lang w:val="pl-PL"/>
              </w:rPr>
            </w:pPr>
            <w:r w:rsidRPr="00E0193B">
              <w:rPr>
                <w:lang w:val="pl-PL"/>
              </w:rPr>
              <w:t>Opis każdego kamienia milowego i każdej wartości docelowej:</w:t>
            </w:r>
          </w:p>
          <w:p w14:paraId="04D4A158" w14:textId="77777777" w:rsidR="00A036BB" w:rsidRPr="00E0193B" w:rsidRDefault="00A036BB" w:rsidP="005E6576">
            <w:pPr>
              <w:spacing w:after="120" w:line="240" w:lineRule="auto"/>
            </w:pPr>
            <w:r w:rsidRPr="00E0193B">
              <w:t>Zakończenie budowy dwóch morskich terminali serwisowych (w Ustce i Łebie).</w:t>
            </w:r>
          </w:p>
          <w:p w14:paraId="6C3E579A" w14:textId="77777777" w:rsidR="00A036BB" w:rsidRPr="00E0193B" w:rsidRDefault="00A036BB" w:rsidP="005E6576">
            <w:pPr>
              <w:spacing w:after="120" w:line="240" w:lineRule="auto"/>
            </w:pPr>
          </w:p>
          <w:p w14:paraId="2EB39659" w14:textId="77777777" w:rsidR="00A036BB" w:rsidRPr="00E0193B" w:rsidRDefault="00A036BB" w:rsidP="005E6576">
            <w:pPr>
              <w:spacing w:after="120" w:line="240" w:lineRule="auto"/>
              <w:rPr>
                <w:u w:val="single"/>
              </w:rPr>
            </w:pPr>
          </w:p>
        </w:tc>
        <w:tc>
          <w:tcPr>
            <w:tcW w:w="2013" w:type="pct"/>
          </w:tcPr>
          <w:p w14:paraId="3A9BA149" w14:textId="77777777" w:rsidR="00A036BB" w:rsidRPr="00E0193B" w:rsidRDefault="00A036BB" w:rsidP="005E6576">
            <w:pPr>
              <w:spacing w:after="120" w:line="240" w:lineRule="auto"/>
            </w:pPr>
            <w:r w:rsidRPr="00E0193B">
              <w:t xml:space="preserve">B38G </w:t>
            </w:r>
            <w:r w:rsidRPr="00E0193B">
              <w:rPr>
                <w:rStyle w:val="y2iqfc"/>
                <w:rFonts w:eastAsiaTheme="minorEastAsia"/>
              </w:rPr>
              <w:t xml:space="preserve">Budowa morskich terminali serwisowych w Łebie, Ustce </w:t>
            </w:r>
            <w:r w:rsidRPr="00E0193B">
              <w:rPr>
                <w:rStyle w:val="y2iqfc"/>
                <w:rFonts w:eastAsiaTheme="minorEastAsia"/>
                <w:color w:val="FF0000"/>
              </w:rPr>
              <w:t>i Darłowie.</w:t>
            </w:r>
          </w:p>
          <w:p w14:paraId="7F8735E6" w14:textId="77777777" w:rsidR="00A036BB" w:rsidRPr="00E0193B" w:rsidRDefault="00A036BB" w:rsidP="005E6576">
            <w:pPr>
              <w:spacing w:after="120" w:line="240" w:lineRule="auto"/>
              <w:rPr>
                <w:color w:val="FF0000"/>
              </w:rPr>
            </w:pPr>
            <w:r w:rsidRPr="00E0193B">
              <w:t xml:space="preserve">Cel: </w:t>
            </w:r>
            <w:r w:rsidRPr="00E0193B">
              <w:rPr>
                <w:color w:val="FF0000"/>
              </w:rPr>
              <w:t>3</w:t>
            </w:r>
          </w:p>
          <w:p w14:paraId="012BA43B" w14:textId="77777777" w:rsidR="00A036BB" w:rsidRPr="00E0193B" w:rsidRDefault="00A036BB" w:rsidP="005E6576">
            <w:pPr>
              <w:pStyle w:val="Default"/>
              <w:rPr>
                <w:lang w:val="pl-PL"/>
              </w:rPr>
            </w:pPr>
            <w:r w:rsidRPr="00E0193B">
              <w:rPr>
                <w:lang w:val="pl-PL"/>
              </w:rPr>
              <w:t>Opis każdego kamienia milowego i każdej wartości docelowej:</w:t>
            </w:r>
          </w:p>
          <w:p w14:paraId="02481FAA" w14:textId="77777777" w:rsidR="00A036BB" w:rsidRPr="00E0193B" w:rsidRDefault="00A036BB" w:rsidP="005E6576">
            <w:pPr>
              <w:spacing w:after="120" w:line="240" w:lineRule="auto"/>
              <w:rPr>
                <w:color w:val="FF0000"/>
              </w:rPr>
            </w:pPr>
            <w:r w:rsidRPr="00E0193B">
              <w:t xml:space="preserve">Zakończenie budowy </w:t>
            </w:r>
            <w:r w:rsidRPr="00E0193B">
              <w:rPr>
                <w:color w:val="FF0000"/>
              </w:rPr>
              <w:t>trzech</w:t>
            </w:r>
            <w:r w:rsidRPr="00E0193B">
              <w:t xml:space="preserve"> morskich terminali serwisowych w Łebie, Ustce </w:t>
            </w:r>
            <w:r w:rsidRPr="00E0193B">
              <w:rPr>
                <w:color w:val="FF0000"/>
              </w:rPr>
              <w:t>i Darłowie.(…)</w:t>
            </w:r>
          </w:p>
          <w:p w14:paraId="23F36107" w14:textId="77777777" w:rsidR="00A036BB" w:rsidRPr="00E0193B" w:rsidRDefault="00A036BB" w:rsidP="005E6576">
            <w:pPr>
              <w:spacing w:after="120" w:line="240" w:lineRule="auto"/>
              <w:rPr>
                <w:color w:val="FF0000"/>
              </w:rPr>
            </w:pPr>
            <w:r w:rsidRPr="00E0193B">
              <w:rPr>
                <w:color w:val="FF0000"/>
              </w:rPr>
              <w:t>(…)</w:t>
            </w:r>
          </w:p>
          <w:p w14:paraId="4ADE0538" w14:textId="77777777" w:rsidR="00A036BB" w:rsidRPr="00E0193B" w:rsidRDefault="00A036BB" w:rsidP="005E6576">
            <w:pPr>
              <w:pStyle w:val="HTML-wstpniesformatowany"/>
              <w:rPr>
                <w:rFonts w:ascii="Times New Roman" w:hAnsi="Times New Roman" w:cs="Times New Roman"/>
                <w:sz w:val="24"/>
                <w:szCs w:val="24"/>
                <w:u w:val="single"/>
              </w:rPr>
            </w:pPr>
            <w:r w:rsidRPr="00E0193B">
              <w:rPr>
                <w:rStyle w:val="y2iqfc"/>
                <w:rFonts w:ascii="Times New Roman" w:eastAsiaTheme="minorEastAsia" w:hAnsi="Times New Roman" w:cs="Times New Roman"/>
                <w:color w:val="FF0000"/>
                <w:sz w:val="24"/>
                <w:szCs w:val="24"/>
              </w:rPr>
              <w:t>Inwestycja w Darłowie będzie polegać na przebudowie falochronu, budowie ostrogi i renowacji nabrzeży.</w:t>
            </w:r>
          </w:p>
        </w:tc>
      </w:tr>
      <w:tr w:rsidR="00A036BB" w:rsidRPr="00935797" w14:paraId="58ACB680" w14:textId="77777777" w:rsidTr="005E6576">
        <w:trPr>
          <w:trHeight w:val="756"/>
        </w:trPr>
        <w:tc>
          <w:tcPr>
            <w:tcW w:w="1082" w:type="pct"/>
            <w:vMerge/>
          </w:tcPr>
          <w:p w14:paraId="0953B992" w14:textId="77777777" w:rsidR="00A036BB" w:rsidRPr="00E0193B" w:rsidRDefault="00A036BB" w:rsidP="005E6576">
            <w:pPr>
              <w:spacing w:after="120" w:line="240" w:lineRule="auto"/>
            </w:pPr>
          </w:p>
        </w:tc>
        <w:tc>
          <w:tcPr>
            <w:tcW w:w="1905" w:type="pct"/>
          </w:tcPr>
          <w:p w14:paraId="6C02D666" w14:textId="77777777" w:rsidR="00A036BB" w:rsidRPr="00E0193B" w:rsidRDefault="00A036BB" w:rsidP="005E6576">
            <w:pPr>
              <w:spacing w:after="120" w:line="240" w:lineRule="auto"/>
              <w:rPr>
                <w:lang w:val="en-GB"/>
              </w:rPr>
            </w:pPr>
            <w:r w:rsidRPr="00E0193B">
              <w:rPr>
                <w:lang w:val="en-GB"/>
              </w:rPr>
              <w:t xml:space="preserve">B38G </w:t>
            </w:r>
            <w:r w:rsidRPr="00E0193B">
              <w:rPr>
                <w:lang w:val="en-US"/>
              </w:rPr>
              <w:t xml:space="preserve">Construction of an offshore service terminal in Łeba and Ustka </w:t>
            </w:r>
          </w:p>
          <w:p w14:paraId="43E80862" w14:textId="77777777" w:rsidR="00A036BB" w:rsidRPr="00E0193B" w:rsidRDefault="00A036BB" w:rsidP="005E6576">
            <w:pPr>
              <w:spacing w:after="120" w:line="240" w:lineRule="auto"/>
              <w:rPr>
                <w:lang w:val="en-GB"/>
              </w:rPr>
            </w:pPr>
            <w:r w:rsidRPr="00E0193B">
              <w:rPr>
                <w:lang w:val="en-GB"/>
              </w:rPr>
              <w:t>Goal: 2</w:t>
            </w:r>
          </w:p>
          <w:p w14:paraId="37965EDC" w14:textId="77777777" w:rsidR="00A036BB" w:rsidRPr="00E0193B" w:rsidRDefault="00A036BB" w:rsidP="005E6576">
            <w:pPr>
              <w:spacing w:after="120" w:line="240" w:lineRule="auto"/>
              <w:rPr>
                <w:lang w:val="en-GB"/>
              </w:rPr>
            </w:pPr>
            <w:r w:rsidRPr="00E0193B">
              <w:rPr>
                <w:lang w:val="en-GB"/>
              </w:rPr>
              <w:t>Description of each milestone and target:</w:t>
            </w:r>
          </w:p>
          <w:p w14:paraId="1EC1EDCC" w14:textId="77777777" w:rsidR="00A036BB" w:rsidRPr="00E0193B" w:rsidRDefault="00A036BB" w:rsidP="005E6576">
            <w:pPr>
              <w:spacing w:after="120" w:line="240" w:lineRule="auto"/>
              <w:rPr>
                <w:lang w:val="en-GB"/>
              </w:rPr>
            </w:pPr>
            <w:r w:rsidRPr="00E0193B">
              <w:rPr>
                <w:lang w:val="en-GB"/>
              </w:rPr>
              <w:t xml:space="preserve">Completion of the construction of two offshore service terminals (Ustka and Łeba). </w:t>
            </w:r>
          </w:p>
          <w:p w14:paraId="10CC76B7" w14:textId="77777777" w:rsidR="00A036BB" w:rsidRPr="00E0193B" w:rsidRDefault="00A036BB" w:rsidP="005E6576">
            <w:pPr>
              <w:spacing w:after="120" w:line="240" w:lineRule="auto"/>
              <w:rPr>
                <w:lang w:val="en-GB"/>
              </w:rPr>
            </w:pPr>
          </w:p>
        </w:tc>
        <w:tc>
          <w:tcPr>
            <w:tcW w:w="2013" w:type="pct"/>
          </w:tcPr>
          <w:p w14:paraId="0EF30886" w14:textId="77777777" w:rsidR="00A036BB" w:rsidRPr="00E0193B" w:rsidRDefault="00A036BB" w:rsidP="005E6576">
            <w:pPr>
              <w:spacing w:after="120" w:line="240" w:lineRule="auto"/>
              <w:rPr>
                <w:lang w:val="en-GB"/>
              </w:rPr>
            </w:pPr>
            <w:r w:rsidRPr="00E0193B">
              <w:rPr>
                <w:lang w:val="en-GB"/>
              </w:rPr>
              <w:t xml:space="preserve">B38G </w:t>
            </w:r>
            <w:r w:rsidRPr="00E0193B">
              <w:rPr>
                <w:lang w:val="en-US"/>
              </w:rPr>
              <w:t xml:space="preserve">Construction of an offshore service terminal in Łeba, </w:t>
            </w:r>
            <w:r w:rsidRPr="00E0193B">
              <w:rPr>
                <w:strike/>
                <w:color w:val="FF0000"/>
                <w:lang w:val="en-US"/>
              </w:rPr>
              <w:t>and</w:t>
            </w:r>
            <w:r w:rsidRPr="00E0193B">
              <w:rPr>
                <w:lang w:val="en-US"/>
              </w:rPr>
              <w:t xml:space="preserve"> Ustka </w:t>
            </w:r>
            <w:r w:rsidRPr="00E0193B">
              <w:rPr>
                <w:color w:val="FF0000"/>
                <w:lang w:val="en-US"/>
              </w:rPr>
              <w:t>and Darłowo</w:t>
            </w:r>
          </w:p>
          <w:p w14:paraId="1C9ABF71" w14:textId="77777777" w:rsidR="00A036BB" w:rsidRPr="00E0193B" w:rsidRDefault="00A036BB" w:rsidP="005E6576">
            <w:pPr>
              <w:spacing w:after="120" w:line="240" w:lineRule="auto"/>
              <w:rPr>
                <w:color w:val="FF0000"/>
                <w:lang w:val="en-GB"/>
              </w:rPr>
            </w:pPr>
            <w:r w:rsidRPr="00E0193B">
              <w:rPr>
                <w:lang w:val="en-GB"/>
              </w:rPr>
              <w:t>Goal:</w:t>
            </w:r>
            <w:r w:rsidRPr="00E0193B">
              <w:rPr>
                <w:color w:val="FF0000"/>
                <w:lang w:val="en-GB"/>
              </w:rPr>
              <w:t xml:space="preserve"> 3</w:t>
            </w:r>
          </w:p>
          <w:p w14:paraId="77AF25D1" w14:textId="77777777" w:rsidR="00A036BB" w:rsidRPr="00E0193B" w:rsidRDefault="00A036BB" w:rsidP="005E6576">
            <w:pPr>
              <w:spacing w:after="120" w:line="240" w:lineRule="auto"/>
              <w:rPr>
                <w:lang w:val="en-GB"/>
              </w:rPr>
            </w:pPr>
            <w:r w:rsidRPr="00E0193B">
              <w:rPr>
                <w:lang w:val="en-GB"/>
              </w:rPr>
              <w:t>Description of each milestone and target:</w:t>
            </w:r>
          </w:p>
          <w:p w14:paraId="154AC5FA" w14:textId="77777777" w:rsidR="00A036BB" w:rsidRPr="00E0193B" w:rsidRDefault="00A036BB" w:rsidP="005E6576">
            <w:pPr>
              <w:spacing w:after="120" w:line="240" w:lineRule="auto"/>
              <w:rPr>
                <w:color w:val="FF0000"/>
                <w:lang w:val="en-GB"/>
              </w:rPr>
            </w:pPr>
            <w:r w:rsidRPr="00E0193B">
              <w:rPr>
                <w:lang w:val="en-GB"/>
              </w:rPr>
              <w:t xml:space="preserve">Completion of the construction of </w:t>
            </w:r>
            <w:r w:rsidRPr="00E0193B">
              <w:rPr>
                <w:color w:val="FF0000"/>
                <w:lang w:val="en-GB"/>
              </w:rPr>
              <w:t xml:space="preserve">three </w:t>
            </w:r>
            <w:r w:rsidRPr="00E0193B">
              <w:rPr>
                <w:lang w:val="en-GB"/>
              </w:rPr>
              <w:t xml:space="preserve">offshore service terminals (Ustka, </w:t>
            </w:r>
            <w:r w:rsidRPr="00E0193B">
              <w:rPr>
                <w:color w:val="FF0000"/>
                <w:lang w:val="en-GB"/>
              </w:rPr>
              <w:t>Łeba and Darłowo).(…)</w:t>
            </w:r>
          </w:p>
          <w:p w14:paraId="7099D5D1" w14:textId="77777777" w:rsidR="00A036BB" w:rsidRPr="00E0193B" w:rsidRDefault="00A036BB" w:rsidP="005E6576">
            <w:pPr>
              <w:spacing w:after="120" w:line="240" w:lineRule="auto"/>
              <w:rPr>
                <w:lang w:val="en-GB"/>
              </w:rPr>
            </w:pPr>
            <w:r w:rsidRPr="00E0193B">
              <w:rPr>
                <w:color w:val="FF0000"/>
                <w:lang w:val="en-GB"/>
              </w:rPr>
              <w:t>(…)The investment in Darłowo shall consist in  the reconstruction of the breakwater, the construction of a groyne and adapting of the quays.</w:t>
            </w:r>
          </w:p>
        </w:tc>
      </w:tr>
      <w:tr w:rsidR="00A036BB" w:rsidRPr="00E0193B" w14:paraId="2F04C2D6" w14:textId="77777777" w:rsidTr="005E6576">
        <w:tc>
          <w:tcPr>
            <w:tcW w:w="1082" w:type="pct"/>
          </w:tcPr>
          <w:p w14:paraId="74E224D6" w14:textId="77777777" w:rsidR="00A036BB" w:rsidRPr="00E0193B" w:rsidRDefault="00A036BB" w:rsidP="005E6576">
            <w:pPr>
              <w:spacing w:after="120" w:line="240" w:lineRule="auto"/>
            </w:pPr>
            <w:r w:rsidRPr="00E0193B">
              <w:t xml:space="preserve">Uzasadnienie </w:t>
            </w:r>
          </w:p>
        </w:tc>
        <w:tc>
          <w:tcPr>
            <w:tcW w:w="3918" w:type="pct"/>
            <w:gridSpan w:val="2"/>
            <w:vMerge w:val="restart"/>
          </w:tcPr>
          <w:p w14:paraId="22AC2BDE" w14:textId="77777777" w:rsidR="00A036BB" w:rsidRPr="00E0193B" w:rsidRDefault="00A036BB" w:rsidP="005E6576">
            <w:pPr>
              <w:spacing w:after="0"/>
              <w:rPr>
                <w:b/>
                <w:bCs/>
              </w:rPr>
            </w:pPr>
            <w:r w:rsidRPr="00E0193B">
              <w:rPr>
                <w:b/>
                <w:bCs/>
              </w:rPr>
              <w:t>B37G</w:t>
            </w:r>
          </w:p>
          <w:p w14:paraId="421B9C85" w14:textId="77777777" w:rsidR="00A036BB" w:rsidRPr="00E0193B" w:rsidRDefault="00A036BB" w:rsidP="005E6576">
            <w:pPr>
              <w:spacing w:after="0"/>
            </w:pPr>
            <w:r w:rsidRPr="00E0193B">
              <w:rPr>
                <w:bCs/>
              </w:rPr>
              <w:t>Istrana pełniąca rolę ostatecznego odbiorcy wsparcia (OOW) wskazuje</w:t>
            </w:r>
            <w:r w:rsidRPr="00E0193B">
              <w:t xml:space="preserve">, iż harmonogram prac jest dość napięty biorąc pod uwagę konieczność uzyskania szeregu decyzji administracyjnych jak również sam poziom skomplikowania technicznego budowanej infrastruktury. </w:t>
            </w:r>
          </w:p>
          <w:p w14:paraId="38506EFC" w14:textId="77777777" w:rsidR="00A036BB" w:rsidRPr="00E0193B" w:rsidRDefault="00A036BB" w:rsidP="005E6576">
            <w:pPr>
              <w:spacing w:after="0"/>
              <w:rPr>
                <w:color w:val="000000" w:themeColor="text1"/>
              </w:rPr>
            </w:pPr>
            <w:r w:rsidRPr="00E0193B">
              <w:rPr>
                <w:color w:val="000000" w:themeColor="text1"/>
              </w:rPr>
              <w:t xml:space="preserve">Należy podkreślić, iż w projekcie występuje pomoc publiczna, która wymaga zgłoszenia do KE. Procedura zgłoszenia została zainicjowana jako proces prenotyfikacji w lutym 2023 r. poprzez przygotowanie i uzgodnienie z JW. - CUPT wniosku o dokonanie prenotyfikacji projektu pomocy. Pomoc zgłoszona w ramach tej procedury została określona jako pomoc indywidualna, a przeznaczenie pomocy to rozwój sektorowy. Przygotowany z początkiem roku 2023 wniosek prenotyfikacyjny, po uzgodnieniach krajowych został przekazany do KE.  Z dniem 31 marca 2023 r.  -  Komisja zarejestrowała  sprawę pod numerem SA.106975 - </w:t>
            </w:r>
            <w:r w:rsidRPr="00E0193B">
              <w:rPr>
                <w:i/>
                <w:iCs/>
                <w:color w:val="000000" w:themeColor="text1"/>
              </w:rPr>
              <w:t>State Aid for the construction of the terminal in the Port of Gdańsk by Istrana Sp. z o.o</w:t>
            </w:r>
            <w:r w:rsidRPr="00E0193B">
              <w:rPr>
                <w:color w:val="000000" w:themeColor="text1"/>
              </w:rPr>
              <w:t xml:space="preserve"> . Mając na uwadze przyśpieszenie procedowania przez KE, w dniu 10 maja 2023 r zostało zorganizowane spotkanie z KE w celu przeprowadzenia  dialogu roboczego, w trakcie którego Komisja zwróciła się o wyjaśnienie szeregu kwestii. Wyjaśnienia wraz ze zmodyfikowanym wnioskiem o udzielenie pomocy zostały przekazane do KE we wrześniu 2023 r.  W grudniu 2023 r. KE przesłała dodatkowe pytania, na które odpowiedź strony polskiej została przekazana w dniu 14 lutego 2024 r. </w:t>
            </w:r>
            <w:bookmarkStart w:id="32" w:name="_Hlk164847624"/>
            <w:r w:rsidRPr="00E0193B">
              <w:rPr>
                <w:color w:val="000000" w:themeColor="text1"/>
              </w:rPr>
              <w:t>W dniu 19.04.2024 r. MI przekazało wniosek notyfikacyjny do UOKIK celem przekazania do KE.</w:t>
            </w:r>
          </w:p>
          <w:p w14:paraId="00BE9D21" w14:textId="77777777" w:rsidR="00A036BB" w:rsidRPr="00E0193B" w:rsidRDefault="00A036BB" w:rsidP="005E6576">
            <w:pPr>
              <w:spacing w:after="0"/>
              <w:rPr>
                <w:color w:val="000000" w:themeColor="text1"/>
              </w:rPr>
            </w:pPr>
          </w:p>
          <w:p w14:paraId="2B9EBDD3" w14:textId="3AFFD14C" w:rsidR="00A036BB" w:rsidRPr="00E0193B" w:rsidRDefault="00A036BB" w:rsidP="005E6576">
            <w:pPr>
              <w:spacing w:after="0"/>
            </w:pPr>
            <w:r w:rsidRPr="00E0193B">
              <w:t xml:space="preserve">W obecnie obowiązującej Decyzji Implementacyjnej z </w:t>
            </w:r>
            <w:r w:rsidR="00DD3979">
              <w:t>8 grudnia</w:t>
            </w:r>
            <w:r w:rsidRPr="00E0193B">
              <w:t xml:space="preserve"> 2023 r. określony został wskaźnik „Entry into operation” w terminie do końca II kwartału 2026 roku. Strona polska proponuje zmianę brzmienia wskaźnika dla B37G na „</w:t>
            </w:r>
            <w:r w:rsidRPr="00E0193B">
              <w:rPr>
                <w:rFonts w:eastAsia="Aptos"/>
              </w:rPr>
              <w:t>Completion of construction works.</w:t>
            </w:r>
            <w:r w:rsidRPr="00E0193B">
              <w:t>”, tj. zakończenie prac budowlanych w terminie do 3</w:t>
            </w:r>
            <w:r w:rsidR="00E0193B">
              <w:t>1 sierpnia</w:t>
            </w:r>
            <w:r w:rsidRPr="00E0193B">
              <w:t xml:space="preserve"> 2026 r.</w:t>
            </w:r>
          </w:p>
          <w:bookmarkEnd w:id="32"/>
          <w:p w14:paraId="08653A66" w14:textId="77777777" w:rsidR="00A036BB" w:rsidRPr="00E0193B" w:rsidRDefault="00A036BB" w:rsidP="005E6576">
            <w:pPr>
              <w:spacing w:after="0"/>
            </w:pPr>
          </w:p>
          <w:p w14:paraId="2E7E11A4" w14:textId="77777777" w:rsidR="00A036BB" w:rsidRPr="00A501D9" w:rsidRDefault="00A036BB" w:rsidP="005E6576">
            <w:pPr>
              <w:spacing w:after="0"/>
            </w:pPr>
            <w:r w:rsidRPr="00A501D9">
              <w:t>Wyjaśnienia w zakresie harmonogramu B37G Budowa terminalu instalacyjnego</w:t>
            </w:r>
          </w:p>
          <w:p w14:paraId="357793B6" w14:textId="77777777" w:rsidR="00A036BB" w:rsidRPr="00E0193B" w:rsidRDefault="00A036BB" w:rsidP="005E6576">
            <w:pPr>
              <w:spacing w:after="0"/>
            </w:pPr>
            <w:r w:rsidRPr="00E0193B">
              <w:t xml:space="preserve">W odpowiedzi na ogłoszony przez Centrum Unijnych Projektów Transportowych nabór wniosków do działania B.2.2.3 KPO na budowę terminalu instalacyjnego offshore wind wniosek złożyła spółka Istrana Sp.z o.o., spółka celowa utworzona przez Baltic Hub oraz Polski Fundusz Rozwoju S.A. Należy podkreślić, że spółka Baltic Hub ma duże doświadczenie w budowie </w:t>
            </w:r>
            <w:r w:rsidRPr="00E0193B">
              <w:lastRenderedPageBreak/>
              <w:t xml:space="preserve">terminali portowych, z uwzględnieniem zalądowienia terenów morskich na potrzeby operacji przeładunkowych. </w:t>
            </w:r>
          </w:p>
          <w:p w14:paraId="476A881E" w14:textId="77777777" w:rsidR="00A036BB" w:rsidRPr="00E0193B" w:rsidRDefault="00A036BB" w:rsidP="005E6576">
            <w:pPr>
              <w:spacing w:after="0"/>
            </w:pPr>
            <w:r w:rsidRPr="00E0193B">
              <w:t xml:space="preserve">Jak podkreśla Istrana w pracach nad terminalem instalacyjnym korzysta z doświadczeń Baltic Hub (BHCT) z wcześniejszych inwestycji oraz aktualnie prowadzonej inwestycji dotyczącej terminala kontenerowego T3. </w:t>
            </w:r>
          </w:p>
          <w:p w14:paraId="5CF4C4B5" w14:textId="77777777" w:rsidR="00A036BB" w:rsidRPr="00E0193B" w:rsidRDefault="00A036BB" w:rsidP="005E6576">
            <w:pPr>
              <w:spacing w:after="0"/>
            </w:pPr>
            <w:r w:rsidRPr="00E0193B">
              <w:t>Do realizacji projektu zatrudniono dedykowany zespół. Realizacja inwestycji oparta jest o posiadaną przez BHCT decyzję o środowiskowych uwarunkowaniach i przy założeniu maksymalnej optymalizacji czasu realizacji, równoległe procedowanie pozwolenia na budowę, przygotowania przetargu i wyłonienia Generalnego Wykonawcy, przygotowania przetargu i wyłonienia Inżyniera Kontraktu oraz procedury pozyskania prawa do dysponowania nieruchomością na cele budowlane.</w:t>
            </w:r>
          </w:p>
          <w:p w14:paraId="352B3D7B" w14:textId="77777777" w:rsidR="00A036BB" w:rsidRPr="00E0193B" w:rsidRDefault="00A036BB" w:rsidP="005E6576">
            <w:pPr>
              <w:spacing w:after="0"/>
            </w:pPr>
          </w:p>
          <w:p w14:paraId="56E25679" w14:textId="77777777" w:rsidR="00A036BB" w:rsidRPr="00E0193B" w:rsidRDefault="00A036BB" w:rsidP="005E6576">
            <w:pPr>
              <w:spacing w:after="0"/>
            </w:pPr>
            <w:r w:rsidRPr="00E0193B">
              <w:t>Istrana przedstawia następujący harmonogram realizacji:</w:t>
            </w:r>
          </w:p>
          <w:p w14:paraId="441C420A" w14:textId="77777777" w:rsidR="00A036BB" w:rsidRPr="00E0193B" w:rsidRDefault="00A036BB" w:rsidP="005E6576">
            <w:pPr>
              <w:spacing w:after="0"/>
            </w:pPr>
            <w:r w:rsidRPr="00E0193B">
              <w:t>Wybór Generalnego Wykonawcy robót -  II kwartał 2024 r.</w:t>
            </w:r>
          </w:p>
          <w:p w14:paraId="0B1E4A8F" w14:textId="77777777" w:rsidR="00A036BB" w:rsidRPr="00E0193B" w:rsidRDefault="00A036BB" w:rsidP="005E6576">
            <w:pPr>
              <w:spacing w:after="0"/>
            </w:pPr>
            <w:r w:rsidRPr="00E0193B">
              <w:t>Rozpoczęcie robót budowlanych – początek III kwartału 2024 r.</w:t>
            </w:r>
          </w:p>
          <w:p w14:paraId="241F0A05" w14:textId="77777777" w:rsidR="00A036BB" w:rsidRPr="00E0193B" w:rsidRDefault="00A036BB" w:rsidP="005E6576">
            <w:pPr>
              <w:spacing w:after="0"/>
            </w:pPr>
            <w:r w:rsidRPr="00E0193B">
              <w:t xml:space="preserve">Zakończenie prac budowlanych  III kwartału 2026 r. </w:t>
            </w:r>
          </w:p>
          <w:p w14:paraId="55D032E3" w14:textId="77777777" w:rsidR="00A036BB" w:rsidRPr="00E0193B" w:rsidRDefault="00A036BB" w:rsidP="005E6576">
            <w:pPr>
              <w:spacing w:after="0"/>
            </w:pPr>
            <w:r w:rsidRPr="00E0193B">
              <w:t xml:space="preserve">Kluczowe jest uzyskanie decyzji w sprawie pomocy publicznej do lipca 2024 r. </w:t>
            </w:r>
          </w:p>
          <w:p w14:paraId="0880569E" w14:textId="77777777" w:rsidR="00A036BB" w:rsidRPr="00E0193B" w:rsidRDefault="00A036BB" w:rsidP="005E6576">
            <w:pPr>
              <w:pStyle w:val="Normal0"/>
              <w:spacing w:after="120" w:line="240" w:lineRule="auto"/>
              <w:jc w:val="both"/>
              <w:rPr>
                <w:rFonts w:ascii="Times New Roman" w:hAnsi="Times New Roman" w:cs="Times New Roman"/>
                <w:noProof/>
                <w:color w:val="000000" w:themeColor="text1"/>
                <w:sz w:val="24"/>
                <w:szCs w:val="24"/>
                <w:lang w:val="pl-PL"/>
              </w:rPr>
            </w:pPr>
          </w:p>
          <w:p w14:paraId="3E87AC49" w14:textId="77777777" w:rsidR="00A036BB" w:rsidRPr="00A501D9" w:rsidRDefault="00A036BB" w:rsidP="005E6576">
            <w:pPr>
              <w:pStyle w:val="Normal0"/>
              <w:spacing w:after="120" w:line="240" w:lineRule="auto"/>
              <w:jc w:val="both"/>
              <w:rPr>
                <w:rFonts w:ascii="Times New Roman" w:hAnsi="Times New Roman" w:cs="Times New Roman"/>
                <w:noProof/>
                <w:color w:val="000000" w:themeColor="text1"/>
                <w:sz w:val="24"/>
                <w:szCs w:val="24"/>
                <w:lang w:val="pl-PL"/>
              </w:rPr>
            </w:pPr>
            <w:r w:rsidRPr="00A501D9">
              <w:rPr>
                <w:rFonts w:ascii="Times New Roman" w:hAnsi="Times New Roman" w:cs="Times New Roman"/>
                <w:noProof/>
                <w:color w:val="000000" w:themeColor="text1"/>
                <w:sz w:val="24"/>
                <w:szCs w:val="24"/>
                <w:lang w:val="pl-PL"/>
              </w:rPr>
              <w:t>B38G</w:t>
            </w:r>
          </w:p>
          <w:p w14:paraId="75E951E5" w14:textId="77777777" w:rsidR="00A036BB" w:rsidRPr="00E0193B" w:rsidRDefault="00A036BB" w:rsidP="005E6576">
            <w:pPr>
              <w:pStyle w:val="Normal0"/>
              <w:spacing w:after="120" w:line="240" w:lineRule="auto"/>
              <w:jc w:val="both"/>
              <w:rPr>
                <w:rFonts w:ascii="Times New Roman" w:hAnsi="Times New Roman" w:cs="Times New Roman"/>
                <w:color w:val="000000" w:themeColor="text1"/>
                <w:sz w:val="24"/>
                <w:szCs w:val="24"/>
                <w:lang w:val="pl-PL"/>
              </w:rPr>
            </w:pPr>
            <w:r w:rsidRPr="00E0193B">
              <w:rPr>
                <w:rFonts w:ascii="Times New Roman" w:hAnsi="Times New Roman" w:cs="Times New Roman"/>
                <w:noProof/>
                <w:color w:val="000000" w:themeColor="text1"/>
                <w:sz w:val="24"/>
                <w:szCs w:val="24"/>
                <w:lang w:val="pl-PL"/>
              </w:rPr>
              <w:t>Strona polska  wnosi o poszerzenie zakresue inwestycji B</w:t>
            </w:r>
            <w:r w:rsidRPr="00E0193B">
              <w:rPr>
                <w:rFonts w:ascii="Times New Roman" w:hAnsi="Times New Roman" w:cs="Times New Roman"/>
                <w:i/>
                <w:noProof/>
                <w:color w:val="000000" w:themeColor="text1"/>
                <w:sz w:val="24"/>
                <w:szCs w:val="24"/>
                <w:lang w:val="pl-PL"/>
              </w:rPr>
              <w:t>.2.2.3 Budowa infrastruktury terminalowej offshore</w:t>
            </w:r>
            <w:r w:rsidRPr="00E0193B">
              <w:rPr>
                <w:rFonts w:ascii="Times New Roman" w:hAnsi="Times New Roman" w:cs="Times New Roman"/>
                <w:noProof/>
                <w:color w:val="000000" w:themeColor="text1"/>
                <w:sz w:val="24"/>
                <w:szCs w:val="24"/>
                <w:lang w:val="pl-PL"/>
              </w:rPr>
              <w:t xml:space="preserve"> o przedsięwzięcie pn „</w:t>
            </w:r>
            <w:r w:rsidRPr="00E0193B">
              <w:rPr>
                <w:rFonts w:ascii="Times New Roman" w:hAnsi="Times New Roman" w:cs="Times New Roman"/>
                <w:color w:val="000000" w:themeColor="text1"/>
                <w:sz w:val="24"/>
                <w:szCs w:val="24"/>
                <w:lang w:val="pl-PL"/>
              </w:rPr>
              <w:t xml:space="preserve">Przebudowa falochronów w Porcie Darłowo wraz z poprawą warunków falowania wewnątrz basenu poprzez budowę nowych obiektów hydrotechnicznych”. </w:t>
            </w:r>
          </w:p>
          <w:p w14:paraId="12F7B52E" w14:textId="77777777" w:rsidR="00A036BB" w:rsidRPr="00E0193B" w:rsidRDefault="00A036BB" w:rsidP="005E6576">
            <w:pPr>
              <w:pStyle w:val="Normal0"/>
              <w:spacing w:after="120" w:line="240" w:lineRule="auto"/>
              <w:jc w:val="both"/>
              <w:rPr>
                <w:rFonts w:ascii="Times New Roman" w:hAnsi="Times New Roman" w:cs="Times New Roman"/>
                <w:color w:val="000000" w:themeColor="text1"/>
                <w:sz w:val="24"/>
                <w:szCs w:val="24"/>
                <w:lang w:val="pl-PL"/>
              </w:rPr>
            </w:pPr>
            <w:r w:rsidRPr="00E0193B">
              <w:rPr>
                <w:rFonts w:ascii="Times New Roman" w:hAnsi="Times New Roman" w:cs="Times New Roman"/>
                <w:color w:val="000000" w:themeColor="text1"/>
                <w:sz w:val="24"/>
                <w:szCs w:val="24"/>
                <w:lang w:val="pl-PL"/>
              </w:rPr>
              <w:t>Planowane przedsięwzięcie polegać będzie na przebudowie Falochronu Zachodniego w Darłowie. Falochron Zachodni o szerokości nadbudowy od 17,00 do 18,00 m i łącznej długości całkowitej 356,45 m.b. Rzędna korony oczepu +2,35 m n.p.m. Konstrukcję falochronu stanowić będzie grodza wykonana ze ścianki szczelnej zwieńczona żelbetową nadbudową zabezpieczoną od strony odmorskiej narzutem kamiennym.</w:t>
            </w:r>
          </w:p>
          <w:p w14:paraId="43EE6A45" w14:textId="77777777" w:rsidR="00A036BB" w:rsidRPr="00E0193B" w:rsidRDefault="00A036BB" w:rsidP="005E6576">
            <w:pPr>
              <w:pStyle w:val="Normal0"/>
              <w:spacing w:after="120" w:line="240" w:lineRule="auto"/>
              <w:jc w:val="both"/>
              <w:rPr>
                <w:rFonts w:ascii="Times New Roman" w:hAnsi="Times New Roman" w:cs="Times New Roman"/>
                <w:color w:val="000000" w:themeColor="text1"/>
                <w:sz w:val="24"/>
                <w:szCs w:val="24"/>
                <w:lang w:val="pl-PL"/>
              </w:rPr>
            </w:pPr>
            <w:r w:rsidRPr="00E0193B">
              <w:rPr>
                <w:rFonts w:ascii="Times New Roman" w:hAnsi="Times New Roman" w:cs="Times New Roman"/>
                <w:color w:val="000000" w:themeColor="text1"/>
                <w:sz w:val="24"/>
                <w:szCs w:val="24"/>
                <w:lang w:val="pl-PL"/>
              </w:rPr>
              <w:t>W ramach zadania planowana jest również  budowa ostrogi zabezpieczającej przed falowaniem w porcie Darłowo. Inwestycja ma na celu zabezpieczenie istniejących nabrzeży, celem zwiększenia bezpieczeństwa oraz poprawy ich funkcjonowania. Ostroga o szerokości nadbudowy 8,30 m i łącznej długości całkowitej 100 m.b. Rzędna korony oczepu +2,35 m n.p.m. Konstrukcję stanowić będzie grodza wykonana ze ścianki szczelnej zwieńczona żelbetową nadbudową zabezpieczoną od strony północnej narzutem kamiennym.</w:t>
            </w:r>
          </w:p>
          <w:p w14:paraId="2C6FBAA0" w14:textId="77777777" w:rsidR="00A036BB" w:rsidRPr="00E0193B" w:rsidRDefault="00A036BB" w:rsidP="005E6576">
            <w:pPr>
              <w:pStyle w:val="Normal0"/>
              <w:spacing w:after="120" w:line="240" w:lineRule="auto"/>
              <w:jc w:val="both"/>
              <w:rPr>
                <w:rFonts w:ascii="Times New Roman" w:hAnsi="Times New Roman" w:cs="Times New Roman"/>
                <w:bCs/>
                <w:color w:val="000000" w:themeColor="text1"/>
                <w:sz w:val="24"/>
                <w:szCs w:val="24"/>
                <w:lang w:val="pl-PL"/>
              </w:rPr>
            </w:pPr>
            <w:r w:rsidRPr="00E0193B">
              <w:rPr>
                <w:rFonts w:ascii="Times New Roman" w:hAnsi="Times New Roman" w:cs="Times New Roman"/>
                <w:color w:val="000000" w:themeColor="text1"/>
                <w:sz w:val="24"/>
                <w:szCs w:val="24"/>
                <w:lang w:val="pl-PL"/>
              </w:rPr>
              <w:t>Należy podkreślić, że inwestycja ma znaczny stopień przygotowania do realizacji. Do początku lutego 2024 r. w</w:t>
            </w:r>
            <w:r w:rsidRPr="00E0193B">
              <w:rPr>
                <w:rFonts w:ascii="Times New Roman" w:hAnsi="Times New Roman" w:cs="Times New Roman"/>
                <w:bCs/>
                <w:color w:val="000000" w:themeColor="text1"/>
                <w:sz w:val="24"/>
                <w:szCs w:val="24"/>
                <w:lang w:val="pl-PL"/>
              </w:rPr>
              <w:t xml:space="preserve">ykonano: projekt koncepcji przebudowy falochronów wraz z nową ostrogą; projekt robót geologicznych dla trzech obiektów hydrotechnicznych wraz z decyzjami zatwierdzającymi;  zatwierdzono analizę nawigacyjną oraz uzyskano następujące decyzje: </w:t>
            </w:r>
          </w:p>
          <w:p w14:paraId="555752A2" w14:textId="77777777" w:rsidR="00A036BB" w:rsidRPr="00E0193B" w:rsidRDefault="00A036BB" w:rsidP="00A036BB">
            <w:pPr>
              <w:pStyle w:val="Normal0"/>
              <w:numPr>
                <w:ilvl w:val="0"/>
                <w:numId w:val="5"/>
              </w:numPr>
              <w:spacing w:after="120" w:line="240" w:lineRule="auto"/>
              <w:jc w:val="both"/>
              <w:rPr>
                <w:rFonts w:ascii="Times New Roman" w:hAnsi="Times New Roman" w:cs="Times New Roman"/>
                <w:bCs/>
                <w:color w:val="000000" w:themeColor="text1"/>
                <w:sz w:val="24"/>
                <w:szCs w:val="24"/>
                <w:lang w:val="pl-PL"/>
              </w:rPr>
            </w:pPr>
            <w:r w:rsidRPr="00E0193B">
              <w:rPr>
                <w:rFonts w:ascii="Times New Roman" w:hAnsi="Times New Roman" w:cs="Times New Roman"/>
                <w:bCs/>
                <w:color w:val="000000" w:themeColor="text1"/>
                <w:sz w:val="24"/>
                <w:szCs w:val="24"/>
                <w:lang w:val="pl-PL"/>
              </w:rPr>
              <w:t xml:space="preserve">decyzję Ministra Infrastruktury na wznoszenie i wykorzystywanie sztucznych wysp, konstrukcji i urządzeń w polskich obszarach morskich dla falochronu wschodniego;  </w:t>
            </w:r>
          </w:p>
          <w:p w14:paraId="1209E7C6" w14:textId="77777777" w:rsidR="00A036BB" w:rsidRPr="00E0193B" w:rsidRDefault="00A036BB" w:rsidP="00A036BB">
            <w:pPr>
              <w:pStyle w:val="Normal0"/>
              <w:numPr>
                <w:ilvl w:val="0"/>
                <w:numId w:val="5"/>
              </w:numPr>
              <w:spacing w:after="120" w:line="240" w:lineRule="auto"/>
              <w:jc w:val="both"/>
              <w:rPr>
                <w:rFonts w:ascii="Times New Roman" w:hAnsi="Times New Roman" w:cs="Times New Roman"/>
                <w:bCs/>
                <w:color w:val="000000" w:themeColor="text1"/>
                <w:sz w:val="24"/>
                <w:szCs w:val="24"/>
                <w:lang w:val="pl-PL"/>
              </w:rPr>
            </w:pPr>
            <w:r w:rsidRPr="00E0193B">
              <w:rPr>
                <w:rFonts w:ascii="Times New Roman" w:hAnsi="Times New Roman" w:cs="Times New Roman"/>
                <w:bCs/>
                <w:color w:val="000000" w:themeColor="text1"/>
                <w:sz w:val="24"/>
                <w:szCs w:val="24"/>
                <w:lang w:val="pl-PL"/>
              </w:rPr>
              <w:t xml:space="preserve">decyzję Dyrektora Urzędu Morskiego w Szczecinie na wznoszenie i wykorzystywanie sztucznych wysp, konstrukcji i urządzeń w polskich obszarach morskich dla falochronu zachodniego, </w:t>
            </w:r>
          </w:p>
          <w:p w14:paraId="210D3F05" w14:textId="77777777" w:rsidR="00A036BB" w:rsidRPr="00E0193B" w:rsidRDefault="00A036BB" w:rsidP="00A036BB">
            <w:pPr>
              <w:pStyle w:val="Normal0"/>
              <w:numPr>
                <w:ilvl w:val="0"/>
                <w:numId w:val="5"/>
              </w:numPr>
              <w:spacing w:after="120" w:line="240" w:lineRule="auto"/>
              <w:jc w:val="both"/>
              <w:rPr>
                <w:rFonts w:ascii="Times New Roman" w:hAnsi="Times New Roman" w:cs="Times New Roman"/>
                <w:bCs/>
                <w:color w:val="000000" w:themeColor="text1"/>
                <w:sz w:val="24"/>
                <w:szCs w:val="24"/>
                <w:lang w:val="pl-PL"/>
              </w:rPr>
            </w:pPr>
            <w:r w:rsidRPr="00E0193B">
              <w:rPr>
                <w:rFonts w:ascii="Times New Roman" w:hAnsi="Times New Roman" w:cs="Times New Roman"/>
                <w:bCs/>
                <w:color w:val="000000" w:themeColor="text1"/>
                <w:sz w:val="24"/>
                <w:szCs w:val="24"/>
                <w:lang w:val="pl-PL"/>
              </w:rPr>
              <w:t>wstępny projekt Decyzji o Środowiskowych Uwarunkowaniach Przedsięwzięcia sporządzony przez Regionalną Dyrekcje Ochrony Środowiska w Szczecinie,</w:t>
            </w:r>
          </w:p>
          <w:p w14:paraId="14375D1D" w14:textId="77777777" w:rsidR="00A036BB" w:rsidRPr="00E0193B" w:rsidRDefault="00A036BB" w:rsidP="00A036BB">
            <w:pPr>
              <w:pStyle w:val="Normal0"/>
              <w:numPr>
                <w:ilvl w:val="0"/>
                <w:numId w:val="5"/>
              </w:numPr>
              <w:spacing w:after="120" w:line="240" w:lineRule="auto"/>
              <w:jc w:val="both"/>
              <w:rPr>
                <w:rFonts w:ascii="Times New Roman" w:hAnsi="Times New Roman" w:cs="Times New Roman"/>
                <w:bCs/>
                <w:color w:val="000000" w:themeColor="text1"/>
                <w:sz w:val="24"/>
                <w:szCs w:val="24"/>
                <w:lang w:val="pl-PL"/>
              </w:rPr>
            </w:pPr>
            <w:r w:rsidRPr="00E0193B">
              <w:rPr>
                <w:rFonts w:ascii="Times New Roman" w:hAnsi="Times New Roman" w:cs="Times New Roman"/>
                <w:bCs/>
                <w:color w:val="000000" w:themeColor="text1"/>
                <w:sz w:val="24"/>
                <w:szCs w:val="24"/>
                <w:lang w:val="pl-PL"/>
              </w:rPr>
              <w:t xml:space="preserve"> decyzję o ustaleniu lokalizacji inwestycji celu publicznego. </w:t>
            </w:r>
          </w:p>
          <w:p w14:paraId="2AFBE127" w14:textId="77777777" w:rsidR="00A036BB" w:rsidRPr="00E0193B" w:rsidRDefault="00A036BB" w:rsidP="005E6576">
            <w:pPr>
              <w:pStyle w:val="Normal0"/>
              <w:spacing w:after="120" w:line="240" w:lineRule="auto"/>
              <w:jc w:val="both"/>
              <w:rPr>
                <w:rFonts w:ascii="Times New Roman" w:hAnsi="Times New Roman" w:cs="Times New Roman"/>
                <w:noProof/>
                <w:color w:val="000000" w:themeColor="text1"/>
                <w:sz w:val="24"/>
                <w:szCs w:val="24"/>
                <w:lang w:val="pl-PL"/>
              </w:rPr>
            </w:pPr>
            <w:r w:rsidRPr="00E0193B">
              <w:rPr>
                <w:rFonts w:ascii="Times New Roman" w:hAnsi="Times New Roman" w:cs="Times New Roman"/>
                <w:color w:val="000000" w:themeColor="text1"/>
                <w:sz w:val="24"/>
                <w:szCs w:val="24"/>
                <w:lang w:val="pl-PL"/>
              </w:rPr>
              <w:t xml:space="preserve">Harmonogram zakłada uzyskanie pozwolenia na budowę w maju 2024 r., zakończenie procedury przetargowej na wybór wykonawcy robót budowlanych w październiku 2024 r., realizację robót budowlanych od listopada 2024 r. do maja 2026 r., uzyskanie decyzji pozwolenie na użytkowanie w czerwcu 2026 r. </w:t>
            </w:r>
            <w:r w:rsidRPr="00E0193B">
              <w:rPr>
                <w:rFonts w:ascii="Times New Roman" w:hAnsi="Times New Roman" w:cs="Times New Roman"/>
                <w:noProof/>
                <w:color w:val="000000" w:themeColor="text1"/>
                <w:sz w:val="24"/>
                <w:szCs w:val="24"/>
                <w:lang w:val="pl-PL"/>
              </w:rPr>
              <w:t>Wskaźnikiem dla tej inwestycji jest uzyskanie decyzji pozwolenie na użytkowanie dla falochronu zachodniego wraz z ostrogą.</w:t>
            </w:r>
          </w:p>
          <w:p w14:paraId="1BF950D0" w14:textId="77777777" w:rsidR="00A036BB" w:rsidRPr="00E0193B" w:rsidRDefault="00A036BB" w:rsidP="005E6576">
            <w:pPr>
              <w:pStyle w:val="Normal0"/>
              <w:spacing w:after="120" w:line="240" w:lineRule="auto"/>
              <w:jc w:val="both"/>
              <w:rPr>
                <w:rFonts w:ascii="Times New Roman" w:hAnsi="Times New Roman" w:cs="Times New Roman"/>
                <w:noProof/>
                <w:color w:val="000000" w:themeColor="text1"/>
                <w:sz w:val="24"/>
                <w:szCs w:val="24"/>
                <w:lang w:val="pl-PL"/>
              </w:rPr>
            </w:pPr>
            <w:r w:rsidRPr="00E0193B">
              <w:rPr>
                <w:rFonts w:ascii="Times New Roman" w:hAnsi="Times New Roman" w:cs="Times New Roman"/>
                <w:noProof/>
                <w:color w:val="000000" w:themeColor="text1"/>
                <w:sz w:val="24"/>
                <w:szCs w:val="24"/>
                <w:lang w:val="pl-PL"/>
              </w:rPr>
              <w:t>Wsparcie rozwoju morskiej energetyki wiatrowej (MEW), wymaga  stworzenia odpowiedniego zaplecza portowego offshore, zarówno w zakresie zapewniającym możliwości instalacji komponentów wież wiatrowych, jak i serwisowania MEW w trakcie eksploatacji. Krajowy Plan Odbudowy w przypadku dostępności  środków  uwzględnia możliwość uruchomienia kolejnych inwestycji w infrastrukturę dedykowaną na potrzeby obsługi offshore wind poza już wskazanymi lokalizacjami.</w:t>
            </w:r>
          </w:p>
          <w:p w14:paraId="469E0584" w14:textId="77777777" w:rsidR="00A036BB" w:rsidRPr="00E0193B" w:rsidRDefault="00A036BB" w:rsidP="005E6576">
            <w:pPr>
              <w:pStyle w:val="Normal0"/>
              <w:spacing w:after="120" w:line="240" w:lineRule="auto"/>
              <w:jc w:val="both"/>
              <w:rPr>
                <w:rFonts w:ascii="Times New Roman" w:hAnsi="Times New Roman" w:cs="Times New Roman"/>
                <w:color w:val="000000" w:themeColor="text1"/>
                <w:sz w:val="24"/>
                <w:szCs w:val="24"/>
                <w:lang w:val="pl-PL"/>
              </w:rPr>
            </w:pPr>
            <w:r w:rsidRPr="00E0193B">
              <w:rPr>
                <w:rFonts w:ascii="Times New Roman" w:hAnsi="Times New Roman" w:cs="Times New Roman"/>
                <w:noProof/>
                <w:color w:val="000000" w:themeColor="text1"/>
                <w:sz w:val="24"/>
                <w:szCs w:val="24"/>
                <w:lang w:val="pl-PL"/>
              </w:rPr>
              <w:t xml:space="preserve">Aktualna alokacja na inwestycje </w:t>
            </w:r>
            <w:r w:rsidRPr="00E0193B">
              <w:rPr>
                <w:rFonts w:ascii="Times New Roman" w:hAnsi="Times New Roman" w:cs="Times New Roman"/>
                <w:color w:val="000000" w:themeColor="text1"/>
                <w:sz w:val="24"/>
                <w:szCs w:val="24"/>
                <w:lang w:val="pl-PL"/>
              </w:rPr>
              <w:t xml:space="preserve">B.2.2.3 Budowa infrastruktury terminalowej offshore w wysokości 366 mln EUR, z uwagi na występowanie pomocy publicznej w przypadku B37G Budowa terminalu instalacyjnego offshore, uwzględnia rezerwę wynikającą z różnicy między kosztami całkowitymi zaakceptowanymi przez KE, a poziomem pomocy publicznej, jaka może być udzielona dla tej inwestycji. Pomoc publiczna może być udzielona jedynie do poziomu luki w finansowaniu. </w:t>
            </w:r>
          </w:p>
          <w:p w14:paraId="54CBF1B6" w14:textId="12E21EC3" w:rsidR="00A036BB" w:rsidRPr="00E0193B" w:rsidRDefault="00A036BB" w:rsidP="00E0193B">
            <w:pPr>
              <w:pStyle w:val="Normal0"/>
              <w:spacing w:after="120" w:line="240" w:lineRule="auto"/>
              <w:jc w:val="both"/>
              <w:rPr>
                <w:rFonts w:ascii="Times New Roman" w:hAnsi="Times New Roman" w:cs="Times New Roman"/>
                <w:color w:val="000000" w:themeColor="text1"/>
                <w:sz w:val="24"/>
                <w:szCs w:val="24"/>
                <w:lang w:val="en-AU"/>
              </w:rPr>
            </w:pPr>
            <w:r w:rsidRPr="00E0193B">
              <w:rPr>
                <w:rFonts w:ascii="Times New Roman" w:hAnsi="Times New Roman" w:cs="Times New Roman"/>
                <w:color w:val="000000" w:themeColor="text1"/>
                <w:sz w:val="24"/>
                <w:szCs w:val="24"/>
                <w:lang w:val="pl-PL"/>
              </w:rPr>
              <w:t xml:space="preserve">Koszty przebudowy falochronu zachodniego wraz z ostrogą, szacowane na kwotę około 200.723.000,00 zł brutto. Vat zostanie rozliczony zgodnie z procedurą dla państwowych jednostek budżetowych realizujących ten projekt. </w:t>
            </w:r>
            <w:r w:rsidRPr="00E0193B">
              <w:rPr>
                <w:rFonts w:ascii="Times New Roman" w:hAnsi="Times New Roman" w:cs="Times New Roman"/>
                <w:color w:val="000000" w:themeColor="text1"/>
                <w:sz w:val="24"/>
                <w:szCs w:val="24"/>
                <w:lang w:val="en-AU"/>
              </w:rPr>
              <w:t xml:space="preserve">Inwestycja dotycząca renowacji nabrzeży to ok. 75 mln zł. </w:t>
            </w:r>
          </w:p>
        </w:tc>
      </w:tr>
      <w:tr w:rsidR="00A036BB" w:rsidRPr="00E0193B" w14:paraId="355E7F98" w14:textId="77777777" w:rsidTr="005E6576">
        <w:tc>
          <w:tcPr>
            <w:tcW w:w="1082" w:type="pct"/>
          </w:tcPr>
          <w:p w14:paraId="64B35EE9" w14:textId="77777777" w:rsidR="00A036BB" w:rsidRPr="00E0193B" w:rsidRDefault="00A036BB" w:rsidP="005E6576">
            <w:pPr>
              <w:spacing w:after="120" w:line="240" w:lineRule="auto"/>
              <w:rPr>
                <w:lang w:val="en-US"/>
              </w:rPr>
            </w:pPr>
          </w:p>
        </w:tc>
        <w:tc>
          <w:tcPr>
            <w:tcW w:w="3918" w:type="pct"/>
            <w:gridSpan w:val="2"/>
            <w:vMerge/>
          </w:tcPr>
          <w:p w14:paraId="504D024F" w14:textId="77777777" w:rsidR="00A036BB" w:rsidRPr="00E0193B" w:rsidRDefault="00A036BB" w:rsidP="005E65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themeColor="text1"/>
                <w:lang w:val="en-GB" w:eastAsia="pl-PL"/>
              </w:rPr>
            </w:pPr>
          </w:p>
        </w:tc>
      </w:tr>
      <w:tr w:rsidR="00A036BB" w:rsidRPr="00E0193B" w14:paraId="61780BDA" w14:textId="77777777" w:rsidTr="005E6576">
        <w:tc>
          <w:tcPr>
            <w:tcW w:w="1082" w:type="pct"/>
          </w:tcPr>
          <w:p w14:paraId="0551BD78" w14:textId="77777777" w:rsidR="00A036BB" w:rsidRPr="00E0193B" w:rsidRDefault="00A036BB" w:rsidP="005E6576">
            <w:pPr>
              <w:spacing w:after="120" w:line="240" w:lineRule="auto"/>
            </w:pPr>
            <w:r w:rsidRPr="00E0193B">
              <w:t>Szacowany koszt inwestycji B.2.2.3.</w:t>
            </w:r>
          </w:p>
        </w:tc>
        <w:tc>
          <w:tcPr>
            <w:tcW w:w="3918" w:type="pct"/>
            <w:gridSpan w:val="2"/>
          </w:tcPr>
          <w:p w14:paraId="2BDE5081" w14:textId="77777777" w:rsidR="00A036BB" w:rsidRPr="00E0193B" w:rsidRDefault="00A036BB" w:rsidP="005E6576">
            <w:pPr>
              <w:pStyle w:val="Normal0"/>
              <w:spacing w:after="120"/>
              <w:rPr>
                <w:rFonts w:ascii="Times New Roman" w:hAnsi="Times New Roman" w:cs="Times New Roman"/>
                <w:color w:val="000000" w:themeColor="text1"/>
                <w:sz w:val="24"/>
                <w:szCs w:val="24"/>
                <w:lang w:val="pl-PL"/>
              </w:rPr>
            </w:pPr>
            <w:r w:rsidRPr="00E0193B">
              <w:rPr>
                <w:rFonts w:ascii="Times New Roman" w:hAnsi="Times New Roman" w:cs="Times New Roman"/>
                <w:color w:val="000000" w:themeColor="text1"/>
                <w:sz w:val="24"/>
                <w:szCs w:val="24"/>
                <w:lang w:val="pl-PL"/>
              </w:rPr>
              <w:t>366 mln EUR</w:t>
            </w:r>
          </w:p>
          <w:p w14:paraId="0AC32947" w14:textId="77777777" w:rsidR="00A036BB" w:rsidRPr="00E0193B" w:rsidRDefault="00A036BB" w:rsidP="005E6576">
            <w:pPr>
              <w:spacing w:after="0" w:line="240" w:lineRule="auto"/>
              <w:rPr>
                <w:color w:val="000000" w:themeColor="text1"/>
              </w:rPr>
            </w:pPr>
            <w:r w:rsidRPr="00E0193B">
              <w:rPr>
                <w:color w:val="000000" w:themeColor="text1"/>
              </w:rPr>
              <w:t>Proponowana zmiana nie wpływa na szacowany koszt inwestycji</w:t>
            </w:r>
          </w:p>
          <w:p w14:paraId="7C13360C" w14:textId="77777777" w:rsidR="00A036BB" w:rsidRPr="00E0193B" w:rsidRDefault="00A036BB" w:rsidP="005E6576">
            <w:pPr>
              <w:spacing w:after="0" w:line="240" w:lineRule="auto"/>
              <w:rPr>
                <w:color w:val="000000" w:themeColor="text1"/>
              </w:rPr>
            </w:pPr>
            <w:r w:rsidRPr="00E0193B">
              <w:rPr>
                <w:color w:val="000000" w:themeColor="text1"/>
              </w:rPr>
              <w:t>Całkowity koszt inwestycji zaakceptowany przez KE, uwzględniający m.in. wskaźnik inflacji i rezerwę, nie ulegnie zmianie.</w:t>
            </w:r>
          </w:p>
          <w:p w14:paraId="080D5F7A" w14:textId="77777777" w:rsidR="00A036BB" w:rsidRPr="00E0193B" w:rsidRDefault="00A036BB" w:rsidP="005E6576">
            <w:pPr>
              <w:spacing w:after="0" w:line="240" w:lineRule="auto"/>
              <w:rPr>
                <w:color w:val="000000" w:themeColor="text1"/>
              </w:rPr>
            </w:pPr>
            <w:r w:rsidRPr="00E0193B">
              <w:rPr>
                <w:color w:val="000000" w:themeColor="text1"/>
              </w:rPr>
              <w:t xml:space="preserve"> Inwestycja musi być zrealizowana w całkowitym zakresie, aby możliwe było świadczenie usługi dla dewelopera morskich farm wiatrowych. Proponowana zmiana brzmienia kamienia milowego w KPO wpłynie na wartość kosztów poniesionych do dnia 31 sierpnia 2026 rozumianych jako koszty kwalifikowane.  Należy również zaznaczyć, że w przypadku tej inwestycji występuje pomoc publiczna i wsparcie może być udzielone tylko do wysokości luki w finansowaniu.</w:t>
            </w:r>
          </w:p>
          <w:p w14:paraId="1488DC4C" w14:textId="77777777" w:rsidR="00A036BB" w:rsidRPr="00E0193B" w:rsidRDefault="00A036BB" w:rsidP="00A036BB">
            <w:pPr>
              <w:spacing w:after="0" w:line="240" w:lineRule="auto"/>
              <w:rPr>
                <w:color w:val="000000" w:themeColor="text1"/>
              </w:rPr>
            </w:pPr>
          </w:p>
        </w:tc>
      </w:tr>
      <w:tr w:rsidR="00A036BB" w:rsidRPr="00935797" w14:paraId="01CF1BD6" w14:textId="77777777" w:rsidTr="005E6576">
        <w:tc>
          <w:tcPr>
            <w:tcW w:w="1082" w:type="pct"/>
          </w:tcPr>
          <w:p w14:paraId="556B8588" w14:textId="77777777" w:rsidR="00A036BB" w:rsidRPr="00E0193B" w:rsidRDefault="00A036BB" w:rsidP="005E6576">
            <w:pPr>
              <w:spacing w:after="120" w:line="240" w:lineRule="auto"/>
            </w:pPr>
            <w:r w:rsidRPr="00E0193B">
              <w:t xml:space="preserve">Cyfrowy </w:t>
            </w:r>
            <w:r w:rsidRPr="00E0193B">
              <w:br/>
              <w:t xml:space="preserve">i klimatyczny tagging </w:t>
            </w:r>
          </w:p>
        </w:tc>
        <w:tc>
          <w:tcPr>
            <w:tcW w:w="3918" w:type="pct"/>
            <w:gridSpan w:val="2"/>
          </w:tcPr>
          <w:p w14:paraId="18EE9C5C" w14:textId="77777777" w:rsidR="00A036BB" w:rsidRPr="00E0193B" w:rsidRDefault="00A036BB" w:rsidP="005E6576">
            <w:pPr>
              <w:spacing w:after="120" w:line="240" w:lineRule="auto"/>
            </w:pPr>
            <w:r w:rsidRPr="00E0193B">
              <w:t>Proponowana zmiana nie wpływa na tagging</w:t>
            </w:r>
          </w:p>
          <w:p w14:paraId="14F122C2" w14:textId="77777777" w:rsidR="00A036BB" w:rsidRPr="00E0193B" w:rsidRDefault="00A036BB" w:rsidP="005E65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val="en-GB" w:eastAsia="pl-PL"/>
              </w:rPr>
            </w:pPr>
            <w:r w:rsidRPr="00E0193B">
              <w:rPr>
                <w:lang w:val="en" w:eastAsia="pl-PL"/>
              </w:rPr>
              <w:t>The proposed change does not affect tagging</w:t>
            </w:r>
          </w:p>
        </w:tc>
      </w:tr>
      <w:tr w:rsidR="00A036BB" w:rsidRPr="00935797" w14:paraId="5FAC8A6A" w14:textId="77777777" w:rsidTr="005E6576">
        <w:tc>
          <w:tcPr>
            <w:tcW w:w="1082" w:type="pct"/>
            <w:tcBorders>
              <w:bottom w:val="single" w:sz="4" w:space="0" w:color="auto"/>
            </w:tcBorders>
          </w:tcPr>
          <w:p w14:paraId="016B8C6E" w14:textId="77777777" w:rsidR="00A036BB" w:rsidRPr="00E0193B" w:rsidRDefault="00A036BB" w:rsidP="005E6576">
            <w:pPr>
              <w:spacing w:after="120" w:line="240" w:lineRule="auto"/>
            </w:pPr>
            <w:r w:rsidRPr="00E0193B">
              <w:t xml:space="preserve">Zasada DNSH </w:t>
            </w:r>
          </w:p>
        </w:tc>
        <w:tc>
          <w:tcPr>
            <w:tcW w:w="3918" w:type="pct"/>
            <w:gridSpan w:val="2"/>
            <w:tcBorders>
              <w:bottom w:val="single" w:sz="4" w:space="0" w:color="auto"/>
            </w:tcBorders>
          </w:tcPr>
          <w:p w14:paraId="15F70779" w14:textId="77777777" w:rsidR="00A036BB" w:rsidRPr="00E0193B" w:rsidRDefault="00A036BB" w:rsidP="005E6576">
            <w:pPr>
              <w:spacing w:after="120" w:line="240" w:lineRule="auto"/>
            </w:pPr>
            <w:r w:rsidRPr="00E0193B">
              <w:t>Proponowana zmiana nie wpływa na realizację zasady DNSH</w:t>
            </w:r>
          </w:p>
          <w:p w14:paraId="40E65736" w14:textId="77777777" w:rsidR="00A036BB" w:rsidRPr="00E0193B" w:rsidRDefault="00A036BB" w:rsidP="005E65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val="en-GB"/>
              </w:rPr>
            </w:pPr>
            <w:r w:rsidRPr="00E0193B">
              <w:rPr>
                <w:lang w:val="en" w:eastAsia="pl-PL"/>
              </w:rPr>
              <w:t>The proposed change does not affect the implementation of the DNSH principle.</w:t>
            </w:r>
          </w:p>
        </w:tc>
      </w:tr>
      <w:tr w:rsidR="00A036BB" w:rsidRPr="00E0193B" w14:paraId="7FFE8369" w14:textId="77777777" w:rsidTr="005E6576">
        <w:trPr>
          <w:trHeight w:val="283"/>
        </w:trPr>
        <w:tc>
          <w:tcPr>
            <w:tcW w:w="1082" w:type="pct"/>
            <w:tcBorders>
              <w:bottom w:val="single" w:sz="4" w:space="0" w:color="auto"/>
            </w:tcBorders>
          </w:tcPr>
          <w:p w14:paraId="7946E1B7" w14:textId="77777777" w:rsidR="00A036BB" w:rsidRPr="00E0193B" w:rsidRDefault="00A036BB" w:rsidP="005E6576">
            <w:pPr>
              <w:spacing w:after="120" w:line="240" w:lineRule="auto"/>
            </w:pPr>
            <w:r w:rsidRPr="00E0193B">
              <w:t xml:space="preserve">Pomoc publiczna </w:t>
            </w:r>
          </w:p>
        </w:tc>
        <w:tc>
          <w:tcPr>
            <w:tcW w:w="3918" w:type="pct"/>
            <w:gridSpan w:val="2"/>
            <w:tcBorders>
              <w:bottom w:val="single" w:sz="4" w:space="0" w:color="auto"/>
            </w:tcBorders>
          </w:tcPr>
          <w:p w14:paraId="646872E8" w14:textId="26D0DD37" w:rsidR="00A036BB" w:rsidRPr="00E0193B" w:rsidRDefault="00A036BB" w:rsidP="00A036BB">
            <w:pPr>
              <w:spacing w:after="0" w:line="240" w:lineRule="auto"/>
            </w:pPr>
            <w:r w:rsidRPr="00E0193B">
              <w:t>Gdańsk: Proponowana zmiana nie wpływa na kwestie dotyczące pomocy publicznej</w:t>
            </w:r>
          </w:p>
          <w:p w14:paraId="160D1456" w14:textId="77777777" w:rsidR="00A036BB" w:rsidRPr="00E0193B" w:rsidRDefault="00A036BB" w:rsidP="005E6576">
            <w:r w:rsidRPr="00E0193B">
              <w:lastRenderedPageBreak/>
              <w:t>B38G</w:t>
            </w:r>
          </w:p>
          <w:p w14:paraId="34035C73" w14:textId="7CD24CD3" w:rsidR="00A036BB" w:rsidRPr="00E0193B" w:rsidRDefault="00A036BB" w:rsidP="005E6576">
            <w:r w:rsidRPr="00E0193B">
              <w:t xml:space="preserve">W ocenie CUTP inwestycja planowana w Łebie i Ustce (w ramach B38G) wiąże się z pomocą publiczną. Wydaje się jednak, że możliwe byłoby przyznanie pomocy w trybie art. 56b Rozporządzenia Komisji nr 651/2014 z dnia 17 czerwca 2014 r. uznającego niektóre rodzaje pomocy za zgodne z rynkiem wewnętrznym w zastosowaniu art. 107 i 108 Traktatu (Dz. U. L 187 z 26.06.2014 r. ze zm.), co oznacza, że nie ma konieczności zgłaszania tej pomocy do KE w celu uzyskania zgody. Konieczne jest jednak spełnienie wszystkich wymogów określonych w tym rozporządzeniu, w tym związanych z wkładem własnym i udostępnieniem infrastruktury powstałej ze środków publicznych. Należy również zaznaczyć, że ostateczna analiza będzie możliwa po złożeniu przez beneficjentów Wniosków o dofinansowanie zawierających szczegółowy opis projektu, jego zakres rzeczowy oraz koszty kwalifikowalne. Jeśli chodzi o analizy CUTP dla morskiego terminalu serwisowego w Darłowie, konieczne będzie przeprowadzenie dwóch inwestycji: • „Przebudowa falochronów w Porcie Darłowo wraz z poprawą warunków falowych wewnątrz basenu poprzez budowę nowych obiektów hydrotechnicznych” • „Remont istniejących nabrzeży i budowa nowych nabrzeży w Porcie Darłowo” Analiza CUPT z marca 2024 r. wskazuje, że planowane inwestycje wiążą się z wystąpieniem pomocy i że możliwe byłoby jej udzielenie na podstawie Rozporządzenia 651. Wstępna analiza wskazuje również, że możliwe jest traktowanie obu inwestycji jako odrębnych projektów. Należy jednak podkreślić, że ostateczna ocena dopuszczalności tej pomocy opierać się będzie na badaniu przeprowadzonym na wniosek beneficjentów pomocy.  </w:t>
            </w:r>
          </w:p>
        </w:tc>
      </w:tr>
    </w:tbl>
    <w:p w14:paraId="3F489F9F" w14:textId="2412BE1B" w:rsidR="00D94758" w:rsidRPr="00E0193B" w:rsidRDefault="00D94758" w:rsidP="00D94758">
      <w:pPr>
        <w:shd w:val="clear" w:color="auto" w:fill="FFFFFF"/>
        <w:autoSpaceDE w:val="0"/>
        <w:autoSpaceDN w:val="0"/>
        <w:adjustRightInd w:val="0"/>
        <w:spacing w:after="120" w:line="240" w:lineRule="auto"/>
        <w:jc w:val="left"/>
        <w:rPr>
          <w:rFonts w:eastAsia="Calibri"/>
          <w:b/>
          <w:bCs/>
        </w:rPr>
      </w:pPr>
    </w:p>
    <w:p w14:paraId="4CBFAE6A" w14:textId="5B00BFF1" w:rsidR="0027011B" w:rsidRPr="00A501D9" w:rsidRDefault="00B72575" w:rsidP="00A501D9">
      <w:pPr>
        <w:spacing w:after="120" w:line="240" w:lineRule="auto"/>
        <w:jc w:val="left"/>
        <w:rPr>
          <w:rFonts w:eastAsia="Calibri"/>
          <w:b/>
          <w:bCs/>
        </w:rPr>
      </w:pPr>
      <w:r w:rsidRPr="00E0193B">
        <w:rPr>
          <w:rFonts w:eastAsia="Calibri"/>
          <w:b/>
          <w:bCs/>
        </w:rPr>
        <w:t>Komponent C Transformacja cyfrowa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3317"/>
        <w:gridCol w:w="3573"/>
      </w:tblGrid>
      <w:tr w:rsidR="006D56D2" w:rsidRPr="006D56D2" w14:paraId="7B4F593E" w14:textId="77777777" w:rsidTr="00F72BD7">
        <w:tc>
          <w:tcPr>
            <w:tcW w:w="1082" w:type="pct"/>
          </w:tcPr>
          <w:p w14:paraId="42515669" w14:textId="77777777" w:rsidR="006D56D2" w:rsidRPr="006D56D2" w:rsidRDefault="006D56D2" w:rsidP="006D56D2">
            <w:pPr>
              <w:spacing w:after="120" w:line="240" w:lineRule="auto"/>
              <w:rPr>
                <w:b/>
                <w:bCs/>
              </w:rPr>
            </w:pPr>
            <w:r w:rsidRPr="006D56D2">
              <w:rPr>
                <w:b/>
                <w:bCs/>
              </w:rPr>
              <w:t>Numer inwestycji</w:t>
            </w:r>
          </w:p>
        </w:tc>
        <w:tc>
          <w:tcPr>
            <w:tcW w:w="3918" w:type="pct"/>
            <w:gridSpan w:val="2"/>
          </w:tcPr>
          <w:p w14:paraId="456CD5B5" w14:textId="77777777" w:rsidR="006D56D2" w:rsidRPr="006D56D2" w:rsidRDefault="006D56D2" w:rsidP="006D56D2">
            <w:pPr>
              <w:spacing w:after="120" w:line="240" w:lineRule="auto"/>
              <w:rPr>
                <w:b/>
                <w:bCs/>
              </w:rPr>
            </w:pPr>
            <w:r w:rsidRPr="006D56D2">
              <w:rPr>
                <w:b/>
                <w:bCs/>
              </w:rPr>
              <w:t>C1.1.1</w:t>
            </w:r>
          </w:p>
        </w:tc>
      </w:tr>
      <w:tr w:rsidR="006D56D2" w:rsidRPr="006D56D2" w14:paraId="4D6B1CEB" w14:textId="77777777" w:rsidTr="00F72BD7">
        <w:tc>
          <w:tcPr>
            <w:tcW w:w="1082" w:type="pct"/>
          </w:tcPr>
          <w:p w14:paraId="2E1F8D38" w14:textId="77777777" w:rsidR="006D56D2" w:rsidRPr="006D56D2" w:rsidRDefault="006D56D2" w:rsidP="006D56D2">
            <w:pPr>
              <w:spacing w:after="120" w:line="240" w:lineRule="auto"/>
              <w:rPr>
                <w:b/>
                <w:bCs/>
              </w:rPr>
            </w:pPr>
            <w:r w:rsidRPr="006D56D2">
              <w:rPr>
                <w:b/>
                <w:bCs/>
              </w:rPr>
              <w:t>Nazwa inwestycji</w:t>
            </w:r>
          </w:p>
        </w:tc>
        <w:tc>
          <w:tcPr>
            <w:tcW w:w="3918" w:type="pct"/>
            <w:gridSpan w:val="2"/>
          </w:tcPr>
          <w:p w14:paraId="0B797430" w14:textId="77777777" w:rsidR="006D56D2" w:rsidRPr="006D56D2" w:rsidRDefault="006D56D2" w:rsidP="006D56D2">
            <w:pPr>
              <w:spacing w:after="120" w:line="240" w:lineRule="auto"/>
              <w:jc w:val="left"/>
              <w:rPr>
                <w:b/>
                <w:bCs/>
              </w:rPr>
            </w:pPr>
            <w:r w:rsidRPr="006D56D2">
              <w:rPr>
                <w:rFonts w:eastAsia="Calibri"/>
                <w:b/>
                <w:bCs/>
              </w:rPr>
              <w:t>Zapewnienie dostępu do bardzo szybkiego internetu na obszarach białych plam</w:t>
            </w:r>
          </w:p>
        </w:tc>
      </w:tr>
      <w:tr w:rsidR="006D56D2" w:rsidRPr="006D56D2" w14:paraId="39B0DE4F" w14:textId="77777777" w:rsidTr="00F72BD7">
        <w:tc>
          <w:tcPr>
            <w:tcW w:w="1082" w:type="pct"/>
            <w:shd w:val="clear" w:color="auto" w:fill="auto"/>
          </w:tcPr>
          <w:p w14:paraId="21414827" w14:textId="77777777" w:rsidR="006D56D2" w:rsidRPr="006D56D2" w:rsidRDefault="006D56D2" w:rsidP="006D56D2">
            <w:pPr>
              <w:spacing w:after="120" w:line="240" w:lineRule="auto"/>
              <w:jc w:val="left"/>
            </w:pPr>
            <w:r w:rsidRPr="006D56D2">
              <w:t>Rodzaj wprowadzonej zmiany w odniesieniu do CID</w:t>
            </w:r>
          </w:p>
        </w:tc>
        <w:tc>
          <w:tcPr>
            <w:tcW w:w="3918" w:type="pct"/>
            <w:gridSpan w:val="2"/>
            <w:shd w:val="clear" w:color="auto" w:fill="auto"/>
          </w:tcPr>
          <w:p w14:paraId="6079BF68" w14:textId="5103DA50" w:rsidR="006D56D2" w:rsidRPr="006D56D2" w:rsidRDefault="006D56D2" w:rsidP="006D56D2">
            <w:pPr>
              <w:spacing w:after="120" w:line="240" w:lineRule="auto"/>
              <w:jc w:val="left"/>
            </w:pPr>
            <w:r w:rsidRPr="006D56D2">
              <w:rPr>
                <w:rFonts w:eastAsia="Calibri"/>
              </w:rPr>
              <w:t xml:space="preserve">Modyfikacja w zakresie wartości docelowej wskaźników dla mierników C4G, C5G, C6G </w:t>
            </w:r>
            <w:r w:rsidR="006E2C0A">
              <w:rPr>
                <w:rFonts w:eastAsia="Calibri"/>
              </w:rPr>
              <w:t>oraz zmniejszenie alokacji</w:t>
            </w:r>
          </w:p>
        </w:tc>
      </w:tr>
      <w:tr w:rsidR="006D56D2" w:rsidRPr="006D56D2" w14:paraId="2ABB7057" w14:textId="77777777" w:rsidTr="00F72BD7">
        <w:tc>
          <w:tcPr>
            <w:tcW w:w="1082" w:type="pct"/>
            <w:shd w:val="clear" w:color="auto" w:fill="auto"/>
          </w:tcPr>
          <w:p w14:paraId="514D5B42" w14:textId="77777777" w:rsidR="006D56D2" w:rsidRPr="006D56D2" w:rsidRDefault="006D56D2" w:rsidP="006D56D2">
            <w:pPr>
              <w:spacing w:after="120" w:line="240" w:lineRule="auto"/>
              <w:jc w:val="left"/>
            </w:pPr>
            <w:r w:rsidRPr="006D56D2">
              <w:t>Podstawa prawna zmiany</w:t>
            </w:r>
          </w:p>
        </w:tc>
        <w:tc>
          <w:tcPr>
            <w:tcW w:w="3918" w:type="pct"/>
            <w:gridSpan w:val="2"/>
            <w:shd w:val="clear" w:color="auto" w:fill="auto"/>
          </w:tcPr>
          <w:p w14:paraId="1FB2D5A9" w14:textId="77777777" w:rsidR="006D56D2" w:rsidRPr="006D56D2" w:rsidRDefault="006D56D2" w:rsidP="006D56D2">
            <w:pPr>
              <w:spacing w:after="120" w:line="240" w:lineRule="auto"/>
              <w:jc w:val="left"/>
            </w:pPr>
            <w:r w:rsidRPr="006D56D2">
              <w:rPr>
                <w:rFonts w:eastAsia="Calibri"/>
              </w:rPr>
              <w:t>art. 21 rozporządzenia Parlamentu Europejskiego i Rady (UE) 2021/241 z dnia 12 lutego 2021 r. ustanawiającego Instrument na rzecz Odbudowy i Zwiększania Odporności</w:t>
            </w:r>
          </w:p>
        </w:tc>
      </w:tr>
      <w:tr w:rsidR="006D56D2" w:rsidRPr="006D56D2" w14:paraId="2A83A532" w14:textId="77777777" w:rsidTr="00F72BD7">
        <w:tc>
          <w:tcPr>
            <w:tcW w:w="1082" w:type="pct"/>
            <w:shd w:val="clear" w:color="auto" w:fill="D9D9D9"/>
          </w:tcPr>
          <w:p w14:paraId="73D17911" w14:textId="77777777" w:rsidR="006D56D2" w:rsidRPr="006D56D2" w:rsidRDefault="006D56D2" w:rsidP="006D56D2">
            <w:pPr>
              <w:spacing w:after="120" w:line="240" w:lineRule="auto"/>
            </w:pPr>
            <w:r w:rsidRPr="006D56D2">
              <w:t>Modyfikowany element</w:t>
            </w:r>
          </w:p>
        </w:tc>
        <w:tc>
          <w:tcPr>
            <w:tcW w:w="1888" w:type="pct"/>
            <w:shd w:val="clear" w:color="auto" w:fill="D9D9D9"/>
          </w:tcPr>
          <w:p w14:paraId="461E7B9C" w14:textId="77777777" w:rsidR="006D56D2" w:rsidRPr="006D56D2" w:rsidRDefault="006D56D2" w:rsidP="006D56D2">
            <w:pPr>
              <w:spacing w:after="120" w:line="240" w:lineRule="auto"/>
            </w:pPr>
            <w:r w:rsidRPr="006D56D2">
              <w:t>Bieżąca wersja</w:t>
            </w:r>
          </w:p>
        </w:tc>
        <w:tc>
          <w:tcPr>
            <w:tcW w:w="2030" w:type="pct"/>
            <w:shd w:val="clear" w:color="auto" w:fill="D9D9D9"/>
          </w:tcPr>
          <w:p w14:paraId="1A78E205" w14:textId="77777777" w:rsidR="006D56D2" w:rsidRPr="006D56D2" w:rsidRDefault="006D56D2" w:rsidP="006D56D2">
            <w:pPr>
              <w:spacing w:after="120" w:line="240" w:lineRule="auto"/>
            </w:pPr>
            <w:r w:rsidRPr="006D56D2">
              <w:t>Wersja zmieniona</w:t>
            </w:r>
          </w:p>
        </w:tc>
      </w:tr>
      <w:tr w:rsidR="006D56D2" w:rsidRPr="006D56D2" w14:paraId="5CE034A3" w14:textId="77777777" w:rsidTr="00F72BD7">
        <w:tc>
          <w:tcPr>
            <w:tcW w:w="1082" w:type="pct"/>
          </w:tcPr>
          <w:p w14:paraId="17653EAA" w14:textId="77777777" w:rsidR="006D56D2" w:rsidRPr="006D56D2" w:rsidRDefault="006D56D2" w:rsidP="006D56D2">
            <w:pPr>
              <w:spacing w:after="120" w:line="240" w:lineRule="auto"/>
              <w:jc w:val="left"/>
            </w:pPr>
            <w:r w:rsidRPr="006D56D2">
              <w:t>Opis komponentu oraz/lub działania (inwestycji/reformy)</w:t>
            </w:r>
          </w:p>
        </w:tc>
        <w:tc>
          <w:tcPr>
            <w:tcW w:w="1888" w:type="pct"/>
          </w:tcPr>
          <w:p w14:paraId="2221CEE2" w14:textId="77777777" w:rsidR="006D56D2" w:rsidRPr="006D56D2" w:rsidRDefault="006D56D2" w:rsidP="006D56D2">
            <w:pPr>
              <w:spacing w:after="120" w:line="240" w:lineRule="auto"/>
              <w:jc w:val="left"/>
            </w:pPr>
            <w:r w:rsidRPr="006D56D2">
              <w:t>Zgodnie ze wspomnianą reformą inwestycja ta ma na celu zwiększenie liczby gospodarstw domowych objętych stałą siecią szerokopasmową o 931 000 lokali ze szczególnym uwzględnieniem białych obszarów dostępu nowej generacji, na których obecnie nie istnieje infrastruktura szerokopasmowa o dużej przepustowości i w przypadku których jest mało prawdopodobne, by w najbliżej przyszłości rynek zapewnił użytkownikom końcowym łączność o prędkości pobierania danych wynoszącej 100 Mb/s, tak aby co najmniej 80 % gospodarstw domowych miało dostęp do internetu o przepustowości 100 Mb/s, z możliwością jej zwiększenia do prędkości mierzonych w Gb/s. Wspomniana inwestycja służy osiągnięciu 3 wartości docelowych: pierwsza zakłada objęcie stałą siecią szerokopasmową 100 000 gospodarstw domowych do grudnia 2024 r., druga – 400 000 gospodarstw domowych do grudnia 2025 r., natomiast ostatnia zakłada objęcie pozostałych 431 000 gospodarstw domowych stałą siecią szerokopasmową do 30 czerwca 2026 r.</w:t>
            </w:r>
          </w:p>
        </w:tc>
        <w:tc>
          <w:tcPr>
            <w:tcW w:w="2030" w:type="pct"/>
          </w:tcPr>
          <w:p w14:paraId="060A86C0" w14:textId="77777777" w:rsidR="006D56D2" w:rsidRPr="006D56D2" w:rsidRDefault="006D56D2" w:rsidP="006D56D2">
            <w:pPr>
              <w:spacing w:after="120" w:line="240" w:lineRule="auto"/>
              <w:jc w:val="left"/>
              <w:rPr>
                <w:rFonts w:eastAsia="Calibri"/>
              </w:rPr>
            </w:pPr>
            <w:r w:rsidRPr="006D56D2">
              <w:rPr>
                <w:rFonts w:eastAsia="Calibri"/>
              </w:rPr>
              <w:t xml:space="preserve">Zgodnie ze wspomnianą reformą inwestycja ta ma na celu zwiększenie liczby gospodarstw domowych objętych stałą siecią szerokopasmową o </w:t>
            </w:r>
            <w:r w:rsidRPr="006D56D2">
              <w:rPr>
                <w:rFonts w:eastAsia="Calibri"/>
                <w:strike/>
                <w:color w:val="FF0000"/>
              </w:rPr>
              <w:t>931 000</w:t>
            </w:r>
            <w:r w:rsidRPr="006D56D2">
              <w:rPr>
                <w:rFonts w:eastAsia="Calibri"/>
                <w:color w:val="FF0000"/>
              </w:rPr>
              <w:t xml:space="preserve"> 815 000 </w:t>
            </w:r>
            <w:r w:rsidRPr="006D56D2">
              <w:rPr>
                <w:rFonts w:eastAsia="Calibri"/>
              </w:rPr>
              <w:t xml:space="preserve">lokali ze szczególnym uwzględnieniem białych obszarów dostępu nowej generacji, na których obecnie nie istnieje infrastruktura szerokopasmowa o dużej przepustowości i w przypadku których jest mało prawdopodobne, by w najbliżej przyszłości rynek zapewnił użytkownikom końcowym łączność o prędkości pobierania danych wynoszącej 100 Mb/s, tak aby co najmniej 80 % gospodarstw domowych miało dostęp do internetu o przepustowości 100 Mb/s, z możliwością jej zwiększenia do prędkości mierzonych w Gb/s. Wspomniana inwestycja służy osiągnięciu 3 wartości docelowych: pierwsza zakłada objęcie stałą siecią szerokopasmową </w:t>
            </w:r>
            <w:r w:rsidRPr="006D56D2">
              <w:rPr>
                <w:rFonts w:eastAsia="Calibri"/>
                <w:strike/>
                <w:color w:val="FF0000"/>
              </w:rPr>
              <w:t>100 000</w:t>
            </w:r>
            <w:r w:rsidRPr="006D56D2">
              <w:rPr>
                <w:rFonts w:eastAsia="Calibri"/>
                <w:color w:val="FF0000"/>
              </w:rPr>
              <w:t xml:space="preserve"> 79 500 </w:t>
            </w:r>
            <w:r w:rsidRPr="006D56D2">
              <w:rPr>
                <w:rFonts w:eastAsia="Calibri"/>
              </w:rPr>
              <w:t xml:space="preserve">gospodarstw domowych do grudnia 2024 r., druga – </w:t>
            </w:r>
            <w:r w:rsidRPr="006D56D2">
              <w:rPr>
                <w:rFonts w:eastAsia="Calibri"/>
                <w:strike/>
                <w:color w:val="FF0000"/>
              </w:rPr>
              <w:t>400 000</w:t>
            </w:r>
            <w:r w:rsidRPr="006D56D2">
              <w:rPr>
                <w:rFonts w:eastAsia="Calibri"/>
                <w:color w:val="FF0000"/>
              </w:rPr>
              <w:t xml:space="preserve"> 106 000 </w:t>
            </w:r>
            <w:r w:rsidRPr="006D56D2">
              <w:rPr>
                <w:rFonts w:eastAsia="Calibri"/>
              </w:rPr>
              <w:t xml:space="preserve">gospodarstw domowych do grudnia 2025 r., natomiast ostatnia zakłada objęcie pozostałych </w:t>
            </w:r>
            <w:r w:rsidRPr="006D56D2">
              <w:rPr>
                <w:rFonts w:eastAsia="Calibri"/>
                <w:strike/>
                <w:color w:val="FF0000"/>
              </w:rPr>
              <w:t>431 00</w:t>
            </w:r>
            <w:r w:rsidRPr="006D56D2">
              <w:rPr>
                <w:rFonts w:eastAsia="Calibri"/>
              </w:rPr>
              <w:t> </w:t>
            </w:r>
            <w:r w:rsidRPr="006D56D2">
              <w:rPr>
                <w:rFonts w:eastAsia="Calibri"/>
                <w:color w:val="FF0000"/>
              </w:rPr>
              <w:t xml:space="preserve">629  500 </w:t>
            </w:r>
            <w:r w:rsidRPr="006D56D2">
              <w:rPr>
                <w:rFonts w:eastAsia="Calibri"/>
              </w:rPr>
              <w:t>gospodarstw domowych stałą siecią szerokopasmową do 30 czerwca 2026 r.</w:t>
            </w:r>
          </w:p>
        </w:tc>
      </w:tr>
      <w:tr w:rsidR="006D56D2" w:rsidRPr="00935797" w14:paraId="39D3421A" w14:textId="77777777" w:rsidTr="00F72BD7">
        <w:tc>
          <w:tcPr>
            <w:tcW w:w="1082" w:type="pct"/>
          </w:tcPr>
          <w:p w14:paraId="20503698" w14:textId="77777777" w:rsidR="006D56D2" w:rsidRPr="006D56D2" w:rsidRDefault="006D56D2" w:rsidP="006D56D2">
            <w:pPr>
              <w:spacing w:after="120" w:line="240" w:lineRule="auto"/>
              <w:jc w:val="left"/>
            </w:pPr>
            <w:r w:rsidRPr="006D56D2">
              <w:t>Opis komponentu oraz/lub działania (inwestycji/reformy)</w:t>
            </w:r>
          </w:p>
        </w:tc>
        <w:tc>
          <w:tcPr>
            <w:tcW w:w="1888" w:type="pct"/>
          </w:tcPr>
          <w:p w14:paraId="404B35D8" w14:textId="77777777" w:rsidR="006D56D2" w:rsidRPr="006D56D2" w:rsidRDefault="006D56D2" w:rsidP="006D56D2">
            <w:pPr>
              <w:spacing w:after="120" w:line="240" w:lineRule="auto"/>
              <w:jc w:val="left"/>
              <w:rPr>
                <w:lang w:val="en-GB"/>
              </w:rPr>
            </w:pPr>
            <w:r w:rsidRPr="006D56D2">
              <w:rPr>
                <w:rFonts w:eastAsia="Calibri"/>
                <w:lang w:val="en-GB"/>
              </w:rPr>
              <w:t>The goal of this investment, in line with the aforementioned reform, is to increase the number of households covered by fixed broadband network of 931, 000 units focusing on white nextgeneration-access (NGA) areas, where no high-capacity broadband infrastructure currently exists and where the market is not likely to provide end-users in the near future with a network offering connectivity of 100 Mbps download speed, in order to reach at least 80% households with a capacity of 100 Mbps, with the possibility of increasing it to gigabit capacity. The investment is divided in 3 targets: the first one shall be to reach 100,000 households by December 2024, the second one shall encompass 400,000 households by December 2025 and the last one shall focus on the remaining 431,000 households by 30 June 2026.</w:t>
            </w:r>
          </w:p>
        </w:tc>
        <w:tc>
          <w:tcPr>
            <w:tcW w:w="2030" w:type="pct"/>
          </w:tcPr>
          <w:p w14:paraId="205D6408" w14:textId="77777777" w:rsidR="006D56D2" w:rsidRPr="006D56D2" w:rsidRDefault="006D56D2" w:rsidP="006D56D2">
            <w:pPr>
              <w:spacing w:after="120" w:line="240" w:lineRule="auto"/>
              <w:jc w:val="left"/>
              <w:rPr>
                <w:lang w:val="en"/>
              </w:rPr>
            </w:pPr>
            <w:r w:rsidRPr="006D56D2">
              <w:rPr>
                <w:rFonts w:eastAsia="Calibri"/>
                <w:lang w:val="en-GB"/>
              </w:rPr>
              <w:t xml:space="preserve">The goal of this investment, in line with the aforementioned reform, is to increase the number of households covered by fixed broadband network of </w:t>
            </w:r>
            <w:r w:rsidRPr="006D56D2">
              <w:rPr>
                <w:rFonts w:eastAsia="Calibri"/>
                <w:strike/>
                <w:color w:val="FF0000"/>
                <w:lang w:val="en-GB"/>
              </w:rPr>
              <w:t>931, 000 </w:t>
            </w:r>
            <w:r w:rsidRPr="006D56D2">
              <w:rPr>
                <w:rFonts w:eastAsia="Calibri"/>
                <w:color w:val="FF0000"/>
                <w:lang w:val="en-GB"/>
              </w:rPr>
              <w:t xml:space="preserve"> 815 000 </w:t>
            </w:r>
            <w:r w:rsidRPr="006D56D2">
              <w:rPr>
                <w:rFonts w:eastAsia="Calibri"/>
                <w:lang w:val="en-GB"/>
              </w:rPr>
              <w:t xml:space="preserve">units focusing on white nextgeneration-access (NGA) areas, where no high-capacity broadband infrastructure currently exists and where the market is not likely to provide end-users in the near future with a network offering connectivity of 100 Mbps download speed, in order to reach at least 80% households with a capacity of 100 Mbps, with the possibility of increasing it to gigabit capacity. The investment is divided in 3 targets: the first one shall be to reach </w:t>
            </w:r>
            <w:r w:rsidRPr="006D56D2">
              <w:rPr>
                <w:rFonts w:eastAsia="Calibri"/>
                <w:strike/>
                <w:color w:val="FF0000"/>
                <w:lang w:val="en-GB"/>
              </w:rPr>
              <w:t>100,000</w:t>
            </w:r>
            <w:r w:rsidRPr="006D56D2">
              <w:rPr>
                <w:rFonts w:eastAsia="Calibri"/>
                <w:color w:val="FF0000"/>
                <w:lang w:val="en-GB"/>
              </w:rPr>
              <w:t xml:space="preserve"> 79 500 </w:t>
            </w:r>
            <w:r w:rsidRPr="006D56D2">
              <w:rPr>
                <w:rFonts w:eastAsia="Calibri"/>
                <w:lang w:val="en-GB"/>
              </w:rPr>
              <w:t xml:space="preserve">households by December 2024, the second one shall encompass </w:t>
            </w:r>
            <w:r w:rsidRPr="006D56D2">
              <w:rPr>
                <w:rFonts w:eastAsia="Calibri"/>
                <w:strike/>
                <w:color w:val="FF0000"/>
                <w:lang w:val="en-GB"/>
              </w:rPr>
              <w:t>400,000</w:t>
            </w:r>
            <w:r w:rsidRPr="006D56D2">
              <w:rPr>
                <w:rFonts w:eastAsia="Calibri"/>
                <w:color w:val="FF0000"/>
                <w:lang w:val="en-GB"/>
              </w:rPr>
              <w:t xml:space="preserve"> 106 000 </w:t>
            </w:r>
            <w:r w:rsidRPr="006D56D2">
              <w:rPr>
                <w:rFonts w:eastAsia="Calibri"/>
                <w:lang w:val="en-GB"/>
              </w:rPr>
              <w:t xml:space="preserve">households by December 2025 and the last one shall focus on the remaining </w:t>
            </w:r>
            <w:r w:rsidRPr="006D56D2">
              <w:rPr>
                <w:rFonts w:eastAsia="Calibri"/>
                <w:strike/>
                <w:color w:val="FF0000"/>
                <w:lang w:val="en-GB"/>
              </w:rPr>
              <w:t>431,000</w:t>
            </w:r>
            <w:r w:rsidRPr="006D56D2">
              <w:rPr>
                <w:rFonts w:eastAsia="Calibri"/>
                <w:color w:val="FF0000"/>
                <w:lang w:val="en-GB"/>
              </w:rPr>
              <w:t xml:space="preserve"> 629 500 </w:t>
            </w:r>
            <w:r w:rsidRPr="006D56D2">
              <w:rPr>
                <w:rFonts w:eastAsia="Calibri"/>
                <w:lang w:val="en-GB"/>
              </w:rPr>
              <w:t>households by 30 June 2026.</w:t>
            </w:r>
          </w:p>
        </w:tc>
      </w:tr>
      <w:tr w:rsidR="006D56D2" w:rsidRPr="006D56D2" w14:paraId="686FB2E7" w14:textId="77777777" w:rsidTr="00F72BD7">
        <w:tc>
          <w:tcPr>
            <w:tcW w:w="1082" w:type="pct"/>
            <w:vMerge w:val="restart"/>
          </w:tcPr>
          <w:p w14:paraId="789BA5F3" w14:textId="77777777" w:rsidR="006D56D2" w:rsidRPr="006D56D2" w:rsidRDefault="006D56D2" w:rsidP="006D56D2">
            <w:pPr>
              <w:spacing w:after="120" w:line="240" w:lineRule="auto"/>
            </w:pPr>
            <w:r w:rsidRPr="006D56D2">
              <w:t>Kamień milowy lub wskaźnik</w:t>
            </w:r>
          </w:p>
          <w:p w14:paraId="063A5890" w14:textId="77777777" w:rsidR="006D56D2" w:rsidRPr="006D56D2" w:rsidRDefault="006D56D2" w:rsidP="006D56D2">
            <w:pPr>
              <w:spacing w:after="120" w:line="240" w:lineRule="auto"/>
            </w:pPr>
          </w:p>
        </w:tc>
        <w:tc>
          <w:tcPr>
            <w:tcW w:w="1888" w:type="pct"/>
          </w:tcPr>
          <w:p w14:paraId="07643467" w14:textId="77777777" w:rsidR="006D56D2" w:rsidRPr="006D56D2" w:rsidRDefault="006D56D2" w:rsidP="006D56D2">
            <w:pPr>
              <w:spacing w:after="120" w:line="240" w:lineRule="auto"/>
              <w:jc w:val="left"/>
            </w:pPr>
            <w:r w:rsidRPr="006D56D2">
              <w:t>C4G</w:t>
            </w:r>
          </w:p>
          <w:p w14:paraId="2A3B0DB7" w14:textId="77777777" w:rsidR="006D56D2" w:rsidRPr="006D56D2" w:rsidRDefault="006D56D2" w:rsidP="006D56D2">
            <w:pPr>
              <w:spacing w:after="120" w:line="240" w:lineRule="auto"/>
              <w:jc w:val="left"/>
            </w:pPr>
            <w:r w:rsidRPr="006D56D2">
              <w:t>Jednostka miary: Liczba</w:t>
            </w:r>
          </w:p>
          <w:p w14:paraId="3689E518" w14:textId="77777777" w:rsidR="006D56D2" w:rsidRPr="006D56D2" w:rsidRDefault="006D56D2" w:rsidP="006D56D2">
            <w:pPr>
              <w:spacing w:after="120" w:line="240" w:lineRule="auto"/>
              <w:jc w:val="left"/>
            </w:pPr>
            <w:r w:rsidRPr="006D56D2">
              <w:t>Poziom bazowy: 0</w:t>
            </w:r>
          </w:p>
          <w:p w14:paraId="6326ABB9" w14:textId="77777777" w:rsidR="006D56D2" w:rsidRPr="006D56D2" w:rsidRDefault="006D56D2" w:rsidP="006D56D2">
            <w:pPr>
              <w:spacing w:after="120" w:line="240" w:lineRule="auto"/>
              <w:jc w:val="left"/>
            </w:pPr>
            <w:r w:rsidRPr="006D56D2">
              <w:t>Cel: 100 000</w:t>
            </w:r>
          </w:p>
          <w:p w14:paraId="5D96C886" w14:textId="77777777" w:rsidR="006D56D2" w:rsidRPr="006D56D2" w:rsidRDefault="006D56D2" w:rsidP="006D56D2">
            <w:pPr>
              <w:spacing w:after="120" w:line="240" w:lineRule="auto"/>
              <w:jc w:val="left"/>
            </w:pPr>
            <w:r w:rsidRPr="006D56D2">
              <w:t>Kwartał: IV kw.</w:t>
            </w:r>
          </w:p>
          <w:p w14:paraId="7C97A13B" w14:textId="77777777" w:rsidR="006D56D2" w:rsidRPr="006D56D2" w:rsidRDefault="006D56D2" w:rsidP="006D56D2">
            <w:pPr>
              <w:spacing w:after="120" w:line="240" w:lineRule="auto"/>
              <w:jc w:val="left"/>
            </w:pPr>
            <w:r w:rsidRPr="006D56D2">
              <w:t xml:space="preserve">Rok: 2024 </w:t>
            </w:r>
          </w:p>
          <w:p w14:paraId="60114B7E" w14:textId="77777777" w:rsidR="006D56D2" w:rsidRPr="006D56D2" w:rsidRDefault="006D56D2" w:rsidP="006D56D2">
            <w:pPr>
              <w:spacing w:after="120" w:line="240" w:lineRule="auto"/>
              <w:jc w:val="left"/>
            </w:pPr>
            <w:r w:rsidRPr="006D56D2">
              <w:lastRenderedPageBreak/>
              <w:t xml:space="preserve">Opis każdego kamienia milowego i każdej wartości docelowej: </w:t>
            </w:r>
          </w:p>
          <w:p w14:paraId="128A12BE" w14:textId="77777777" w:rsidR="006D56D2" w:rsidRPr="006D56D2" w:rsidRDefault="006D56D2" w:rsidP="006D56D2">
            <w:pPr>
              <w:spacing w:after="120" w:line="240" w:lineRule="auto"/>
              <w:jc w:val="left"/>
            </w:pPr>
            <w:r w:rsidRPr="006D56D2">
              <w:t>Co najmniej 100 000 dodatkowych gospodarstw domowych na obszarach białych dostępu nowej generacji – w przypadku których jest mało prawdopodobne, by w najbliżej przyszłości rynek zapewnił użytkownikom końcowym łączność o prędkości pobierania danych wynoszącej 100 Mb/s – zostanie objętych szerokopasmowym dostępem do internetu o przepustowości co najmniej 100 Mb/s (z możliwością zwiększenia do prędkości mierzonych w Gb/s), zgodnie z celami określonymi w Narodowym Planie Szerokopasmowym i komunikacie Komisji w sprawie europejskiego społeczeństwa gigabitowego. Inwestycja będzie realizowana w pełnej zgodności z wytycznymi technicznymi dotyczącymi stosowania zasady „nie czyń poważnych szkód” (2021/C 58/01), w szczególności w zakresie wymogów dotyczących charakterystyki energetycznej budynku, gospodarki odpadami oraz oceny ryzyka dla środowiska naturalnego.</w:t>
            </w:r>
          </w:p>
        </w:tc>
        <w:tc>
          <w:tcPr>
            <w:tcW w:w="2030" w:type="pct"/>
          </w:tcPr>
          <w:p w14:paraId="55FDC110" w14:textId="77777777" w:rsidR="006D56D2" w:rsidRPr="006D56D2" w:rsidRDefault="006D56D2" w:rsidP="006D56D2">
            <w:pPr>
              <w:spacing w:after="120" w:line="240" w:lineRule="auto"/>
              <w:jc w:val="left"/>
              <w:rPr>
                <w:rFonts w:eastAsia="Calibri"/>
              </w:rPr>
            </w:pPr>
            <w:r w:rsidRPr="006D56D2">
              <w:rPr>
                <w:rFonts w:eastAsia="Calibri"/>
              </w:rPr>
              <w:lastRenderedPageBreak/>
              <w:t xml:space="preserve">C4G </w:t>
            </w:r>
          </w:p>
          <w:p w14:paraId="02E46BF1" w14:textId="77777777" w:rsidR="006D56D2" w:rsidRPr="006D56D2" w:rsidRDefault="006D56D2" w:rsidP="006D56D2">
            <w:pPr>
              <w:spacing w:after="120" w:line="240" w:lineRule="auto"/>
              <w:jc w:val="left"/>
              <w:rPr>
                <w:rFonts w:eastAsia="Calibri"/>
              </w:rPr>
            </w:pPr>
            <w:r w:rsidRPr="006D56D2">
              <w:rPr>
                <w:rFonts w:eastAsia="Calibri"/>
              </w:rPr>
              <w:t>Jednostka miary: Liczba</w:t>
            </w:r>
          </w:p>
          <w:p w14:paraId="100DA9F6" w14:textId="77777777" w:rsidR="006D56D2" w:rsidRPr="006D56D2" w:rsidRDefault="006D56D2" w:rsidP="006D56D2">
            <w:pPr>
              <w:spacing w:after="120" w:line="240" w:lineRule="auto"/>
              <w:jc w:val="left"/>
              <w:rPr>
                <w:rFonts w:eastAsia="Calibri"/>
              </w:rPr>
            </w:pPr>
            <w:r w:rsidRPr="006D56D2">
              <w:rPr>
                <w:rFonts w:eastAsia="Calibri"/>
              </w:rPr>
              <w:t>Poziom bazowy: 0</w:t>
            </w:r>
          </w:p>
          <w:p w14:paraId="773DF8B1" w14:textId="77777777" w:rsidR="006D56D2" w:rsidRPr="006D56D2" w:rsidRDefault="006D56D2" w:rsidP="006D56D2">
            <w:pPr>
              <w:spacing w:after="120" w:line="240" w:lineRule="auto"/>
              <w:jc w:val="left"/>
              <w:rPr>
                <w:rFonts w:eastAsia="Calibri"/>
                <w:color w:val="FF0000"/>
              </w:rPr>
            </w:pPr>
            <w:r w:rsidRPr="006D56D2">
              <w:rPr>
                <w:rFonts w:eastAsia="Calibri"/>
              </w:rPr>
              <w:t xml:space="preserve">Cel: </w:t>
            </w:r>
            <w:r w:rsidRPr="006D56D2">
              <w:rPr>
                <w:rFonts w:eastAsia="Calibri"/>
                <w:strike/>
                <w:color w:val="FF0000"/>
              </w:rPr>
              <w:t>100 000</w:t>
            </w:r>
            <w:r w:rsidRPr="006D56D2">
              <w:rPr>
                <w:rFonts w:eastAsia="Calibri"/>
                <w:color w:val="FF0000"/>
              </w:rPr>
              <w:t xml:space="preserve"> 79 500</w:t>
            </w:r>
          </w:p>
          <w:p w14:paraId="1F7A833B" w14:textId="77777777" w:rsidR="006D56D2" w:rsidRPr="006D56D2" w:rsidRDefault="006D56D2" w:rsidP="006D56D2">
            <w:pPr>
              <w:spacing w:after="120" w:line="240" w:lineRule="auto"/>
              <w:jc w:val="left"/>
              <w:rPr>
                <w:rFonts w:eastAsia="Calibri"/>
              </w:rPr>
            </w:pPr>
            <w:r w:rsidRPr="006D56D2">
              <w:rPr>
                <w:rFonts w:eastAsia="Calibri"/>
              </w:rPr>
              <w:t>Kwartał: IV kw.</w:t>
            </w:r>
          </w:p>
          <w:p w14:paraId="3A093BAF" w14:textId="77777777" w:rsidR="006D56D2" w:rsidRPr="006D56D2" w:rsidRDefault="006D56D2" w:rsidP="006D56D2">
            <w:pPr>
              <w:spacing w:after="120" w:line="240" w:lineRule="auto"/>
              <w:jc w:val="left"/>
              <w:rPr>
                <w:rFonts w:eastAsia="Calibri"/>
              </w:rPr>
            </w:pPr>
            <w:r w:rsidRPr="006D56D2">
              <w:rPr>
                <w:rFonts w:eastAsia="Calibri"/>
              </w:rPr>
              <w:t xml:space="preserve">Rok: 2024 </w:t>
            </w:r>
          </w:p>
          <w:p w14:paraId="0F438CD5" w14:textId="77777777" w:rsidR="006D56D2" w:rsidRPr="006D56D2" w:rsidRDefault="006D56D2" w:rsidP="006D56D2">
            <w:pPr>
              <w:spacing w:after="120" w:line="240" w:lineRule="auto"/>
              <w:jc w:val="left"/>
              <w:rPr>
                <w:rFonts w:eastAsia="Calibri"/>
              </w:rPr>
            </w:pPr>
            <w:r w:rsidRPr="006D56D2">
              <w:rPr>
                <w:rFonts w:eastAsia="Calibri"/>
              </w:rPr>
              <w:lastRenderedPageBreak/>
              <w:t xml:space="preserve">Opis każdego kamienia milowego i każdej wartości docelowej: </w:t>
            </w:r>
          </w:p>
          <w:p w14:paraId="2D7E7C34" w14:textId="77777777" w:rsidR="006D56D2" w:rsidRPr="006D56D2" w:rsidRDefault="006D56D2" w:rsidP="006D56D2">
            <w:pPr>
              <w:spacing w:after="120" w:line="240" w:lineRule="auto"/>
              <w:jc w:val="left"/>
              <w:rPr>
                <w:rFonts w:eastAsia="Calibri"/>
              </w:rPr>
            </w:pPr>
            <w:r w:rsidRPr="006D56D2">
              <w:rPr>
                <w:rFonts w:eastAsia="Calibri"/>
              </w:rPr>
              <w:t xml:space="preserve">Co najmniej </w:t>
            </w:r>
            <w:r w:rsidRPr="006D56D2">
              <w:rPr>
                <w:rFonts w:eastAsia="Calibri"/>
                <w:strike/>
                <w:color w:val="FF0000"/>
              </w:rPr>
              <w:t>100 000</w:t>
            </w:r>
            <w:r w:rsidRPr="006D56D2">
              <w:rPr>
                <w:rFonts w:eastAsia="Calibri"/>
                <w:color w:val="FF0000"/>
              </w:rPr>
              <w:t xml:space="preserve"> 79 500 </w:t>
            </w:r>
            <w:r w:rsidRPr="006D56D2">
              <w:rPr>
                <w:rFonts w:eastAsia="Calibri"/>
              </w:rPr>
              <w:t>dodatkowych gospodarstw domowych na obszarach białych dostępu nowej generacji – w przypadku których jest mało prawdopodobne, by w najbliżej przyszłości rynek zapewnił użytkownikom końcowym łączność o prędkości pobierania danych wynoszącej 100 Mb/s – zostanie objętych szerokopasmowym dostępem do internetu o przepustowości co najmniej 100 Mb/s (z możliwością zwiększenia do prędkości mierzonych w Gb/s), zgodnie z celami określonymi w Narodowym Planie Szerokopasmowym i komunikacie Komisji w sprawie europejskiego społeczeństwa gigabitowego. Inwestycja będzie realizowana w pełnej zgodności z wytycznymi technicznymi dotyczącymi stosowania zasady „nie czyń poważnych szkód” (2021/C 58/01), w szczególności w zakresie wymogów dotyczących charakterystyki energetycznej budynku, gospodarki odpadami oraz oceny ryzyka dla środowiska naturalnego.</w:t>
            </w:r>
          </w:p>
        </w:tc>
      </w:tr>
      <w:tr w:rsidR="006D56D2" w:rsidRPr="00935797" w14:paraId="40F56215" w14:textId="77777777" w:rsidTr="00F72BD7">
        <w:tc>
          <w:tcPr>
            <w:tcW w:w="1082" w:type="pct"/>
            <w:vMerge/>
          </w:tcPr>
          <w:p w14:paraId="202F23DB" w14:textId="77777777" w:rsidR="006D56D2" w:rsidRPr="006D56D2" w:rsidRDefault="006D56D2" w:rsidP="006D56D2">
            <w:pPr>
              <w:spacing w:after="120" w:line="240" w:lineRule="auto"/>
            </w:pPr>
          </w:p>
        </w:tc>
        <w:tc>
          <w:tcPr>
            <w:tcW w:w="1888" w:type="pct"/>
          </w:tcPr>
          <w:p w14:paraId="4B7F5D87" w14:textId="77777777" w:rsidR="006D56D2" w:rsidRPr="006D56D2" w:rsidRDefault="006D56D2" w:rsidP="006D56D2">
            <w:pPr>
              <w:spacing w:after="120" w:line="240" w:lineRule="auto"/>
              <w:rPr>
                <w:lang w:val="en-GB"/>
              </w:rPr>
            </w:pPr>
            <w:r w:rsidRPr="006D56D2">
              <w:rPr>
                <w:lang w:val="en-GB"/>
              </w:rPr>
              <w:t xml:space="preserve">C4G </w:t>
            </w:r>
          </w:p>
          <w:p w14:paraId="7033DD21" w14:textId="77777777" w:rsidR="006D56D2" w:rsidRPr="006D56D2" w:rsidRDefault="006D56D2" w:rsidP="006D56D2">
            <w:pPr>
              <w:spacing w:after="120" w:line="240" w:lineRule="auto"/>
              <w:rPr>
                <w:lang w:val="en-GB"/>
              </w:rPr>
            </w:pPr>
            <w:r w:rsidRPr="006D56D2">
              <w:rPr>
                <w:lang w:val="en-GB"/>
              </w:rPr>
              <w:t>Unit of measure: Number</w:t>
            </w:r>
          </w:p>
          <w:p w14:paraId="10B73A12" w14:textId="77777777" w:rsidR="006D56D2" w:rsidRPr="006D56D2" w:rsidRDefault="006D56D2" w:rsidP="006D56D2">
            <w:pPr>
              <w:spacing w:after="120" w:line="240" w:lineRule="auto"/>
              <w:rPr>
                <w:lang w:val="en-GB"/>
              </w:rPr>
            </w:pPr>
            <w:r w:rsidRPr="006D56D2">
              <w:rPr>
                <w:lang w:val="en-GB"/>
              </w:rPr>
              <w:t>Baseline: 0</w:t>
            </w:r>
          </w:p>
          <w:p w14:paraId="603B7A69" w14:textId="77777777" w:rsidR="006D56D2" w:rsidRPr="006D56D2" w:rsidRDefault="006D56D2" w:rsidP="006D56D2">
            <w:pPr>
              <w:spacing w:after="120" w:line="240" w:lineRule="auto"/>
              <w:rPr>
                <w:lang w:val="en-GB"/>
              </w:rPr>
            </w:pPr>
            <w:r w:rsidRPr="006D56D2">
              <w:rPr>
                <w:lang w:val="en-GB"/>
              </w:rPr>
              <w:t>Goal: 100 000</w:t>
            </w:r>
          </w:p>
          <w:p w14:paraId="64D3FEFC" w14:textId="77777777" w:rsidR="006D56D2" w:rsidRPr="006D56D2" w:rsidRDefault="006D56D2" w:rsidP="006D56D2">
            <w:pPr>
              <w:spacing w:after="120" w:line="240" w:lineRule="auto"/>
              <w:rPr>
                <w:lang w:val="en-GB"/>
              </w:rPr>
            </w:pPr>
            <w:r w:rsidRPr="006D56D2">
              <w:rPr>
                <w:lang w:val="en-GB"/>
              </w:rPr>
              <w:t xml:space="preserve">Description of each milestone and </w:t>
            </w:r>
          </w:p>
          <w:p w14:paraId="33E9F884" w14:textId="77777777" w:rsidR="006D56D2" w:rsidRPr="006D56D2" w:rsidRDefault="006D56D2" w:rsidP="006D56D2">
            <w:pPr>
              <w:spacing w:after="120" w:line="240" w:lineRule="auto"/>
              <w:rPr>
                <w:lang w:val="en-GB"/>
              </w:rPr>
            </w:pPr>
            <w:r w:rsidRPr="006D56D2">
              <w:rPr>
                <w:lang w:val="en-GB"/>
              </w:rPr>
              <w:t>target:</w:t>
            </w:r>
          </w:p>
          <w:p w14:paraId="31EFBA2B" w14:textId="77777777" w:rsidR="006D56D2" w:rsidRPr="006D56D2" w:rsidRDefault="006D56D2" w:rsidP="006D56D2">
            <w:pPr>
              <w:spacing w:after="120" w:line="240" w:lineRule="auto"/>
              <w:jc w:val="left"/>
              <w:rPr>
                <w:lang w:val="en-GB"/>
              </w:rPr>
            </w:pPr>
            <w:r w:rsidRPr="006D56D2">
              <w:rPr>
                <w:lang w:val="en-GB"/>
              </w:rPr>
              <w:t>At least additional 100 000 households in white Next Generation Access areas where the market is not likely to provide end-users in the near future with a network offering connectivity of 100 Mbps download speed, to be covered by broadband internet access with a capacity of at least 100 Mbps (with the possibility of increasing it to gigabit capacity), in line with the objectives of the National Broadband Plan and the Commission Communication on the European Gigabit Society. The investment shall be carried out in full compliance with the DNSH Technical Guidance (2021/C 58/01), in particular with regard to requirements related to energy performance, waste management and environmental risk assessment.</w:t>
            </w:r>
          </w:p>
        </w:tc>
        <w:tc>
          <w:tcPr>
            <w:tcW w:w="2030" w:type="pct"/>
          </w:tcPr>
          <w:p w14:paraId="54C5D1C5" w14:textId="77777777" w:rsidR="006D56D2" w:rsidRPr="006D56D2" w:rsidRDefault="006D56D2" w:rsidP="006D56D2">
            <w:pPr>
              <w:spacing w:after="120" w:line="240" w:lineRule="auto"/>
              <w:jc w:val="left"/>
              <w:rPr>
                <w:rFonts w:eastAsia="Calibri"/>
                <w:lang w:val="en-GB"/>
              </w:rPr>
            </w:pPr>
            <w:r w:rsidRPr="006D56D2">
              <w:rPr>
                <w:rFonts w:eastAsia="Calibri"/>
                <w:lang w:val="en-GB"/>
              </w:rPr>
              <w:t>C4G</w:t>
            </w:r>
          </w:p>
          <w:p w14:paraId="440D5DB7" w14:textId="77777777" w:rsidR="006D56D2" w:rsidRPr="006D56D2" w:rsidRDefault="006D56D2" w:rsidP="006D56D2">
            <w:pPr>
              <w:spacing w:after="120" w:line="240" w:lineRule="auto"/>
              <w:jc w:val="left"/>
              <w:rPr>
                <w:rFonts w:eastAsia="Calibri"/>
                <w:lang w:val="en-GB"/>
              </w:rPr>
            </w:pPr>
            <w:r w:rsidRPr="006D56D2">
              <w:rPr>
                <w:rFonts w:eastAsia="Calibri"/>
                <w:lang w:val="en-GB"/>
              </w:rPr>
              <w:t>Unit of measure: Number</w:t>
            </w:r>
          </w:p>
          <w:p w14:paraId="4FD10594" w14:textId="77777777" w:rsidR="006D56D2" w:rsidRPr="006D56D2" w:rsidRDefault="006D56D2" w:rsidP="006D56D2">
            <w:pPr>
              <w:spacing w:after="120" w:line="240" w:lineRule="auto"/>
              <w:jc w:val="left"/>
              <w:rPr>
                <w:rFonts w:eastAsia="Calibri"/>
                <w:lang w:val="en-GB"/>
              </w:rPr>
            </w:pPr>
            <w:r w:rsidRPr="006D56D2">
              <w:rPr>
                <w:rFonts w:eastAsia="Calibri"/>
                <w:lang w:val="en-GB"/>
              </w:rPr>
              <w:t>Baseline: 0</w:t>
            </w:r>
          </w:p>
          <w:p w14:paraId="20CFDF47" w14:textId="77777777" w:rsidR="006D56D2" w:rsidRPr="006D56D2" w:rsidRDefault="006D56D2" w:rsidP="006D56D2">
            <w:pPr>
              <w:spacing w:after="120" w:line="240" w:lineRule="auto"/>
              <w:jc w:val="left"/>
              <w:rPr>
                <w:rFonts w:eastAsia="Calibri"/>
                <w:color w:val="FF0000"/>
                <w:lang w:val="en-GB"/>
              </w:rPr>
            </w:pPr>
            <w:r w:rsidRPr="006D56D2">
              <w:rPr>
                <w:rFonts w:eastAsia="Calibri"/>
                <w:lang w:val="en-GB"/>
              </w:rPr>
              <w:t xml:space="preserve">Goal: </w:t>
            </w:r>
            <w:r w:rsidRPr="006D56D2">
              <w:rPr>
                <w:rFonts w:eastAsia="Calibri"/>
                <w:strike/>
                <w:color w:val="FF0000"/>
                <w:lang w:val="en-GB"/>
              </w:rPr>
              <w:t>100 000</w:t>
            </w:r>
            <w:r w:rsidRPr="006D56D2">
              <w:rPr>
                <w:rFonts w:eastAsia="Calibri"/>
                <w:color w:val="FF0000"/>
                <w:lang w:val="en-GB"/>
              </w:rPr>
              <w:t xml:space="preserve"> 79 500</w:t>
            </w:r>
          </w:p>
          <w:p w14:paraId="61B55878" w14:textId="77777777" w:rsidR="006D56D2" w:rsidRPr="006D56D2" w:rsidRDefault="006D56D2" w:rsidP="006D56D2">
            <w:pPr>
              <w:spacing w:after="120" w:line="240" w:lineRule="auto"/>
              <w:jc w:val="left"/>
              <w:rPr>
                <w:rFonts w:eastAsia="Calibri"/>
                <w:lang w:val="en-GB"/>
              </w:rPr>
            </w:pPr>
            <w:r w:rsidRPr="006D56D2">
              <w:rPr>
                <w:rFonts w:eastAsia="Calibri"/>
                <w:lang w:val="en-GB"/>
              </w:rPr>
              <w:t xml:space="preserve">Description of each milestone and </w:t>
            </w:r>
          </w:p>
          <w:p w14:paraId="050FDDD9" w14:textId="77777777" w:rsidR="006D56D2" w:rsidRPr="006D56D2" w:rsidRDefault="006D56D2" w:rsidP="006D56D2">
            <w:pPr>
              <w:spacing w:after="120" w:line="240" w:lineRule="auto"/>
              <w:jc w:val="left"/>
              <w:rPr>
                <w:rFonts w:eastAsia="Calibri"/>
                <w:lang w:val="en-GB"/>
              </w:rPr>
            </w:pPr>
            <w:r w:rsidRPr="006D56D2">
              <w:rPr>
                <w:rFonts w:eastAsia="Calibri"/>
                <w:lang w:val="en-GB"/>
              </w:rPr>
              <w:t>target:</w:t>
            </w:r>
          </w:p>
          <w:p w14:paraId="4CBE70AC" w14:textId="77777777" w:rsidR="006D56D2" w:rsidRPr="006D56D2" w:rsidRDefault="006D56D2" w:rsidP="006D56D2">
            <w:pPr>
              <w:spacing w:after="120" w:line="240" w:lineRule="auto"/>
              <w:jc w:val="left"/>
              <w:rPr>
                <w:lang w:val="en-GB"/>
              </w:rPr>
            </w:pPr>
            <w:r w:rsidRPr="006D56D2">
              <w:rPr>
                <w:rFonts w:eastAsia="Calibri"/>
                <w:lang w:val="en-GB"/>
              </w:rPr>
              <w:t xml:space="preserve">At least additional </w:t>
            </w:r>
            <w:r w:rsidRPr="006D56D2">
              <w:rPr>
                <w:rFonts w:eastAsia="Calibri"/>
                <w:strike/>
                <w:color w:val="FF0000"/>
                <w:lang w:val="en-GB"/>
              </w:rPr>
              <w:t>100 000</w:t>
            </w:r>
            <w:r w:rsidRPr="006D56D2">
              <w:rPr>
                <w:rFonts w:eastAsia="Calibri"/>
                <w:color w:val="FF0000"/>
                <w:lang w:val="en-GB"/>
              </w:rPr>
              <w:t xml:space="preserve"> 79 500 </w:t>
            </w:r>
            <w:r w:rsidRPr="006D56D2">
              <w:rPr>
                <w:rFonts w:eastAsia="Calibri"/>
                <w:lang w:val="en-GB"/>
              </w:rPr>
              <w:t>households in white Next Generation Access areas where the market is not likely to provide end-users in the near future with a network offering connectivity of 100 Mbps download speed, to be covered by broadband internet access with a capacity of at least 100 Mbps (with the possibility of increasing it to gigabit capacity), in line with the objectives of the National Broadband Plan and the Commission Communication on the European Gigabit Society. The investment shall be carried out in full compliance with the DNSH Technical Guidance (2021/C 58/01), in particular with regard to requirements related to energy performance, waste management and environmental risk assessment.</w:t>
            </w:r>
          </w:p>
        </w:tc>
      </w:tr>
      <w:tr w:rsidR="006D56D2" w:rsidRPr="006D56D2" w14:paraId="7BA5AB66" w14:textId="77777777" w:rsidTr="00F72BD7">
        <w:tc>
          <w:tcPr>
            <w:tcW w:w="1082" w:type="pct"/>
            <w:vMerge/>
          </w:tcPr>
          <w:p w14:paraId="20C0932D" w14:textId="77777777" w:rsidR="006D56D2" w:rsidRPr="006D56D2" w:rsidRDefault="006D56D2" w:rsidP="006D56D2">
            <w:pPr>
              <w:spacing w:after="120" w:line="240" w:lineRule="auto"/>
              <w:rPr>
                <w:lang w:val="en-GB"/>
              </w:rPr>
            </w:pPr>
          </w:p>
        </w:tc>
        <w:tc>
          <w:tcPr>
            <w:tcW w:w="1888" w:type="pct"/>
          </w:tcPr>
          <w:p w14:paraId="16DAED22" w14:textId="77777777" w:rsidR="006D56D2" w:rsidRPr="006D56D2" w:rsidRDefault="006D56D2" w:rsidP="006D56D2">
            <w:pPr>
              <w:spacing w:after="120" w:line="240" w:lineRule="auto"/>
              <w:jc w:val="left"/>
            </w:pPr>
            <w:r w:rsidRPr="006D56D2">
              <w:t xml:space="preserve">C5G </w:t>
            </w:r>
          </w:p>
          <w:p w14:paraId="67C7E546" w14:textId="77777777" w:rsidR="006D56D2" w:rsidRPr="006D56D2" w:rsidRDefault="006D56D2" w:rsidP="006D56D2">
            <w:pPr>
              <w:spacing w:after="120" w:line="240" w:lineRule="auto"/>
              <w:jc w:val="left"/>
            </w:pPr>
            <w:r w:rsidRPr="006D56D2">
              <w:t>Jednostka miary: Liczba</w:t>
            </w:r>
          </w:p>
          <w:p w14:paraId="7AB3A9E9" w14:textId="77777777" w:rsidR="006D56D2" w:rsidRPr="006D56D2" w:rsidRDefault="006D56D2" w:rsidP="006D56D2">
            <w:pPr>
              <w:spacing w:after="120" w:line="240" w:lineRule="auto"/>
              <w:jc w:val="left"/>
            </w:pPr>
            <w:r w:rsidRPr="006D56D2">
              <w:t>Poziom bazowy: 100 000</w:t>
            </w:r>
          </w:p>
          <w:p w14:paraId="598A36AB" w14:textId="77777777" w:rsidR="006D56D2" w:rsidRPr="006D56D2" w:rsidRDefault="006D56D2" w:rsidP="006D56D2">
            <w:pPr>
              <w:spacing w:after="120" w:line="240" w:lineRule="auto"/>
              <w:jc w:val="left"/>
            </w:pPr>
            <w:r w:rsidRPr="006D56D2">
              <w:t>Cel: 500 000</w:t>
            </w:r>
          </w:p>
          <w:p w14:paraId="26603509" w14:textId="77777777" w:rsidR="006D56D2" w:rsidRPr="006D56D2" w:rsidRDefault="006D56D2" w:rsidP="006D56D2">
            <w:pPr>
              <w:spacing w:after="120" w:line="240" w:lineRule="auto"/>
              <w:jc w:val="left"/>
            </w:pPr>
            <w:r w:rsidRPr="006D56D2">
              <w:t xml:space="preserve">Opis każdego kamienia milowego i każdej wartości docelowej: </w:t>
            </w:r>
          </w:p>
          <w:p w14:paraId="53DF57DC" w14:textId="77777777" w:rsidR="006D56D2" w:rsidRPr="006D56D2" w:rsidRDefault="006D56D2" w:rsidP="006D56D2">
            <w:pPr>
              <w:spacing w:after="120" w:line="240" w:lineRule="auto"/>
              <w:jc w:val="left"/>
            </w:pPr>
            <w:r w:rsidRPr="006D56D2">
              <w:t>Co najmniej 500 000 dodatkowych gospodarstw domowych na obszarach białych dostępu nowej generacji – w przypadku których jest mało prawdopodobne, by w najbliżej przyszłości rynek zapewnił użytkownikom końcowym łączność o prędkości pobierania danych wynoszącej 100 Mb/s – zostanie objętych szerokopasmowym dostępem do internetu o przepustowości co najmniej 100 Mb/s (z możliwością zwiększenia do prędkości mierzonych w Gb/s), zgodnie z celami określonymi w Narodowym Planie Szerokopasmowym i komunikacie Komisji w sprawie europejskiego społeczeństwa gigabitowego. Inwestycja będzie realizowana w pełnej zgodności z wytycznymi technicznymi dotyczącymi stosowania zasady „nie czyń poważnych szkód” (2021/C 58/01), w szczególności w zakresie wymogów dotyczących charakterystyki energetycznej budynku, gospodarki odpadami oraz oceny ryzyka dla środowiska naturalnego.</w:t>
            </w:r>
          </w:p>
        </w:tc>
        <w:tc>
          <w:tcPr>
            <w:tcW w:w="2030" w:type="pct"/>
          </w:tcPr>
          <w:p w14:paraId="3A3A789A" w14:textId="77777777" w:rsidR="006D56D2" w:rsidRPr="006D56D2" w:rsidRDefault="006D56D2" w:rsidP="006D56D2">
            <w:pPr>
              <w:spacing w:after="120" w:line="240" w:lineRule="auto"/>
              <w:jc w:val="left"/>
              <w:rPr>
                <w:rFonts w:eastAsia="Calibri"/>
              </w:rPr>
            </w:pPr>
            <w:r w:rsidRPr="006D56D2">
              <w:rPr>
                <w:rFonts w:eastAsia="Calibri"/>
              </w:rPr>
              <w:t>C5G</w:t>
            </w:r>
          </w:p>
          <w:p w14:paraId="70317213" w14:textId="77777777" w:rsidR="006D56D2" w:rsidRPr="006D56D2" w:rsidRDefault="006D56D2" w:rsidP="006D56D2">
            <w:pPr>
              <w:spacing w:after="120" w:line="240" w:lineRule="auto"/>
              <w:jc w:val="left"/>
              <w:rPr>
                <w:rFonts w:eastAsia="Calibri"/>
              </w:rPr>
            </w:pPr>
            <w:r w:rsidRPr="006D56D2">
              <w:rPr>
                <w:rFonts w:eastAsia="Calibri"/>
              </w:rPr>
              <w:t>Jednostka miary: Liczba</w:t>
            </w:r>
          </w:p>
          <w:p w14:paraId="33F243B5" w14:textId="77777777" w:rsidR="006D56D2" w:rsidRPr="006D56D2" w:rsidRDefault="006D56D2" w:rsidP="006D56D2">
            <w:pPr>
              <w:spacing w:after="120" w:line="240" w:lineRule="auto"/>
              <w:jc w:val="left"/>
              <w:rPr>
                <w:rFonts w:eastAsia="Calibri"/>
              </w:rPr>
            </w:pPr>
            <w:r w:rsidRPr="006D56D2">
              <w:rPr>
                <w:rFonts w:eastAsia="Calibri"/>
              </w:rPr>
              <w:t xml:space="preserve">Poziom bazowy: </w:t>
            </w:r>
            <w:r w:rsidRPr="006D56D2">
              <w:rPr>
                <w:rFonts w:eastAsia="Calibri"/>
                <w:strike/>
                <w:color w:val="FF0000"/>
              </w:rPr>
              <w:t>100 000</w:t>
            </w:r>
            <w:r w:rsidRPr="006D56D2">
              <w:rPr>
                <w:rFonts w:eastAsia="Calibri"/>
                <w:color w:val="FF0000"/>
              </w:rPr>
              <w:t xml:space="preserve"> 79 500</w:t>
            </w:r>
          </w:p>
          <w:p w14:paraId="701C3385" w14:textId="77777777" w:rsidR="006D56D2" w:rsidRPr="006D56D2" w:rsidRDefault="006D56D2" w:rsidP="006D56D2">
            <w:pPr>
              <w:spacing w:after="120" w:line="240" w:lineRule="auto"/>
              <w:jc w:val="left"/>
              <w:rPr>
                <w:rFonts w:eastAsia="Calibri"/>
                <w:color w:val="FF0000"/>
              </w:rPr>
            </w:pPr>
            <w:r w:rsidRPr="006D56D2">
              <w:rPr>
                <w:rFonts w:eastAsia="Calibri"/>
              </w:rPr>
              <w:t xml:space="preserve">Cel: </w:t>
            </w:r>
            <w:r w:rsidRPr="006D56D2">
              <w:rPr>
                <w:rFonts w:eastAsia="Calibri"/>
                <w:color w:val="FF0000"/>
              </w:rPr>
              <w:t>5</w:t>
            </w:r>
            <w:r w:rsidRPr="006D56D2">
              <w:rPr>
                <w:rFonts w:eastAsia="Calibri"/>
                <w:strike/>
                <w:color w:val="FF0000"/>
              </w:rPr>
              <w:t>00 000</w:t>
            </w:r>
            <w:r w:rsidRPr="006D56D2">
              <w:rPr>
                <w:rFonts w:eastAsia="Calibri"/>
                <w:color w:val="FF0000"/>
              </w:rPr>
              <w:t> 185 500</w:t>
            </w:r>
          </w:p>
          <w:p w14:paraId="04F15B13" w14:textId="77777777" w:rsidR="006D56D2" w:rsidRPr="006D56D2" w:rsidRDefault="006D56D2" w:rsidP="006D56D2">
            <w:pPr>
              <w:spacing w:after="120" w:line="240" w:lineRule="auto"/>
              <w:jc w:val="left"/>
              <w:rPr>
                <w:rFonts w:eastAsia="Calibri"/>
              </w:rPr>
            </w:pPr>
            <w:r w:rsidRPr="006D56D2">
              <w:rPr>
                <w:rFonts w:eastAsia="Calibri"/>
              </w:rPr>
              <w:t xml:space="preserve">Opis każdego kamienia milowego i każdej wartości docelowej: </w:t>
            </w:r>
          </w:p>
          <w:p w14:paraId="3A3F8ECA" w14:textId="77777777" w:rsidR="006D56D2" w:rsidRPr="006D56D2" w:rsidRDefault="006D56D2" w:rsidP="006D56D2">
            <w:pPr>
              <w:spacing w:after="120" w:line="240" w:lineRule="auto"/>
              <w:jc w:val="left"/>
              <w:rPr>
                <w:rFonts w:eastAsia="Calibri"/>
              </w:rPr>
            </w:pPr>
            <w:r w:rsidRPr="006D56D2">
              <w:rPr>
                <w:rFonts w:eastAsia="Calibri"/>
              </w:rPr>
              <w:t xml:space="preserve">Co najmniej </w:t>
            </w:r>
            <w:r w:rsidRPr="006D56D2">
              <w:rPr>
                <w:rFonts w:eastAsia="Calibri"/>
                <w:strike/>
                <w:color w:val="FF0000"/>
              </w:rPr>
              <w:t>500 000</w:t>
            </w:r>
            <w:r w:rsidRPr="006D56D2">
              <w:rPr>
                <w:rFonts w:eastAsia="Calibri"/>
                <w:color w:val="FF0000"/>
              </w:rPr>
              <w:t xml:space="preserve"> 185 500 </w:t>
            </w:r>
            <w:r w:rsidRPr="006D56D2">
              <w:rPr>
                <w:rFonts w:eastAsia="Calibri"/>
              </w:rPr>
              <w:t>dodatkowych gospodarstw domowych na obszarach białych dostępu nowej generacji – w przypadku których jest mało prawdopodobne, by w najbliżej przyszłości rynek zapewnił użytkownikom końcowym łączność o prędkości pobierania danych wynoszącej 100 Mb/s – zostanie objętych szerokopasmowym dostępem do internetu o przepustowości co najmniej 100 Mb/s (z możliwością zwiększenia do prędkości mierzonych w Gb/s), zgodnie z celami określonymi w Narodowym Planie Szerokopasmowym i komunikacie Komisji w sprawie europejskiego społeczeństwa gigabitowego. Inwestycja będzie realizowana w pełnej zgodności z wytycznymi technicznymi dotyczącymi stosowania zasady „nie czyń poważnych szkód” (2021/C 58/01), w szczególności w zakresie wymogów dotyczących charakterystyki energetycznej budynku, gospodarki odpadami oraz oceny ryzyka dla środowiska naturalnego.</w:t>
            </w:r>
          </w:p>
          <w:p w14:paraId="3355BFA3" w14:textId="77777777" w:rsidR="006D56D2" w:rsidRPr="006D56D2" w:rsidRDefault="006D56D2" w:rsidP="006D56D2">
            <w:pPr>
              <w:spacing w:after="120" w:line="240" w:lineRule="auto"/>
              <w:jc w:val="left"/>
              <w:rPr>
                <w:rFonts w:eastAsia="Calibri"/>
              </w:rPr>
            </w:pPr>
          </w:p>
        </w:tc>
      </w:tr>
      <w:tr w:rsidR="006D56D2" w:rsidRPr="00935797" w14:paraId="14260C8A" w14:textId="77777777" w:rsidTr="00F72BD7">
        <w:tc>
          <w:tcPr>
            <w:tcW w:w="1082" w:type="pct"/>
            <w:vMerge/>
          </w:tcPr>
          <w:p w14:paraId="1DAD6A6F" w14:textId="77777777" w:rsidR="006D56D2" w:rsidRPr="006D56D2" w:rsidRDefault="006D56D2" w:rsidP="006D56D2">
            <w:pPr>
              <w:spacing w:after="120" w:line="240" w:lineRule="auto"/>
            </w:pPr>
          </w:p>
        </w:tc>
        <w:tc>
          <w:tcPr>
            <w:tcW w:w="1888" w:type="pct"/>
          </w:tcPr>
          <w:p w14:paraId="20D8D9E6" w14:textId="77777777" w:rsidR="006D56D2" w:rsidRPr="006D56D2" w:rsidRDefault="006D56D2" w:rsidP="006D56D2">
            <w:pPr>
              <w:spacing w:after="120" w:line="240" w:lineRule="auto"/>
              <w:jc w:val="left"/>
              <w:rPr>
                <w:lang w:val="en-GB"/>
              </w:rPr>
            </w:pPr>
            <w:r w:rsidRPr="006D56D2">
              <w:rPr>
                <w:lang w:val="en-GB"/>
              </w:rPr>
              <w:t>C5G</w:t>
            </w:r>
          </w:p>
          <w:p w14:paraId="3A2C2186" w14:textId="77777777" w:rsidR="006D56D2" w:rsidRPr="006D56D2" w:rsidRDefault="006D56D2" w:rsidP="006D56D2">
            <w:pPr>
              <w:spacing w:after="120" w:line="240" w:lineRule="auto"/>
              <w:jc w:val="left"/>
              <w:rPr>
                <w:lang w:val="en-GB"/>
              </w:rPr>
            </w:pPr>
            <w:r w:rsidRPr="006D56D2">
              <w:rPr>
                <w:lang w:val="en-GB"/>
              </w:rPr>
              <w:t>Unit of measure: Number</w:t>
            </w:r>
          </w:p>
          <w:p w14:paraId="4A0EEAC5" w14:textId="77777777" w:rsidR="006D56D2" w:rsidRPr="006D56D2" w:rsidRDefault="006D56D2" w:rsidP="006D56D2">
            <w:pPr>
              <w:spacing w:after="120" w:line="240" w:lineRule="auto"/>
              <w:jc w:val="left"/>
              <w:rPr>
                <w:lang w:val="en-GB"/>
              </w:rPr>
            </w:pPr>
            <w:r w:rsidRPr="006D56D2">
              <w:rPr>
                <w:lang w:val="en-GB"/>
              </w:rPr>
              <w:t xml:space="preserve">Baseline: 100 000 </w:t>
            </w:r>
          </w:p>
          <w:p w14:paraId="39516048" w14:textId="77777777" w:rsidR="006D56D2" w:rsidRPr="006D56D2" w:rsidRDefault="006D56D2" w:rsidP="006D56D2">
            <w:pPr>
              <w:spacing w:after="120" w:line="240" w:lineRule="auto"/>
              <w:jc w:val="left"/>
              <w:rPr>
                <w:lang w:val="en-GB"/>
              </w:rPr>
            </w:pPr>
            <w:r w:rsidRPr="006D56D2">
              <w:rPr>
                <w:lang w:val="en-GB"/>
              </w:rPr>
              <w:t>Goal: 500 000</w:t>
            </w:r>
          </w:p>
          <w:p w14:paraId="01E78666" w14:textId="77777777" w:rsidR="006D56D2" w:rsidRPr="006D56D2" w:rsidRDefault="006D56D2" w:rsidP="006D56D2">
            <w:pPr>
              <w:spacing w:after="120" w:line="240" w:lineRule="auto"/>
              <w:jc w:val="left"/>
              <w:rPr>
                <w:lang w:val="en-GB"/>
              </w:rPr>
            </w:pPr>
            <w:r w:rsidRPr="006D56D2">
              <w:rPr>
                <w:lang w:val="en-GB"/>
              </w:rPr>
              <w:lastRenderedPageBreak/>
              <w:t>Description of each milestone and target:</w:t>
            </w:r>
          </w:p>
          <w:p w14:paraId="2A1B9B2C" w14:textId="77777777" w:rsidR="006D56D2" w:rsidRPr="006D56D2" w:rsidRDefault="006D56D2" w:rsidP="006D56D2">
            <w:pPr>
              <w:spacing w:after="120" w:line="240" w:lineRule="auto"/>
              <w:jc w:val="left"/>
              <w:rPr>
                <w:lang w:val="en-GB"/>
              </w:rPr>
            </w:pPr>
            <w:r w:rsidRPr="006D56D2">
              <w:rPr>
                <w:lang w:val="en-GB"/>
              </w:rPr>
              <w:t>At least additional 500 000 households in white Next Generation Access areas where the market is not likely to provide end-users in the near future with a network offering connectivity of 100 Mbps download speed, to be covered by broadband internet access with a capacity of at least 100 Mbps (with the possibility of increasing it to gigabit capacity), in line with the objectives of the National Broadband Plan and the Commission Communication on the European Gigabit Society. The investment shall be carried out in full compliance with the DNSH Technical Guidance (2021/C 58/01), in particular with regard to requirements related to energy performance, waste management and environmental risk assessment.</w:t>
            </w:r>
          </w:p>
        </w:tc>
        <w:tc>
          <w:tcPr>
            <w:tcW w:w="2030" w:type="pct"/>
          </w:tcPr>
          <w:p w14:paraId="001CAF99" w14:textId="77777777" w:rsidR="006D56D2" w:rsidRPr="006D56D2" w:rsidRDefault="006D56D2" w:rsidP="006D56D2">
            <w:pPr>
              <w:spacing w:after="120" w:line="240" w:lineRule="auto"/>
              <w:jc w:val="left"/>
              <w:rPr>
                <w:rFonts w:eastAsia="Calibri"/>
                <w:lang w:val="en-GB"/>
              </w:rPr>
            </w:pPr>
            <w:r w:rsidRPr="006D56D2">
              <w:rPr>
                <w:rFonts w:eastAsia="Calibri"/>
                <w:lang w:val="en-GB"/>
              </w:rPr>
              <w:lastRenderedPageBreak/>
              <w:t>C5G</w:t>
            </w:r>
          </w:p>
          <w:p w14:paraId="67892512" w14:textId="77777777" w:rsidR="006D56D2" w:rsidRPr="006D56D2" w:rsidRDefault="006D56D2" w:rsidP="006D56D2">
            <w:pPr>
              <w:spacing w:after="120" w:line="240" w:lineRule="auto"/>
              <w:jc w:val="left"/>
              <w:rPr>
                <w:rFonts w:eastAsia="Calibri"/>
                <w:lang w:val="en-GB"/>
              </w:rPr>
            </w:pPr>
            <w:r w:rsidRPr="006D56D2">
              <w:rPr>
                <w:rFonts w:eastAsia="Calibri"/>
                <w:lang w:val="en-GB"/>
              </w:rPr>
              <w:t>Unit of measure: Number</w:t>
            </w:r>
          </w:p>
          <w:p w14:paraId="13600EFE" w14:textId="77777777" w:rsidR="006D56D2" w:rsidRPr="006D56D2" w:rsidRDefault="006D56D2" w:rsidP="006D56D2">
            <w:pPr>
              <w:spacing w:after="120" w:line="240" w:lineRule="auto"/>
              <w:jc w:val="left"/>
              <w:rPr>
                <w:rFonts w:eastAsia="Calibri"/>
                <w:lang w:val="en-GB"/>
              </w:rPr>
            </w:pPr>
            <w:r w:rsidRPr="006D56D2">
              <w:rPr>
                <w:rFonts w:eastAsia="Calibri"/>
                <w:lang w:val="en-GB"/>
              </w:rPr>
              <w:t xml:space="preserve">Baseline: </w:t>
            </w:r>
            <w:r w:rsidRPr="006D56D2">
              <w:rPr>
                <w:rFonts w:eastAsia="Calibri"/>
                <w:strike/>
                <w:color w:val="FF0000"/>
                <w:lang w:val="en-GB"/>
              </w:rPr>
              <w:t>100 000</w:t>
            </w:r>
            <w:r w:rsidRPr="006D56D2">
              <w:rPr>
                <w:rFonts w:eastAsia="Calibri"/>
                <w:color w:val="FF0000"/>
                <w:lang w:val="en-GB"/>
              </w:rPr>
              <w:t xml:space="preserve"> 79 500</w:t>
            </w:r>
          </w:p>
          <w:p w14:paraId="672BD3E7" w14:textId="77777777" w:rsidR="006D56D2" w:rsidRPr="006D56D2" w:rsidRDefault="006D56D2" w:rsidP="006D56D2">
            <w:pPr>
              <w:spacing w:after="120" w:line="240" w:lineRule="auto"/>
              <w:jc w:val="left"/>
              <w:rPr>
                <w:rFonts w:eastAsia="Calibri"/>
                <w:color w:val="FF0000"/>
                <w:lang w:val="en-GB"/>
              </w:rPr>
            </w:pPr>
            <w:r w:rsidRPr="006D56D2">
              <w:rPr>
                <w:rFonts w:eastAsia="Calibri"/>
                <w:lang w:val="en-GB"/>
              </w:rPr>
              <w:t xml:space="preserve">Goal: </w:t>
            </w:r>
            <w:r w:rsidRPr="006D56D2">
              <w:rPr>
                <w:rFonts w:eastAsia="Calibri"/>
                <w:color w:val="FF0000"/>
                <w:lang w:val="en-GB"/>
              </w:rPr>
              <w:t>5</w:t>
            </w:r>
            <w:r w:rsidRPr="006D56D2">
              <w:rPr>
                <w:rFonts w:eastAsia="Calibri"/>
                <w:strike/>
                <w:color w:val="FF0000"/>
                <w:lang w:val="en-GB"/>
              </w:rPr>
              <w:t>00 000</w:t>
            </w:r>
            <w:r w:rsidRPr="006D56D2">
              <w:rPr>
                <w:rFonts w:eastAsia="Calibri"/>
                <w:color w:val="FF0000"/>
                <w:lang w:val="en-GB"/>
              </w:rPr>
              <w:t> 185 500</w:t>
            </w:r>
          </w:p>
          <w:p w14:paraId="176D3683" w14:textId="77777777" w:rsidR="006D56D2" w:rsidRPr="006D56D2" w:rsidRDefault="006D56D2" w:rsidP="006D56D2">
            <w:pPr>
              <w:spacing w:after="120" w:line="240" w:lineRule="auto"/>
              <w:jc w:val="left"/>
              <w:rPr>
                <w:rFonts w:eastAsia="Calibri"/>
                <w:lang w:val="en-GB"/>
              </w:rPr>
            </w:pPr>
            <w:r w:rsidRPr="006D56D2">
              <w:rPr>
                <w:rFonts w:eastAsia="Calibri"/>
                <w:lang w:val="en-GB"/>
              </w:rPr>
              <w:lastRenderedPageBreak/>
              <w:t>Description of each milestone and target:</w:t>
            </w:r>
          </w:p>
          <w:p w14:paraId="53D10127" w14:textId="77777777" w:rsidR="006D56D2" w:rsidRPr="006D56D2" w:rsidRDefault="006D56D2" w:rsidP="006D56D2">
            <w:pPr>
              <w:spacing w:after="120" w:line="240" w:lineRule="auto"/>
              <w:jc w:val="left"/>
              <w:rPr>
                <w:color w:val="FF0000"/>
                <w:lang w:val="en-GB"/>
              </w:rPr>
            </w:pPr>
            <w:r w:rsidRPr="006D56D2">
              <w:rPr>
                <w:rFonts w:eastAsia="Calibri"/>
                <w:lang w:val="en-GB"/>
              </w:rPr>
              <w:t xml:space="preserve">At least additional </w:t>
            </w:r>
            <w:r w:rsidRPr="006D56D2">
              <w:rPr>
                <w:rFonts w:eastAsia="Calibri"/>
                <w:strike/>
                <w:color w:val="FF0000"/>
                <w:lang w:val="en-GB"/>
              </w:rPr>
              <w:t>500 000</w:t>
            </w:r>
            <w:r w:rsidRPr="006D56D2">
              <w:rPr>
                <w:rFonts w:eastAsia="Calibri"/>
                <w:color w:val="FF0000"/>
                <w:lang w:val="en-GB"/>
              </w:rPr>
              <w:t xml:space="preserve"> 185 500 </w:t>
            </w:r>
            <w:r w:rsidRPr="006D56D2">
              <w:rPr>
                <w:rFonts w:eastAsia="Calibri"/>
                <w:lang w:val="en-GB"/>
              </w:rPr>
              <w:t>households in white Next Generation Access areas where the market is not likely to provide end-users in the near future with a network offering connectivity of 100 Mbps download speed, to be covered by broadband internet access with a capacity of at least 100 Mbps (with the possibility of increasing it to gigabit capacity), in line with the objectives of the National Broadband Plan and the Commission Communication on the European Gigabit Society. The investment shall be carried out in full compliance with the DNSH Technical Guidance (2021/C 58/01), in particular with regard to requirements related to energy performance, waste management and environmental risk assessment.</w:t>
            </w:r>
          </w:p>
        </w:tc>
      </w:tr>
      <w:tr w:rsidR="006D56D2" w:rsidRPr="006D56D2" w14:paraId="20E61D96" w14:textId="77777777" w:rsidTr="00F72BD7">
        <w:tc>
          <w:tcPr>
            <w:tcW w:w="1082" w:type="pct"/>
            <w:vMerge/>
          </w:tcPr>
          <w:p w14:paraId="12BBB5AB" w14:textId="77777777" w:rsidR="006D56D2" w:rsidRPr="006D56D2" w:rsidRDefault="006D56D2" w:rsidP="006D56D2">
            <w:pPr>
              <w:spacing w:after="120" w:line="240" w:lineRule="auto"/>
              <w:rPr>
                <w:lang w:val="en-GB"/>
              </w:rPr>
            </w:pPr>
          </w:p>
        </w:tc>
        <w:tc>
          <w:tcPr>
            <w:tcW w:w="1888" w:type="pct"/>
          </w:tcPr>
          <w:p w14:paraId="4635290D" w14:textId="77777777" w:rsidR="006D56D2" w:rsidRPr="006D56D2" w:rsidRDefault="006D56D2" w:rsidP="006D56D2">
            <w:pPr>
              <w:spacing w:after="120" w:line="240" w:lineRule="auto"/>
            </w:pPr>
            <w:r w:rsidRPr="006D56D2">
              <w:t>C6G</w:t>
            </w:r>
          </w:p>
          <w:p w14:paraId="0074BFF4" w14:textId="77777777" w:rsidR="006D56D2" w:rsidRPr="006D56D2" w:rsidRDefault="006D56D2" w:rsidP="006D56D2">
            <w:pPr>
              <w:spacing w:after="120" w:line="240" w:lineRule="auto"/>
            </w:pPr>
            <w:r w:rsidRPr="006D56D2">
              <w:t>Jednostka miary: Liczba</w:t>
            </w:r>
          </w:p>
          <w:p w14:paraId="19F49A28" w14:textId="77777777" w:rsidR="006D56D2" w:rsidRPr="006D56D2" w:rsidRDefault="006D56D2" w:rsidP="006D56D2">
            <w:pPr>
              <w:spacing w:after="120" w:line="240" w:lineRule="auto"/>
            </w:pPr>
            <w:r w:rsidRPr="006D56D2">
              <w:t>Poziom bazowy: 500 000</w:t>
            </w:r>
          </w:p>
          <w:p w14:paraId="57CAB1F2" w14:textId="77777777" w:rsidR="006D56D2" w:rsidRPr="006D56D2" w:rsidRDefault="006D56D2" w:rsidP="006D56D2">
            <w:pPr>
              <w:spacing w:after="120" w:line="240" w:lineRule="auto"/>
            </w:pPr>
            <w:r w:rsidRPr="006D56D2">
              <w:t>Cel: 931 000</w:t>
            </w:r>
          </w:p>
          <w:p w14:paraId="161965D9" w14:textId="77777777" w:rsidR="006D56D2" w:rsidRPr="006D56D2" w:rsidRDefault="006D56D2" w:rsidP="006D56D2">
            <w:pPr>
              <w:spacing w:after="120" w:line="240" w:lineRule="auto"/>
              <w:jc w:val="left"/>
            </w:pPr>
            <w:r w:rsidRPr="006D56D2">
              <w:t xml:space="preserve">Opis każdego kamienia milowego i każdej wartości docelowej: </w:t>
            </w:r>
          </w:p>
          <w:p w14:paraId="6764F837" w14:textId="77777777" w:rsidR="006D56D2" w:rsidRPr="006D56D2" w:rsidRDefault="006D56D2" w:rsidP="006D56D2">
            <w:pPr>
              <w:spacing w:after="120" w:line="240" w:lineRule="auto"/>
              <w:jc w:val="left"/>
            </w:pPr>
            <w:r w:rsidRPr="006D56D2">
              <w:t>Co najmniej 931 000 dodatkowych gospodarstw domowych na obszarach białych dostępu nowej generacji – w przypadku których jest mało prawdopodobne, by w najbliżej przyszłości rynek zapewnił użytkownikom końcowym łączność o prędkości pobierania danych wynoszącej 100 Mb/s – zostanie objętych szerokopasmowym dostępem do internetu o przepustowości co najmniej 100 Mb/s (z możliwością zwiększenia do prędkości mierzonych w Gb/s), zgodnie z celami określonymi w Narodowym Planie Szerokopasmowym i komunikacie Komisji w sprawie europejskiego społeczeństwa gigabitowego. Inwestycja będzie realizowana w pełnej zgodności z wytycznymi technicznymi dotyczącymi stosowania zasady „nie czyń poważnych szkód” (2021/C 58/01), w szczególności w zakresie wymogów dotyczących charakterystyki energetycznej budynku, gospodarki odpadami oraz oceny ryzyka dla środowiska naturalnego.</w:t>
            </w:r>
          </w:p>
        </w:tc>
        <w:tc>
          <w:tcPr>
            <w:tcW w:w="2030" w:type="pct"/>
          </w:tcPr>
          <w:p w14:paraId="279353A3" w14:textId="77777777" w:rsidR="006D56D2" w:rsidRPr="006D56D2" w:rsidRDefault="006D56D2" w:rsidP="006D56D2">
            <w:pPr>
              <w:spacing w:after="120" w:line="240" w:lineRule="auto"/>
              <w:jc w:val="left"/>
              <w:rPr>
                <w:rFonts w:eastAsia="Calibri"/>
              </w:rPr>
            </w:pPr>
            <w:r w:rsidRPr="006D56D2">
              <w:rPr>
                <w:rFonts w:eastAsia="Calibri"/>
              </w:rPr>
              <w:t xml:space="preserve">C6G </w:t>
            </w:r>
          </w:p>
          <w:p w14:paraId="59FC5F24" w14:textId="77777777" w:rsidR="006D56D2" w:rsidRPr="006D56D2" w:rsidRDefault="006D56D2" w:rsidP="006D56D2">
            <w:pPr>
              <w:spacing w:after="120" w:line="240" w:lineRule="auto"/>
              <w:jc w:val="left"/>
              <w:rPr>
                <w:rFonts w:eastAsia="Calibri"/>
              </w:rPr>
            </w:pPr>
            <w:r w:rsidRPr="006D56D2">
              <w:rPr>
                <w:rFonts w:eastAsia="Calibri"/>
              </w:rPr>
              <w:t>Jednostka miary: Liczba</w:t>
            </w:r>
          </w:p>
          <w:p w14:paraId="41DADA7E" w14:textId="77777777" w:rsidR="006D56D2" w:rsidRPr="006D56D2" w:rsidRDefault="006D56D2" w:rsidP="006D56D2">
            <w:pPr>
              <w:spacing w:after="120" w:line="240" w:lineRule="auto"/>
              <w:jc w:val="left"/>
              <w:rPr>
                <w:rFonts w:eastAsia="Calibri"/>
              </w:rPr>
            </w:pPr>
            <w:r w:rsidRPr="006D56D2">
              <w:rPr>
                <w:rFonts w:eastAsia="Calibri"/>
              </w:rPr>
              <w:t>Poziom bazowy</w:t>
            </w:r>
            <w:r w:rsidRPr="006D56D2">
              <w:rPr>
                <w:rFonts w:eastAsia="Calibri"/>
                <w:color w:val="FF0000"/>
              </w:rPr>
              <w:t xml:space="preserve">: </w:t>
            </w:r>
            <w:r w:rsidRPr="006D56D2">
              <w:rPr>
                <w:rFonts w:eastAsia="Calibri"/>
                <w:strike/>
                <w:color w:val="FF0000"/>
              </w:rPr>
              <w:t>500 000</w:t>
            </w:r>
            <w:r w:rsidRPr="006D56D2">
              <w:rPr>
                <w:rFonts w:eastAsia="Calibri"/>
                <w:color w:val="FF0000"/>
              </w:rPr>
              <w:t> 185 500</w:t>
            </w:r>
          </w:p>
          <w:p w14:paraId="03FCFBA1" w14:textId="77777777" w:rsidR="006D56D2" w:rsidRPr="006D56D2" w:rsidRDefault="006D56D2" w:rsidP="006D56D2">
            <w:pPr>
              <w:spacing w:after="120" w:line="240" w:lineRule="auto"/>
              <w:jc w:val="left"/>
              <w:rPr>
                <w:rFonts w:eastAsia="Calibri"/>
                <w:color w:val="FF0000"/>
              </w:rPr>
            </w:pPr>
            <w:r w:rsidRPr="006D56D2">
              <w:rPr>
                <w:rFonts w:eastAsia="Calibri"/>
              </w:rPr>
              <w:t xml:space="preserve">Cel: </w:t>
            </w:r>
            <w:r w:rsidRPr="006D56D2">
              <w:rPr>
                <w:rFonts w:eastAsia="Calibri"/>
                <w:strike/>
                <w:color w:val="FF0000"/>
              </w:rPr>
              <w:t>931 000</w:t>
            </w:r>
            <w:r w:rsidRPr="006D56D2">
              <w:rPr>
                <w:rFonts w:eastAsia="Calibri"/>
                <w:color w:val="FF0000"/>
              </w:rPr>
              <w:t> 815 000</w:t>
            </w:r>
          </w:p>
          <w:p w14:paraId="1B4DF987" w14:textId="77777777" w:rsidR="006D56D2" w:rsidRPr="006D56D2" w:rsidRDefault="006D56D2" w:rsidP="006D56D2">
            <w:pPr>
              <w:spacing w:after="120" w:line="240" w:lineRule="auto"/>
              <w:jc w:val="left"/>
              <w:rPr>
                <w:rFonts w:eastAsia="Calibri"/>
              </w:rPr>
            </w:pPr>
            <w:r w:rsidRPr="006D56D2">
              <w:rPr>
                <w:rFonts w:eastAsia="Calibri"/>
              </w:rPr>
              <w:t xml:space="preserve">Opis każdego kamienia milowego i każdej wartości docelowej: </w:t>
            </w:r>
          </w:p>
          <w:p w14:paraId="196A5FB3" w14:textId="77777777" w:rsidR="006D56D2" w:rsidRPr="006D56D2" w:rsidRDefault="006D56D2" w:rsidP="006D56D2">
            <w:pPr>
              <w:spacing w:after="120" w:line="240" w:lineRule="auto"/>
              <w:jc w:val="left"/>
              <w:rPr>
                <w:color w:val="FF0000"/>
              </w:rPr>
            </w:pPr>
            <w:r w:rsidRPr="006D56D2">
              <w:rPr>
                <w:rFonts w:eastAsia="Calibri"/>
              </w:rPr>
              <w:t xml:space="preserve">Co najmniej </w:t>
            </w:r>
            <w:r w:rsidRPr="006D56D2">
              <w:rPr>
                <w:rFonts w:eastAsia="Calibri"/>
                <w:strike/>
                <w:color w:val="FF0000"/>
              </w:rPr>
              <w:t>931 000</w:t>
            </w:r>
            <w:r w:rsidRPr="006D56D2">
              <w:rPr>
                <w:rFonts w:eastAsia="Calibri"/>
                <w:color w:val="FF0000"/>
              </w:rPr>
              <w:t xml:space="preserve"> 815 000 </w:t>
            </w:r>
            <w:r w:rsidRPr="006D56D2">
              <w:rPr>
                <w:rFonts w:eastAsia="Calibri"/>
              </w:rPr>
              <w:t>dodatkowych gospodarstw domowych na obszarach białych dostępu nowej generacji – w przypadku których jest mało prawdopodobne, by w najbliżej przyszłości rynek zapewnił użytkownikom końcowym łączność o prędkości pobierania danych wynoszącej 100 Mb/s – zostanie objętych szerokopasmowym dostępem do internetu o przepustowości co najmniej 100 Mb/s (z możliwością zwiększenia do prędkości mierzonych w Gb/s), zgodnie z celami określonymi w Narodowym Planie Szerokopasmowym i komunikacie Komisji w sprawie europejskiego społeczeństwa gigabitowego. Inwestycja będzie realizowana w pełnej zgodności z wytycznymi technicznymi dotyczącymi stosowania zasady „nie czyń poważnych szkód” (2021/C 58/01), w szczególności w zakresie wymogów dotyczących charakterystyki energetycznej budynku, gospodarki odpadami oraz oceny ryzyka dla środowiska naturalnego.</w:t>
            </w:r>
          </w:p>
        </w:tc>
      </w:tr>
      <w:tr w:rsidR="006D56D2" w:rsidRPr="00935797" w14:paraId="3B7C7685" w14:textId="77777777" w:rsidTr="00F72BD7">
        <w:tc>
          <w:tcPr>
            <w:tcW w:w="1082" w:type="pct"/>
            <w:vMerge/>
          </w:tcPr>
          <w:p w14:paraId="3709C8E0" w14:textId="77777777" w:rsidR="006D56D2" w:rsidRPr="006D56D2" w:rsidRDefault="006D56D2" w:rsidP="006D56D2">
            <w:pPr>
              <w:spacing w:after="120" w:line="240" w:lineRule="auto"/>
            </w:pPr>
          </w:p>
        </w:tc>
        <w:tc>
          <w:tcPr>
            <w:tcW w:w="1888" w:type="pct"/>
          </w:tcPr>
          <w:p w14:paraId="0D6C1ADC" w14:textId="77777777" w:rsidR="006D56D2" w:rsidRPr="006D56D2" w:rsidRDefault="006D56D2" w:rsidP="006D56D2">
            <w:pPr>
              <w:spacing w:after="120" w:line="240" w:lineRule="auto"/>
              <w:jc w:val="left"/>
              <w:rPr>
                <w:lang w:val="en-GB"/>
              </w:rPr>
            </w:pPr>
            <w:r w:rsidRPr="006D56D2">
              <w:rPr>
                <w:lang w:val="en-GB"/>
              </w:rPr>
              <w:t xml:space="preserve">C6G </w:t>
            </w:r>
          </w:p>
          <w:p w14:paraId="074F2977" w14:textId="77777777" w:rsidR="006D56D2" w:rsidRPr="006D56D2" w:rsidRDefault="006D56D2" w:rsidP="006D56D2">
            <w:pPr>
              <w:spacing w:after="120" w:line="240" w:lineRule="auto"/>
              <w:jc w:val="left"/>
              <w:rPr>
                <w:lang w:val="en-GB"/>
              </w:rPr>
            </w:pPr>
            <w:r w:rsidRPr="006D56D2">
              <w:rPr>
                <w:lang w:val="en-GB"/>
              </w:rPr>
              <w:t>Unit of measure: Number</w:t>
            </w:r>
          </w:p>
          <w:p w14:paraId="02F66EE9" w14:textId="77777777" w:rsidR="006D56D2" w:rsidRPr="006D56D2" w:rsidRDefault="006D56D2" w:rsidP="006D56D2">
            <w:pPr>
              <w:spacing w:after="120" w:line="240" w:lineRule="auto"/>
              <w:jc w:val="left"/>
              <w:rPr>
                <w:lang w:val="en-GB"/>
              </w:rPr>
            </w:pPr>
            <w:r w:rsidRPr="006D56D2">
              <w:rPr>
                <w:lang w:val="en-GB"/>
              </w:rPr>
              <w:t>Baseline: 500 000</w:t>
            </w:r>
          </w:p>
          <w:p w14:paraId="4309885B" w14:textId="77777777" w:rsidR="006D56D2" w:rsidRPr="006D56D2" w:rsidRDefault="006D56D2" w:rsidP="006D56D2">
            <w:pPr>
              <w:spacing w:after="120" w:line="240" w:lineRule="auto"/>
              <w:jc w:val="left"/>
              <w:rPr>
                <w:lang w:val="en-GB"/>
              </w:rPr>
            </w:pPr>
            <w:r w:rsidRPr="006D56D2">
              <w:rPr>
                <w:lang w:val="en-GB"/>
              </w:rPr>
              <w:t>Goal: 931 000</w:t>
            </w:r>
          </w:p>
          <w:p w14:paraId="5FC0EF3D" w14:textId="77777777" w:rsidR="006D56D2" w:rsidRPr="006D56D2" w:rsidRDefault="006D56D2" w:rsidP="006D56D2">
            <w:pPr>
              <w:spacing w:after="120" w:line="240" w:lineRule="auto"/>
              <w:jc w:val="left"/>
              <w:rPr>
                <w:lang w:val="en-GB"/>
              </w:rPr>
            </w:pPr>
            <w:r w:rsidRPr="006D56D2">
              <w:rPr>
                <w:lang w:val="en-GB"/>
              </w:rPr>
              <w:t>Description of each milestone and target:</w:t>
            </w:r>
          </w:p>
          <w:p w14:paraId="07A6E263" w14:textId="77777777" w:rsidR="006D56D2" w:rsidRPr="006D56D2" w:rsidRDefault="006D56D2" w:rsidP="006D56D2">
            <w:pPr>
              <w:spacing w:after="120" w:line="240" w:lineRule="auto"/>
              <w:jc w:val="left"/>
              <w:rPr>
                <w:lang w:val="en-GB"/>
              </w:rPr>
            </w:pPr>
            <w:r w:rsidRPr="006D56D2">
              <w:rPr>
                <w:lang w:val="en-GB"/>
              </w:rPr>
              <w:t>At least additional 931 000  households in white Next Generation Access areas where the market is not likely to provide end-users in the near future with a network offering connectivity of 100 Mbps download speed, to be covered by broadband internet access with a capacity of at least 100 Mbps (with the possibility of increasing it to gigabit capacity), in line with the objectives of the National Broadband Plan and the Commission Communication on the European Gigabit Society. The investment shall be carried out in full compliance with the DNSH Technical Guidance (2021/C 58/01), in particular with regard to requirements related to energy performance, waste management and environmental risk assessment.</w:t>
            </w:r>
          </w:p>
        </w:tc>
        <w:tc>
          <w:tcPr>
            <w:tcW w:w="2030" w:type="pct"/>
          </w:tcPr>
          <w:p w14:paraId="2847A0AC" w14:textId="77777777" w:rsidR="006D56D2" w:rsidRPr="006D56D2" w:rsidRDefault="006D56D2" w:rsidP="006D56D2">
            <w:pPr>
              <w:spacing w:after="120" w:line="240" w:lineRule="auto"/>
              <w:jc w:val="left"/>
              <w:rPr>
                <w:rFonts w:eastAsia="Calibri"/>
                <w:lang w:val="en-GB"/>
              </w:rPr>
            </w:pPr>
            <w:r w:rsidRPr="006D56D2">
              <w:rPr>
                <w:rFonts w:eastAsia="Calibri"/>
                <w:lang w:val="en-GB"/>
              </w:rPr>
              <w:t xml:space="preserve">C6G </w:t>
            </w:r>
          </w:p>
          <w:p w14:paraId="5EEB9C82" w14:textId="77777777" w:rsidR="006D56D2" w:rsidRPr="006D56D2" w:rsidRDefault="006D56D2" w:rsidP="006D56D2">
            <w:pPr>
              <w:spacing w:after="120" w:line="240" w:lineRule="auto"/>
              <w:jc w:val="left"/>
              <w:rPr>
                <w:rFonts w:eastAsia="Calibri"/>
                <w:lang w:val="en-GB"/>
              </w:rPr>
            </w:pPr>
            <w:r w:rsidRPr="006D56D2">
              <w:rPr>
                <w:rFonts w:eastAsia="Calibri"/>
                <w:lang w:val="en-GB"/>
              </w:rPr>
              <w:t>Unit of measure: Number</w:t>
            </w:r>
          </w:p>
          <w:p w14:paraId="0FDFFFA5" w14:textId="77777777" w:rsidR="006D56D2" w:rsidRPr="006D56D2" w:rsidRDefault="006D56D2" w:rsidP="006D56D2">
            <w:pPr>
              <w:spacing w:after="120" w:line="240" w:lineRule="auto"/>
              <w:jc w:val="left"/>
              <w:rPr>
                <w:rFonts w:eastAsia="Calibri"/>
                <w:lang w:val="en-GB"/>
              </w:rPr>
            </w:pPr>
            <w:r w:rsidRPr="006D56D2">
              <w:rPr>
                <w:rFonts w:eastAsia="Calibri"/>
                <w:lang w:val="en-GB"/>
              </w:rPr>
              <w:t xml:space="preserve">Baseline: </w:t>
            </w:r>
            <w:r w:rsidRPr="006D56D2">
              <w:rPr>
                <w:rFonts w:eastAsia="Calibri"/>
                <w:strike/>
                <w:color w:val="FF0000"/>
                <w:lang w:val="en-GB"/>
              </w:rPr>
              <w:t>500 000</w:t>
            </w:r>
            <w:r w:rsidRPr="006D56D2">
              <w:rPr>
                <w:rFonts w:eastAsia="Calibri"/>
                <w:color w:val="FF0000"/>
                <w:lang w:val="en-GB"/>
              </w:rPr>
              <w:t> 185 500</w:t>
            </w:r>
          </w:p>
          <w:p w14:paraId="1F5F1D4F" w14:textId="77777777" w:rsidR="006D56D2" w:rsidRPr="006D56D2" w:rsidRDefault="006D56D2" w:rsidP="006D56D2">
            <w:pPr>
              <w:spacing w:after="120" w:line="240" w:lineRule="auto"/>
              <w:jc w:val="left"/>
              <w:rPr>
                <w:rFonts w:eastAsia="Calibri"/>
                <w:color w:val="FF0000"/>
                <w:lang w:val="en-GB"/>
              </w:rPr>
            </w:pPr>
            <w:r w:rsidRPr="006D56D2">
              <w:rPr>
                <w:rFonts w:eastAsia="Calibri"/>
                <w:lang w:val="en-GB"/>
              </w:rPr>
              <w:t xml:space="preserve">Goal: </w:t>
            </w:r>
            <w:r w:rsidRPr="006D56D2">
              <w:rPr>
                <w:rFonts w:eastAsia="Calibri"/>
                <w:strike/>
                <w:color w:val="FF0000"/>
                <w:lang w:val="en-GB"/>
              </w:rPr>
              <w:t>931 000</w:t>
            </w:r>
            <w:r w:rsidRPr="006D56D2">
              <w:rPr>
                <w:rFonts w:eastAsia="Calibri"/>
                <w:color w:val="FF0000"/>
                <w:lang w:val="en-GB"/>
              </w:rPr>
              <w:t> 815 000</w:t>
            </w:r>
          </w:p>
          <w:p w14:paraId="1EF4144D" w14:textId="77777777" w:rsidR="006D56D2" w:rsidRPr="006D56D2" w:rsidRDefault="006D56D2" w:rsidP="006D56D2">
            <w:pPr>
              <w:spacing w:after="120" w:line="240" w:lineRule="auto"/>
              <w:jc w:val="left"/>
              <w:rPr>
                <w:rFonts w:eastAsia="Calibri"/>
                <w:lang w:val="en-GB"/>
              </w:rPr>
            </w:pPr>
            <w:r w:rsidRPr="006D56D2">
              <w:rPr>
                <w:rFonts w:eastAsia="Calibri"/>
                <w:lang w:val="en-GB"/>
              </w:rPr>
              <w:t xml:space="preserve">Description of each milestone and </w:t>
            </w:r>
          </w:p>
          <w:p w14:paraId="14BB9515" w14:textId="77777777" w:rsidR="006D56D2" w:rsidRPr="006D56D2" w:rsidRDefault="006D56D2" w:rsidP="006D56D2">
            <w:pPr>
              <w:spacing w:after="120" w:line="240" w:lineRule="auto"/>
              <w:jc w:val="left"/>
              <w:rPr>
                <w:rFonts w:eastAsia="Calibri"/>
                <w:lang w:val="en-GB"/>
              </w:rPr>
            </w:pPr>
            <w:r w:rsidRPr="006D56D2">
              <w:rPr>
                <w:rFonts w:eastAsia="Calibri"/>
                <w:lang w:val="en-GB"/>
              </w:rPr>
              <w:t>target:</w:t>
            </w:r>
          </w:p>
          <w:p w14:paraId="7B530890" w14:textId="77777777" w:rsidR="006D56D2" w:rsidRPr="006D56D2" w:rsidRDefault="006D56D2" w:rsidP="006D56D2">
            <w:pPr>
              <w:spacing w:after="120" w:line="240" w:lineRule="auto"/>
              <w:jc w:val="left"/>
              <w:rPr>
                <w:color w:val="FF0000"/>
                <w:lang w:val="en-GB"/>
              </w:rPr>
            </w:pPr>
            <w:r w:rsidRPr="006D56D2">
              <w:rPr>
                <w:rFonts w:eastAsia="Calibri"/>
                <w:lang w:val="en-GB"/>
              </w:rPr>
              <w:t xml:space="preserve">At least additional </w:t>
            </w:r>
            <w:r w:rsidRPr="006D56D2">
              <w:rPr>
                <w:rFonts w:eastAsia="Calibri"/>
                <w:strike/>
                <w:color w:val="FF0000"/>
                <w:lang w:val="en-GB"/>
              </w:rPr>
              <w:t>931 000</w:t>
            </w:r>
            <w:r w:rsidRPr="006D56D2">
              <w:rPr>
                <w:rFonts w:eastAsia="Calibri"/>
                <w:color w:val="FF0000"/>
                <w:lang w:val="en-GB"/>
              </w:rPr>
              <w:t xml:space="preserve"> 815 000 </w:t>
            </w:r>
            <w:r w:rsidRPr="006D56D2">
              <w:rPr>
                <w:rFonts w:eastAsia="Calibri"/>
                <w:lang w:val="en-GB"/>
              </w:rPr>
              <w:t>households in white Next Generation Access areas where the market is not likely to provide end-users in the near future with a network offering connectivity of 100 Mbps download speed, to be covered by broadband internet access with a capacity of at least 100 Mbps (with the possibility of increasing it to gigabit capacity), in line with the objectives of the National Broadband Plan and the Commission Communication on the European Gigabit Society. The investment shall be carried out in full compliance with the DNSH Technical Guidance (2021/C 58/01), in particular with regard to requirements related to energy performance, waste management and environmental risk assessment.</w:t>
            </w:r>
          </w:p>
        </w:tc>
      </w:tr>
      <w:tr w:rsidR="006D56D2" w:rsidRPr="006D56D2" w14:paraId="5E8EBF06" w14:textId="77777777" w:rsidTr="00F72BD7">
        <w:tc>
          <w:tcPr>
            <w:tcW w:w="1082" w:type="pct"/>
          </w:tcPr>
          <w:p w14:paraId="30DBB00C" w14:textId="77777777" w:rsidR="006D56D2" w:rsidRPr="006D56D2" w:rsidRDefault="006D56D2" w:rsidP="006D56D2">
            <w:pPr>
              <w:spacing w:after="120" w:line="240" w:lineRule="auto"/>
            </w:pPr>
            <w:r w:rsidRPr="006D56D2">
              <w:t xml:space="preserve">Uzasadnienie </w:t>
            </w:r>
          </w:p>
        </w:tc>
        <w:tc>
          <w:tcPr>
            <w:tcW w:w="3918" w:type="pct"/>
            <w:gridSpan w:val="2"/>
          </w:tcPr>
          <w:p w14:paraId="76FD8D21" w14:textId="77777777" w:rsidR="006D56D2" w:rsidRPr="006D56D2" w:rsidRDefault="006D56D2" w:rsidP="006D56D2">
            <w:pPr>
              <w:spacing w:after="120" w:line="240" w:lineRule="auto"/>
            </w:pPr>
            <w:r w:rsidRPr="006D56D2">
              <w:t>Propozycja modyfikacji w zakresie wartości docelowych wskaźników jest spowodowana wystąpieniem opisanej poniżej obiektywnych okoliczności.</w:t>
            </w:r>
          </w:p>
          <w:p w14:paraId="781C23D8" w14:textId="77777777" w:rsidR="006D56D2" w:rsidRPr="006D56D2" w:rsidRDefault="006D56D2" w:rsidP="006D56D2">
            <w:pPr>
              <w:spacing w:after="120" w:line="240" w:lineRule="auto"/>
            </w:pPr>
            <w:r w:rsidRPr="006D56D2">
              <w:t>Jeszcze przed rozpoczęciem konsultacji społecznych rewizji KPO, w ramach inwestycji C1.1.1 zawarto umowy o objęcie przedsięwzięć wsparciem, w ramach których zasięgiem szerokopasmowego dostępu do internetu o przepustowości co najmniej 100 Mb/s miało być objętych ponad 700 tys. gospodarstw domowych. Niestety, już w trakcie konsultacji ww. rewizji, Centrum Projektów Polska Cyfrowa – Jednostka Wspierająca KPO i strona umów o objęcie przedsięwzięć wsparciem w ramach inwestycji C1.1.1 - otrzymało oświadczenia o wypowiedzeniu umów, w których planowano objąć zasięgiem ponad 130 tys. gospodarstw domowych. CPPC otrzymało również sygnały o planowanych kolejnych oświadczeniach o wypowiedzeniu następnych umów. Obecnie w ramach inwestycji C1.1.1 aktywnie realizowane umowy obejmują ok. 530 tys. gospodarstw domowych (do objęcia zasięgiem szerokopasmowego dostępu do internetu o przepustowości co najmniej 100 Mb/s).</w:t>
            </w:r>
          </w:p>
          <w:p w14:paraId="6A981538" w14:textId="77777777" w:rsidR="006D56D2" w:rsidRPr="006D56D2" w:rsidRDefault="006D56D2" w:rsidP="006D56D2">
            <w:pPr>
              <w:spacing w:after="120" w:line="240" w:lineRule="auto"/>
            </w:pPr>
            <w:r w:rsidRPr="006D56D2">
              <w:lastRenderedPageBreak/>
              <w:t>Według wspólnej realistycznej oceny IOI/JW (Ministerstwo Cyfryzacji/CPPC), w planowanym kolejnym konkursie w ramach inwestycji C1.1.1 zostanie zakontraktowanych nie więcej 1/3 obecnie przyjmowanej wartości już zakontraktowanych gospodarstw domowych.</w:t>
            </w:r>
          </w:p>
          <w:p w14:paraId="6772FA01" w14:textId="77777777" w:rsidR="006D56D2" w:rsidRPr="006D56D2" w:rsidRDefault="006D56D2" w:rsidP="006D56D2">
            <w:pPr>
              <w:spacing w:after="120" w:line="240" w:lineRule="auto"/>
            </w:pPr>
            <w:r w:rsidRPr="006D56D2">
              <w:t>Podsumowując powyższe, według ostrożnych szacunków łącznie  815 tys. gospodarstw domowych zostanie objętych zasięgiem szybkich sieci w ramach inwestycji C1.1.1 w terminie realizacji KPO.</w:t>
            </w:r>
          </w:p>
          <w:p w14:paraId="40EDF173" w14:textId="77777777" w:rsidR="006D56D2" w:rsidRPr="006D56D2" w:rsidRDefault="006D56D2" w:rsidP="006D56D2">
            <w:pPr>
              <w:spacing w:after="120" w:line="240" w:lineRule="auto"/>
            </w:pPr>
            <w:r w:rsidRPr="006D56D2">
              <w:t>Ww. szacunki oparte są na doświadczeniach z dwóch wcześniejszych konkursów w ramach tej inwestycji, które przeprowadzono w 2023 r. Konkursy te pokazały, że istnieją obszary kraju, które pomimo dwukrotnego udostępnienia w konkursach oraz zwiększenia środków przeznaczonych na realizację przedsięwzięć, nie spotkały się z zainteresowaniem potencjalnych Ostatecznych Odbiorców Wsparcia (z którymi mogą zostać podpisane umowy) i w związku z tym istnieje duże ryzyko, że w kolejnym konkursie taka sytuacja się powtórzy – nawet pomimo istotnych zmian warunków planowanego konkursu, które mają pomóc zmaksymalizować atrakcyjność konkursu, a przez to poziom kontraktacji. Tym samym sytuacja ta determinuje wysoką ostrożność zarówno w podejściu do kolejnego konkursu, jak i do możliwości zrealizowania dotychczasowej wartości wskaźnika C6G, co w konsekwencji powoduje konieczność dokonania modyfikacji w zakresie wartości docelowej wskaźnika dla miernika C6G.</w:t>
            </w:r>
          </w:p>
          <w:p w14:paraId="035490A3" w14:textId="77777777" w:rsidR="006D56D2" w:rsidRPr="006D56D2" w:rsidRDefault="006D56D2" w:rsidP="006D56D2">
            <w:pPr>
              <w:spacing w:after="120" w:line="240" w:lineRule="auto"/>
            </w:pPr>
            <w:r w:rsidRPr="006D56D2">
              <w:t>Dodatkowo, ze względu na wyżej opisaną okoliczność, dostosowania wymagają również wartości docelowe wskaźników dla mierników C4G i C5G. W tym przypadku również odnosimy się do liczby gospodarstw domowych, jaką obecnie przyjmujemy za realnie zakontraktowaną (530 tys.), oraz dokonujemy urealniającej (uwzględniającej stan faktyczny) kalkulacji możliwości osiągnięcia tych wskaźników pośrednich – w oparciu o zobowiązania Ostatecznych Odbiorców Wsparcia do realizacji kamieni milowych (objęcia zasięgiem odpowiedniego % gospodarstw domowych w kolejnych latach), wynikające z aktywnych umów o objęcie przedsięwzięć wsparciem:</w:t>
            </w:r>
          </w:p>
          <w:p w14:paraId="5E3D781B" w14:textId="77777777" w:rsidR="006D56D2" w:rsidRPr="006D56D2" w:rsidRDefault="006D56D2" w:rsidP="006D56D2">
            <w:pPr>
              <w:spacing w:after="120" w:line="240" w:lineRule="auto"/>
            </w:pPr>
            <w:r w:rsidRPr="006D56D2">
              <w:t xml:space="preserve">1) pierwszy miernik (C4G) – stosujemy współczynnik </w:t>
            </w:r>
            <w:r w:rsidRPr="006D56D2">
              <w:rPr>
                <w:color w:val="000000"/>
              </w:rPr>
              <w:t xml:space="preserve">9,75% </w:t>
            </w:r>
            <w:r w:rsidRPr="006D56D2">
              <w:t>gospodarstw domowych faktycznie objętych zasięgiem zrealizowanych sieci w pierwszym roku realizacji projektów – wyniesie 79 500 tys.</w:t>
            </w:r>
          </w:p>
          <w:p w14:paraId="77359B2B" w14:textId="77777777" w:rsidR="006D56D2" w:rsidRPr="006D56D2" w:rsidRDefault="006D56D2" w:rsidP="006D56D2">
            <w:pPr>
              <w:spacing w:after="120" w:line="240" w:lineRule="auto"/>
            </w:pPr>
            <w:r w:rsidRPr="006D56D2">
              <w:t>2) drugi miernik (C5G) – stosujemy współczynnik narastająco</w:t>
            </w:r>
            <w:r w:rsidRPr="006D56D2">
              <w:rPr>
                <w:color w:val="FF0000"/>
              </w:rPr>
              <w:t xml:space="preserve"> </w:t>
            </w:r>
            <w:r w:rsidRPr="006D56D2">
              <w:rPr>
                <w:color w:val="000000"/>
              </w:rPr>
              <w:t xml:space="preserve">22,76% </w:t>
            </w:r>
            <w:r w:rsidRPr="006D56D2">
              <w:t>gospodarstw domowych faktycznie objętych zasięgiem zrealizowanych sieci po drugim roku realizacji projektów -  wyniesie 185,5 tys.</w:t>
            </w:r>
          </w:p>
        </w:tc>
      </w:tr>
      <w:tr w:rsidR="006D56D2" w:rsidRPr="006D56D2" w14:paraId="26A3BCBF" w14:textId="77777777" w:rsidTr="00F72BD7">
        <w:tc>
          <w:tcPr>
            <w:tcW w:w="1082" w:type="pct"/>
          </w:tcPr>
          <w:p w14:paraId="25433381" w14:textId="77777777" w:rsidR="006D56D2" w:rsidRPr="006D56D2" w:rsidRDefault="006D56D2" w:rsidP="006D56D2">
            <w:pPr>
              <w:spacing w:after="120" w:line="240" w:lineRule="auto"/>
              <w:jc w:val="left"/>
            </w:pPr>
            <w:r w:rsidRPr="006D56D2">
              <w:lastRenderedPageBreak/>
              <w:t>Szacowany Koszt</w:t>
            </w:r>
          </w:p>
        </w:tc>
        <w:tc>
          <w:tcPr>
            <w:tcW w:w="3918" w:type="pct"/>
            <w:gridSpan w:val="2"/>
          </w:tcPr>
          <w:p w14:paraId="1E1BAC0A" w14:textId="73529A23" w:rsidR="006D56D2" w:rsidRPr="006D56D2" w:rsidRDefault="006D56D2" w:rsidP="006D56D2">
            <w:pPr>
              <w:spacing w:after="120" w:line="240" w:lineRule="auto"/>
            </w:pPr>
            <w:r w:rsidRPr="006D56D2">
              <w:t>Zmiany powodują obniżenie alokacji w części przeznaczonej na realizację wskaźników C4G, C5G i C6G ze 1 339 000 000 do  1</w:t>
            </w:r>
            <w:r w:rsidR="0021072A">
              <w:t> 263 322 950</w:t>
            </w:r>
            <w:r w:rsidRPr="006D56D2">
              <w:t xml:space="preserve"> EUR. Środki z pomniejszenia alokacji inwestycji C1.1.1 (167 </w:t>
            </w:r>
            <w:r w:rsidR="0021072A">
              <w:t>31</w:t>
            </w:r>
            <w:r w:rsidRPr="006D56D2">
              <w:t>3 </w:t>
            </w:r>
            <w:r w:rsidR="0021072A">
              <w:t>476</w:t>
            </w:r>
            <w:r w:rsidRPr="006D56D2">
              <w:t xml:space="preserve"> EUR) zostaną przeznaczone na realizację nowych subinwestycji w inwestycji C2.1.1 (127</w:t>
            </w:r>
            <w:r w:rsidR="0021072A">
              <w:t> 000 000</w:t>
            </w:r>
            <w:r w:rsidRPr="006D56D2">
              <w:t xml:space="preserve"> EUR) oraz na sfinansowanie zwiększenia wartości wskaźnika C14G w inwestycji C2.1.2 (40 313 476 EUR). </w:t>
            </w:r>
          </w:p>
        </w:tc>
      </w:tr>
      <w:tr w:rsidR="006D56D2" w:rsidRPr="006D56D2" w14:paraId="74828C1F" w14:textId="77777777" w:rsidTr="00F72BD7">
        <w:tc>
          <w:tcPr>
            <w:tcW w:w="1082" w:type="pct"/>
          </w:tcPr>
          <w:p w14:paraId="728CBF4E" w14:textId="77777777" w:rsidR="006D56D2" w:rsidRPr="006D56D2" w:rsidRDefault="006D56D2" w:rsidP="006D56D2">
            <w:pPr>
              <w:spacing w:after="120" w:line="240" w:lineRule="auto"/>
              <w:jc w:val="left"/>
            </w:pPr>
            <w:r w:rsidRPr="006D56D2">
              <w:t>Klimatyczny i cyfrowy tagging</w:t>
            </w:r>
          </w:p>
        </w:tc>
        <w:tc>
          <w:tcPr>
            <w:tcW w:w="3918" w:type="pct"/>
            <w:gridSpan w:val="2"/>
          </w:tcPr>
          <w:p w14:paraId="1C93FDF6" w14:textId="0EA2E001" w:rsidR="006D56D2" w:rsidRPr="006D56D2" w:rsidRDefault="006D56D2" w:rsidP="006D56D2">
            <w:pPr>
              <w:spacing w:after="120" w:line="240" w:lineRule="auto"/>
            </w:pPr>
            <w:r w:rsidRPr="006D56D2">
              <w:t>Zmiana jest neutralna z punktu widzenia utrzymania dotychczasowego taggingu klimatycznego i cyfrowego. Zwolnione środki zostaną przesunięte na inwestycję C2.1.1</w:t>
            </w:r>
            <w:r w:rsidR="00D978ED">
              <w:t xml:space="preserve"> oraz C2.1.2</w:t>
            </w:r>
          </w:p>
        </w:tc>
      </w:tr>
      <w:tr w:rsidR="006D56D2" w:rsidRPr="006D56D2" w14:paraId="3DB48E09" w14:textId="77777777" w:rsidTr="00F72BD7">
        <w:tc>
          <w:tcPr>
            <w:tcW w:w="1082" w:type="pct"/>
          </w:tcPr>
          <w:p w14:paraId="4F468596" w14:textId="77777777" w:rsidR="006D56D2" w:rsidRPr="006D56D2" w:rsidRDefault="006D56D2" w:rsidP="006D56D2">
            <w:pPr>
              <w:spacing w:after="120" w:line="240" w:lineRule="auto"/>
              <w:jc w:val="left"/>
            </w:pPr>
            <w:r w:rsidRPr="006D56D2">
              <w:t xml:space="preserve">Ocena DNSH </w:t>
            </w:r>
          </w:p>
        </w:tc>
        <w:tc>
          <w:tcPr>
            <w:tcW w:w="3918" w:type="pct"/>
            <w:gridSpan w:val="2"/>
          </w:tcPr>
          <w:p w14:paraId="5F7F9CF0" w14:textId="77777777" w:rsidR="006D56D2" w:rsidRPr="006D56D2" w:rsidRDefault="006D56D2" w:rsidP="006D56D2">
            <w:pPr>
              <w:spacing w:after="120" w:line="240" w:lineRule="auto"/>
            </w:pPr>
            <w:r w:rsidRPr="006D56D2">
              <w:t>Zmiana jest neutralna z punktu widzenia zasady DNSH.</w:t>
            </w:r>
          </w:p>
        </w:tc>
      </w:tr>
      <w:tr w:rsidR="006D56D2" w:rsidRPr="006D56D2" w14:paraId="59D142C3" w14:textId="77777777" w:rsidTr="00F72BD7">
        <w:tc>
          <w:tcPr>
            <w:tcW w:w="1082" w:type="pct"/>
          </w:tcPr>
          <w:p w14:paraId="52B9C9DB" w14:textId="77777777" w:rsidR="006D56D2" w:rsidRPr="006D56D2" w:rsidRDefault="006D56D2" w:rsidP="006D56D2">
            <w:pPr>
              <w:spacing w:after="120" w:line="240" w:lineRule="auto"/>
              <w:jc w:val="left"/>
            </w:pPr>
            <w:r w:rsidRPr="006D56D2">
              <w:t>Pomoc publiczna</w:t>
            </w:r>
          </w:p>
        </w:tc>
        <w:tc>
          <w:tcPr>
            <w:tcW w:w="3918" w:type="pct"/>
            <w:gridSpan w:val="2"/>
          </w:tcPr>
          <w:p w14:paraId="3C81C78D" w14:textId="77777777" w:rsidR="006D56D2" w:rsidRPr="006D56D2" w:rsidRDefault="006D56D2" w:rsidP="006D56D2">
            <w:pPr>
              <w:spacing w:after="120" w:line="240" w:lineRule="auto"/>
            </w:pPr>
            <w:r w:rsidRPr="006D56D2">
              <w:t>Pomoc będzie udzielana zgodnie z rozporządzeniem Komisji (UE) nr 651/2014 z dnia 17 czerwca 2014 r. uznającym niektóre rodzaje pomocy za zgodne z rynkiem wewnętrznym w zastosowaniu art. 107 i 108 Traktatu.</w:t>
            </w:r>
          </w:p>
        </w:tc>
      </w:tr>
    </w:tbl>
    <w:p w14:paraId="3DCB71E6" w14:textId="77777777" w:rsidR="006D56D2" w:rsidRPr="00E0193B" w:rsidRDefault="006D56D2" w:rsidP="00D94758">
      <w:pPr>
        <w:spacing w:line="259" w:lineRule="auto"/>
        <w:jc w:val="left"/>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3339"/>
        <w:gridCol w:w="3551"/>
      </w:tblGrid>
      <w:tr w:rsidR="00491CB3" w:rsidRPr="00E0193B" w14:paraId="2811EA4F" w14:textId="77777777" w:rsidTr="008C1B0D">
        <w:tc>
          <w:tcPr>
            <w:tcW w:w="1088" w:type="pct"/>
          </w:tcPr>
          <w:p w14:paraId="0C860489" w14:textId="77777777" w:rsidR="00491CB3" w:rsidRPr="00E0193B" w:rsidRDefault="00491CB3" w:rsidP="00491CB3">
            <w:pPr>
              <w:spacing w:after="120" w:line="240" w:lineRule="auto"/>
              <w:rPr>
                <w:b/>
                <w:bCs/>
              </w:rPr>
            </w:pPr>
            <w:r w:rsidRPr="00E0193B">
              <w:rPr>
                <w:b/>
                <w:bCs/>
              </w:rPr>
              <w:t>Numer reformy</w:t>
            </w:r>
          </w:p>
        </w:tc>
        <w:tc>
          <w:tcPr>
            <w:tcW w:w="3912" w:type="pct"/>
            <w:gridSpan w:val="2"/>
          </w:tcPr>
          <w:p w14:paraId="0C68B5C4" w14:textId="77777777" w:rsidR="00491CB3" w:rsidRPr="00E0193B" w:rsidRDefault="00491CB3" w:rsidP="00491CB3">
            <w:pPr>
              <w:spacing w:after="120" w:line="240" w:lineRule="auto"/>
              <w:rPr>
                <w:b/>
                <w:bCs/>
              </w:rPr>
            </w:pPr>
            <w:r w:rsidRPr="00E0193B">
              <w:rPr>
                <w:b/>
                <w:bCs/>
              </w:rPr>
              <w:t>C2.1.</w:t>
            </w:r>
          </w:p>
        </w:tc>
      </w:tr>
      <w:tr w:rsidR="00491CB3" w:rsidRPr="00E0193B" w14:paraId="1056EB3D" w14:textId="77777777" w:rsidTr="008C1B0D">
        <w:tc>
          <w:tcPr>
            <w:tcW w:w="1088" w:type="pct"/>
          </w:tcPr>
          <w:p w14:paraId="5256A4D3" w14:textId="77777777" w:rsidR="00491CB3" w:rsidRPr="00E0193B" w:rsidRDefault="00491CB3" w:rsidP="00491CB3">
            <w:pPr>
              <w:spacing w:after="120" w:line="240" w:lineRule="auto"/>
              <w:rPr>
                <w:b/>
                <w:bCs/>
              </w:rPr>
            </w:pPr>
            <w:r w:rsidRPr="00E0193B">
              <w:rPr>
                <w:b/>
                <w:bCs/>
              </w:rPr>
              <w:t>Nazwa reformy</w:t>
            </w:r>
          </w:p>
        </w:tc>
        <w:tc>
          <w:tcPr>
            <w:tcW w:w="3912" w:type="pct"/>
            <w:gridSpan w:val="2"/>
          </w:tcPr>
          <w:p w14:paraId="60FE2178" w14:textId="77777777" w:rsidR="00491CB3" w:rsidRPr="00E0193B" w:rsidRDefault="00491CB3" w:rsidP="00491CB3">
            <w:pPr>
              <w:spacing w:after="120" w:line="240" w:lineRule="auto"/>
              <w:rPr>
                <w:b/>
                <w:bCs/>
              </w:rPr>
            </w:pPr>
            <w:r w:rsidRPr="00E0193B">
              <w:rPr>
                <w:b/>
                <w:bCs/>
              </w:rPr>
              <w:t>Zwiększenie skali zastosowań rozwiązań cyfrowych w sferze publicznej, gospodarce i społeczeństwie</w:t>
            </w:r>
          </w:p>
        </w:tc>
      </w:tr>
      <w:tr w:rsidR="00491CB3" w:rsidRPr="00E0193B" w14:paraId="656EC2E2" w14:textId="77777777" w:rsidTr="008C1B0D">
        <w:tc>
          <w:tcPr>
            <w:tcW w:w="1088" w:type="pct"/>
            <w:shd w:val="clear" w:color="auto" w:fill="auto"/>
          </w:tcPr>
          <w:p w14:paraId="718B3330" w14:textId="77777777" w:rsidR="00491CB3" w:rsidRPr="00E0193B" w:rsidRDefault="00491CB3" w:rsidP="00491CB3">
            <w:pPr>
              <w:spacing w:after="120" w:line="240" w:lineRule="auto"/>
            </w:pPr>
            <w:r w:rsidRPr="00E0193B">
              <w:t>Rodzaj wprowadzonej zmiany w odniesieniu do CID</w:t>
            </w:r>
          </w:p>
        </w:tc>
        <w:tc>
          <w:tcPr>
            <w:tcW w:w="3912" w:type="pct"/>
            <w:gridSpan w:val="2"/>
            <w:shd w:val="clear" w:color="auto" w:fill="auto"/>
          </w:tcPr>
          <w:p w14:paraId="0437A2D7" w14:textId="3C498EBE" w:rsidR="00491CB3" w:rsidRPr="00E0193B" w:rsidRDefault="00491CB3" w:rsidP="00491CB3">
            <w:pPr>
              <w:spacing w:after="120" w:line="240" w:lineRule="auto"/>
            </w:pPr>
            <w:r w:rsidRPr="00E0193B">
              <w:t>Przesunięcie terminu realizacji kamienia milowego C7G</w:t>
            </w:r>
            <w:r w:rsidR="00253511" w:rsidRPr="00E0193B">
              <w:t xml:space="preserve"> i C8G</w:t>
            </w:r>
            <w:r w:rsidRPr="00E0193B">
              <w:rPr>
                <w:i/>
                <w:iCs/>
              </w:rPr>
              <w:t>.</w:t>
            </w:r>
          </w:p>
        </w:tc>
      </w:tr>
      <w:tr w:rsidR="00491CB3" w:rsidRPr="00E0193B" w14:paraId="3AC73836" w14:textId="77777777" w:rsidTr="008C1B0D">
        <w:tc>
          <w:tcPr>
            <w:tcW w:w="1088" w:type="pct"/>
            <w:shd w:val="clear" w:color="auto" w:fill="auto"/>
          </w:tcPr>
          <w:p w14:paraId="65373B74" w14:textId="77777777" w:rsidR="00491CB3" w:rsidRPr="00E0193B" w:rsidRDefault="00491CB3" w:rsidP="00491CB3">
            <w:pPr>
              <w:spacing w:after="120" w:line="240" w:lineRule="auto"/>
            </w:pPr>
            <w:r w:rsidRPr="00E0193B">
              <w:t>Podstawa prawna zmiany</w:t>
            </w:r>
          </w:p>
        </w:tc>
        <w:tc>
          <w:tcPr>
            <w:tcW w:w="3912" w:type="pct"/>
            <w:gridSpan w:val="2"/>
            <w:shd w:val="clear" w:color="auto" w:fill="auto"/>
          </w:tcPr>
          <w:p w14:paraId="12F0CBCD" w14:textId="77777777" w:rsidR="00491CB3" w:rsidRPr="00E0193B" w:rsidRDefault="00491CB3" w:rsidP="00491CB3">
            <w:pPr>
              <w:spacing w:after="0" w:line="240" w:lineRule="auto"/>
              <w:jc w:val="left"/>
              <w:rPr>
                <w:lang w:eastAsia="pl-PL"/>
              </w:rPr>
            </w:pPr>
            <w:r w:rsidRPr="00E0193B">
              <w:rPr>
                <w:rFonts w:eastAsia="Calibri"/>
              </w:rPr>
              <w:t>art. 21 rozporządzenia Parlamentu Europejskiego i Rady (UE) 2021/241 z dnia 12 lutego 2021 r. ustanawiające Instrument na rzecz Odbudowy i Zwiększania Odporności</w:t>
            </w:r>
            <w:r w:rsidRPr="00E0193B" w:rsidDel="00AB48CE">
              <w:rPr>
                <w:lang w:eastAsia="pl-PL"/>
              </w:rPr>
              <w:t xml:space="preserve"> </w:t>
            </w:r>
          </w:p>
        </w:tc>
      </w:tr>
      <w:tr w:rsidR="00491CB3" w:rsidRPr="00E0193B" w14:paraId="744B0C65" w14:textId="77777777" w:rsidTr="008C1B0D">
        <w:tc>
          <w:tcPr>
            <w:tcW w:w="1088" w:type="pct"/>
            <w:shd w:val="clear" w:color="auto" w:fill="D9D9D9"/>
          </w:tcPr>
          <w:p w14:paraId="07C44710" w14:textId="77777777" w:rsidR="00491CB3" w:rsidRPr="00E0193B" w:rsidRDefault="00491CB3" w:rsidP="00491CB3">
            <w:pPr>
              <w:spacing w:after="120" w:line="240" w:lineRule="auto"/>
              <w:rPr>
                <w:highlight w:val="lightGray"/>
              </w:rPr>
            </w:pPr>
            <w:r w:rsidRPr="00E0193B">
              <w:rPr>
                <w:highlight w:val="lightGray"/>
              </w:rPr>
              <w:t>Modyfikowany element</w:t>
            </w:r>
          </w:p>
        </w:tc>
        <w:tc>
          <w:tcPr>
            <w:tcW w:w="1897" w:type="pct"/>
            <w:shd w:val="clear" w:color="auto" w:fill="D9D9D9"/>
          </w:tcPr>
          <w:p w14:paraId="0FE6E351" w14:textId="77777777" w:rsidR="00491CB3" w:rsidRPr="00E0193B" w:rsidRDefault="00491CB3" w:rsidP="00491CB3">
            <w:pPr>
              <w:spacing w:after="120" w:line="240" w:lineRule="auto"/>
              <w:rPr>
                <w:highlight w:val="lightGray"/>
              </w:rPr>
            </w:pPr>
            <w:r w:rsidRPr="00E0193B">
              <w:rPr>
                <w:highlight w:val="lightGray"/>
              </w:rPr>
              <w:t>Bieżąca wersja</w:t>
            </w:r>
          </w:p>
        </w:tc>
        <w:tc>
          <w:tcPr>
            <w:tcW w:w="2015" w:type="pct"/>
            <w:shd w:val="clear" w:color="auto" w:fill="D9D9D9"/>
          </w:tcPr>
          <w:p w14:paraId="27AB5E3D" w14:textId="77777777" w:rsidR="00491CB3" w:rsidRPr="00E0193B" w:rsidRDefault="00491CB3" w:rsidP="00491CB3">
            <w:pPr>
              <w:spacing w:after="120" w:line="240" w:lineRule="auto"/>
              <w:rPr>
                <w:highlight w:val="lightGray"/>
              </w:rPr>
            </w:pPr>
            <w:r w:rsidRPr="00E0193B">
              <w:rPr>
                <w:highlight w:val="lightGray"/>
              </w:rPr>
              <w:t>Wersja zmieniona</w:t>
            </w:r>
          </w:p>
        </w:tc>
      </w:tr>
      <w:tr w:rsidR="00491CB3" w:rsidRPr="00935797" w14:paraId="54206ABC" w14:textId="77777777" w:rsidTr="008C1B0D">
        <w:trPr>
          <w:trHeight w:val="141"/>
        </w:trPr>
        <w:tc>
          <w:tcPr>
            <w:tcW w:w="1088" w:type="pct"/>
            <w:vMerge w:val="restart"/>
          </w:tcPr>
          <w:p w14:paraId="7E276E68" w14:textId="77777777" w:rsidR="00491CB3" w:rsidRPr="00E0193B" w:rsidRDefault="00491CB3" w:rsidP="00491CB3">
            <w:pPr>
              <w:spacing w:after="120" w:line="240" w:lineRule="auto"/>
            </w:pPr>
            <w:r w:rsidRPr="00E0193B">
              <w:t>Opis komponentu oraz/lub działania (inwestycji/reformy)</w:t>
            </w:r>
          </w:p>
        </w:tc>
        <w:tc>
          <w:tcPr>
            <w:tcW w:w="1897" w:type="pct"/>
          </w:tcPr>
          <w:p w14:paraId="49C38564" w14:textId="77777777" w:rsidR="00491CB3" w:rsidRPr="00E0193B" w:rsidRDefault="00491CB3" w:rsidP="00491CB3">
            <w:pPr>
              <w:spacing w:after="120" w:line="240" w:lineRule="auto"/>
            </w:pPr>
            <w:r w:rsidRPr="00E0193B">
              <w:t>C7G Zmiana ustawy z dnia 17 lutego 2005 r. o informatyzacji działalności podmiotów realizujących zadania publiczne pod kątem wprowadzania domyślności cyfrowej postaci dokumentów i elektronicznej formy usług oraz cyfryzacji procesów administracyjnych.</w:t>
            </w:r>
          </w:p>
          <w:p w14:paraId="6CE11FAC" w14:textId="77777777" w:rsidR="00491CB3" w:rsidRPr="00E0193B" w:rsidRDefault="00491CB3" w:rsidP="00491CB3">
            <w:pPr>
              <w:spacing w:after="120" w:line="240" w:lineRule="auto"/>
              <w:rPr>
                <w:lang w:val="en-GB"/>
              </w:rPr>
            </w:pPr>
            <w:r w:rsidRPr="00E0193B">
              <w:rPr>
                <w:lang w:val="en-GB"/>
              </w:rPr>
              <w:t xml:space="preserve">Termin realizacji: IV kwartał 2023 r </w:t>
            </w:r>
          </w:p>
          <w:p w14:paraId="1388FB3B" w14:textId="77777777" w:rsidR="00491CB3" w:rsidRPr="00E0193B" w:rsidRDefault="00491CB3" w:rsidP="00491CB3">
            <w:pPr>
              <w:spacing w:after="120" w:line="240" w:lineRule="auto"/>
              <w:rPr>
                <w:lang w:val="en-GB"/>
              </w:rPr>
            </w:pPr>
            <w:r w:rsidRPr="00E0193B">
              <w:rPr>
                <w:lang w:val="en-GB"/>
              </w:rPr>
              <w:t>C7G Amendment to the Act of 17 February 2005 on computerisation of the activities of entities performing public tasks – introducing default digital form of documents and electronic form of services and digitisation of administrative processes</w:t>
            </w:r>
          </w:p>
          <w:p w14:paraId="091AAFB9" w14:textId="77777777" w:rsidR="00491CB3" w:rsidRPr="00E0193B" w:rsidRDefault="00491CB3" w:rsidP="00491CB3">
            <w:pPr>
              <w:spacing w:after="120" w:line="240" w:lineRule="auto"/>
              <w:rPr>
                <w:lang w:val="en-GB"/>
              </w:rPr>
            </w:pPr>
            <w:r w:rsidRPr="00E0193B">
              <w:rPr>
                <w:lang w:val="en-GB"/>
              </w:rPr>
              <w:t>Indicative timeline for completion: Q4 2023</w:t>
            </w:r>
          </w:p>
        </w:tc>
        <w:tc>
          <w:tcPr>
            <w:tcW w:w="2015" w:type="pct"/>
          </w:tcPr>
          <w:p w14:paraId="5FD402E7" w14:textId="77777777" w:rsidR="00491CB3" w:rsidRPr="00E0193B" w:rsidRDefault="00491CB3" w:rsidP="00491CB3">
            <w:pPr>
              <w:spacing w:after="120" w:line="240" w:lineRule="auto"/>
              <w:rPr>
                <w:lang w:val="en-GB"/>
              </w:rPr>
            </w:pPr>
            <w:r w:rsidRPr="00E0193B">
              <w:t>C7G Zmiana ustawy z dnia 17 lutego 2005 r. o informatyzacji działalności podmiotów realizujących zadania publiczne pod kątem wprowadzania domyślności cyfrowej postaci dokumentów i elektronicznej formy usług oraz cyfryzacji procesów administracyjnych.</w:t>
            </w:r>
            <w:r w:rsidRPr="00E0193B">
              <w:br/>
            </w:r>
            <w:r w:rsidRPr="00E0193B">
              <w:rPr>
                <w:lang w:val="en-GB"/>
              </w:rPr>
              <w:t xml:space="preserve">Termin realizacji: </w:t>
            </w:r>
            <w:r w:rsidRPr="00E0193B">
              <w:rPr>
                <w:color w:val="FF0000"/>
                <w:lang w:val="en-GB"/>
              </w:rPr>
              <w:t>IV kwartał 2024 r.</w:t>
            </w:r>
          </w:p>
          <w:p w14:paraId="638048AF" w14:textId="77777777" w:rsidR="00491CB3" w:rsidRPr="00E0193B" w:rsidRDefault="00491CB3" w:rsidP="00491CB3">
            <w:pPr>
              <w:spacing w:after="120" w:line="240" w:lineRule="auto"/>
              <w:rPr>
                <w:lang w:val="en-GB"/>
              </w:rPr>
            </w:pPr>
            <w:r w:rsidRPr="00E0193B">
              <w:rPr>
                <w:lang w:val="en-GB"/>
              </w:rPr>
              <w:t xml:space="preserve">C7G Amendment to the Act of 17 February 2005 on computerisation of the activities of entities performing public tasks – introducing default digital form of documents and electronic form of services and digitisation of administrative processes </w:t>
            </w:r>
          </w:p>
          <w:p w14:paraId="4B714993" w14:textId="77777777" w:rsidR="00491CB3" w:rsidRPr="00E0193B" w:rsidRDefault="00491CB3" w:rsidP="00491CB3">
            <w:pPr>
              <w:spacing w:after="120" w:line="240" w:lineRule="auto"/>
              <w:rPr>
                <w:color w:val="FF0000"/>
                <w:lang w:val="en-GB"/>
              </w:rPr>
            </w:pPr>
            <w:r w:rsidRPr="00E0193B">
              <w:rPr>
                <w:lang w:val="en-GB"/>
              </w:rPr>
              <w:t xml:space="preserve">Indicative timeline for completion: </w:t>
            </w:r>
            <w:r w:rsidRPr="00E0193B">
              <w:rPr>
                <w:lang w:val="en-GB"/>
              </w:rPr>
              <w:br/>
            </w:r>
            <w:r w:rsidRPr="00E0193B">
              <w:rPr>
                <w:color w:val="FF0000"/>
                <w:lang w:val="en-GB"/>
              </w:rPr>
              <w:t>Q4 2024</w:t>
            </w:r>
          </w:p>
        </w:tc>
      </w:tr>
      <w:tr w:rsidR="00491CB3" w:rsidRPr="00935797" w14:paraId="20E29D8F" w14:textId="77777777" w:rsidTr="008C1B0D">
        <w:tc>
          <w:tcPr>
            <w:tcW w:w="1088" w:type="pct"/>
            <w:vMerge/>
          </w:tcPr>
          <w:p w14:paraId="7AABA26F" w14:textId="77777777" w:rsidR="00491CB3" w:rsidRPr="00E0193B" w:rsidRDefault="00491CB3" w:rsidP="00491CB3">
            <w:pPr>
              <w:spacing w:after="120" w:line="240" w:lineRule="auto"/>
              <w:rPr>
                <w:lang w:val="en-GB"/>
              </w:rPr>
            </w:pPr>
          </w:p>
        </w:tc>
        <w:tc>
          <w:tcPr>
            <w:tcW w:w="1897" w:type="pct"/>
          </w:tcPr>
          <w:p w14:paraId="25836AFF" w14:textId="77777777" w:rsidR="00491CB3" w:rsidRPr="00E0193B" w:rsidRDefault="00491CB3" w:rsidP="00491CB3">
            <w:pPr>
              <w:spacing w:after="120" w:line="240" w:lineRule="auto"/>
              <w:jc w:val="left"/>
              <w:rPr>
                <w:rFonts w:eastAsia="Calibri"/>
              </w:rPr>
            </w:pPr>
            <w:r w:rsidRPr="00E0193B">
              <w:rPr>
                <w:rFonts w:eastAsia="Calibri"/>
              </w:rPr>
              <w:t>C8G Zmiana ustawy z dnia 11 marca 2004 r. o podatku od towarów i usług (stosowanie faktur ustrukturyzowanych) - wprowadzenie do obrotu gospodarczego ustrukturyzowanych faktur elektronicznych oraz obowiązku ich wystawiania i otrzymywania za pośrednictwem Krajowego Systemu e-faktur</w:t>
            </w:r>
            <w:r w:rsidRPr="00E0193B">
              <w:rPr>
                <w:rFonts w:eastAsia="Calibri"/>
                <w:i/>
                <w:iCs/>
              </w:rPr>
              <w:t>.</w:t>
            </w:r>
          </w:p>
          <w:p w14:paraId="3DAC770D" w14:textId="77777777" w:rsidR="00491CB3" w:rsidRPr="00E0193B" w:rsidRDefault="00491CB3" w:rsidP="00491CB3">
            <w:pPr>
              <w:spacing w:after="120" w:line="240" w:lineRule="auto"/>
              <w:rPr>
                <w:lang w:val="en-US"/>
              </w:rPr>
            </w:pPr>
            <w:r w:rsidRPr="00E0193B">
              <w:rPr>
                <w:rFonts w:eastAsia="Calibri"/>
                <w:lang w:val="en-US"/>
              </w:rPr>
              <w:t>Termin realizacji: II kwartał 2022 r</w:t>
            </w:r>
          </w:p>
          <w:p w14:paraId="1C601354" w14:textId="77777777" w:rsidR="00491CB3" w:rsidRPr="00E0193B" w:rsidRDefault="00491CB3" w:rsidP="00491CB3">
            <w:pPr>
              <w:spacing w:after="120" w:line="240" w:lineRule="auto"/>
              <w:jc w:val="left"/>
              <w:rPr>
                <w:rFonts w:eastAsia="Calibri"/>
                <w:lang w:val="en-GB"/>
              </w:rPr>
            </w:pPr>
            <w:r w:rsidRPr="00E0193B">
              <w:rPr>
                <w:rFonts w:eastAsia="Calibri"/>
                <w:lang w:val="en-GB"/>
              </w:rPr>
              <w:t>C8G Amendment to the Act of 11 March 2004 on tax on goods and services (use of structured invoices) – introducing structured electronic invoices to the economic market and the obligation to issue and receive them through the National System of e-invoices</w:t>
            </w:r>
          </w:p>
          <w:p w14:paraId="2CD23CAF" w14:textId="77777777" w:rsidR="00491CB3" w:rsidRPr="00E0193B" w:rsidRDefault="00491CB3" w:rsidP="00491CB3">
            <w:pPr>
              <w:spacing w:after="120" w:line="240" w:lineRule="auto"/>
              <w:rPr>
                <w:lang w:val="en-GB"/>
              </w:rPr>
            </w:pPr>
            <w:r w:rsidRPr="00E0193B">
              <w:rPr>
                <w:rFonts w:eastAsia="Calibri"/>
                <w:lang w:val="en-GB"/>
              </w:rPr>
              <w:lastRenderedPageBreak/>
              <w:t>Indicative timeline for completion: Q2 2022</w:t>
            </w:r>
          </w:p>
        </w:tc>
        <w:tc>
          <w:tcPr>
            <w:tcW w:w="2015" w:type="pct"/>
          </w:tcPr>
          <w:p w14:paraId="186EBDC6" w14:textId="77777777" w:rsidR="00491CB3" w:rsidRPr="00E0193B" w:rsidRDefault="00491CB3" w:rsidP="00491CB3">
            <w:pPr>
              <w:spacing w:after="120" w:line="240" w:lineRule="auto"/>
              <w:jc w:val="left"/>
              <w:rPr>
                <w:rFonts w:eastAsia="Calibri"/>
              </w:rPr>
            </w:pPr>
            <w:r w:rsidRPr="00E0193B">
              <w:rPr>
                <w:rFonts w:eastAsia="Calibri"/>
              </w:rPr>
              <w:lastRenderedPageBreak/>
              <w:t>C8G Zmiana ustawy z dnia 11 marca 2004 r. o podatku od towarów i usług (stosowanie faktur ustrukturyzowanych) - wprowadzenie do obrotu gospodarczego ustrukturyzowanych faktur elektronicznych oraz obowiązku ich wystawiania i otrzymywania za pośrednictwem Krajowego Systemu e-faktur</w:t>
            </w:r>
            <w:r w:rsidRPr="00E0193B">
              <w:rPr>
                <w:rFonts w:eastAsia="Calibri"/>
                <w:i/>
                <w:iCs/>
              </w:rPr>
              <w:t>.</w:t>
            </w:r>
          </w:p>
          <w:p w14:paraId="6B73113F" w14:textId="77777777" w:rsidR="00491CB3" w:rsidRPr="00E0193B" w:rsidRDefault="00491CB3" w:rsidP="00491CB3">
            <w:pPr>
              <w:spacing w:after="120" w:line="240" w:lineRule="auto"/>
              <w:rPr>
                <w:rFonts w:eastAsia="Calibri"/>
              </w:rPr>
            </w:pPr>
            <w:r w:rsidRPr="00E0193B">
              <w:rPr>
                <w:rFonts w:eastAsia="Calibri"/>
              </w:rPr>
              <w:t xml:space="preserve">Termin realizacji: </w:t>
            </w:r>
            <w:r w:rsidRPr="00E0193B">
              <w:rPr>
                <w:rFonts w:eastAsia="Calibri"/>
                <w:color w:val="FF0000"/>
              </w:rPr>
              <w:t>IV kwartał 2025 r.</w:t>
            </w:r>
            <w:r w:rsidRPr="00E0193B">
              <w:rPr>
                <w:rFonts w:eastAsia="Calibri"/>
              </w:rPr>
              <w:t xml:space="preserve"> </w:t>
            </w:r>
          </w:p>
          <w:p w14:paraId="38698032" w14:textId="77777777" w:rsidR="00491CB3" w:rsidRPr="00E0193B" w:rsidRDefault="00491CB3" w:rsidP="00491CB3">
            <w:pPr>
              <w:spacing w:after="120" w:line="240" w:lineRule="auto"/>
              <w:jc w:val="left"/>
              <w:rPr>
                <w:rFonts w:eastAsia="Calibri"/>
                <w:lang w:val="en-GB"/>
              </w:rPr>
            </w:pPr>
            <w:r w:rsidRPr="00E0193B">
              <w:rPr>
                <w:rFonts w:eastAsia="Calibri"/>
                <w:lang w:val="en-GB"/>
              </w:rPr>
              <w:t>C8G Amendment to the Act of 11 March 2004 on tax on goods and services (use of structured invoices) – introducing structured electronic invoices to the economic market and the obligation to issue and receive them through the National System of e-invoices</w:t>
            </w:r>
          </w:p>
          <w:p w14:paraId="4267BDA1" w14:textId="77777777" w:rsidR="00491CB3" w:rsidRPr="00E0193B" w:rsidRDefault="00491CB3" w:rsidP="00491CB3">
            <w:pPr>
              <w:spacing w:after="120" w:line="240" w:lineRule="auto"/>
              <w:rPr>
                <w:lang w:val="en-GB"/>
              </w:rPr>
            </w:pPr>
            <w:r w:rsidRPr="00E0193B">
              <w:rPr>
                <w:rFonts w:eastAsia="Calibri"/>
                <w:lang w:val="en-GB"/>
              </w:rPr>
              <w:lastRenderedPageBreak/>
              <w:t xml:space="preserve">Indicative timeline for completion: </w:t>
            </w:r>
            <w:r w:rsidRPr="00E0193B">
              <w:rPr>
                <w:rFonts w:eastAsia="Calibri"/>
                <w:color w:val="FF0000"/>
                <w:lang w:val="en-GB"/>
              </w:rPr>
              <w:t>Q4 2025</w:t>
            </w:r>
          </w:p>
        </w:tc>
      </w:tr>
      <w:tr w:rsidR="00491CB3" w:rsidRPr="00E0193B" w14:paraId="3C417416" w14:textId="77777777" w:rsidTr="008C1B0D">
        <w:tc>
          <w:tcPr>
            <w:tcW w:w="1088" w:type="pct"/>
          </w:tcPr>
          <w:p w14:paraId="30C34926" w14:textId="77777777" w:rsidR="00491CB3" w:rsidRPr="00E0193B" w:rsidRDefault="00491CB3" w:rsidP="00491CB3">
            <w:pPr>
              <w:spacing w:after="120" w:line="240" w:lineRule="auto"/>
            </w:pPr>
            <w:r w:rsidRPr="00E0193B">
              <w:lastRenderedPageBreak/>
              <w:t>Uzasadnienie</w:t>
            </w:r>
          </w:p>
        </w:tc>
        <w:tc>
          <w:tcPr>
            <w:tcW w:w="3912" w:type="pct"/>
            <w:gridSpan w:val="2"/>
          </w:tcPr>
          <w:p w14:paraId="4ED9F43F" w14:textId="77777777" w:rsidR="00491CB3" w:rsidRPr="00E0193B" w:rsidRDefault="00491CB3" w:rsidP="00491CB3">
            <w:pPr>
              <w:spacing w:after="120" w:line="240" w:lineRule="auto"/>
            </w:pPr>
            <w:r w:rsidRPr="00E0193B">
              <w:t>C7G</w:t>
            </w:r>
          </w:p>
          <w:p w14:paraId="34037B80" w14:textId="77777777" w:rsidR="00746554" w:rsidRPr="00E0193B" w:rsidRDefault="00746554" w:rsidP="00746554">
            <w:pPr>
              <w:spacing w:after="120" w:line="240" w:lineRule="auto"/>
            </w:pPr>
            <w:r w:rsidRPr="00E0193B">
              <w:t>Powodem zmiany terminu realizacji kamienia C7G jest nakładanie się kalendarza prac nad nowelizacją ustawy o informatyzacji działalności podmiotów realizujących zadania publiczne z pracami nad projektem aktu w sprawie Interoperacyjnej Europy (rozporządzenia Parlamentu Europejskiego i Rady (UE) 2024/903 z dnia 13 marca 2024 r. w sprawie ustanowienia środków na rzecz wysokiego poziomu interoperacyjności sektora publicznego na terytorium Unii).</w:t>
            </w:r>
          </w:p>
          <w:p w14:paraId="04A5BAA4" w14:textId="77777777" w:rsidR="00746554" w:rsidRPr="00E0193B" w:rsidRDefault="00746554" w:rsidP="00746554">
            <w:pPr>
              <w:spacing w:after="120" w:line="240" w:lineRule="auto"/>
            </w:pPr>
            <w:r w:rsidRPr="00E0193B">
              <w:t xml:space="preserve">Przygotowany wcześniej projekt zmiany ustawy o informatyzacji wymagał uzupełnienia w związku z potrzebą zaadresowania w projektowanych przepisach kwestii wynikających z ww. aktu, tj. wyznaczenia organu krajowego odpowiedzialnego za stosowanie rozporządzenia unijnego oraz obsługi pojedynczego punktu kontaktowego czy wspierania organów sektora publicznego w opracowywaniu lub dostosowaniu ich procesów na potrzeby oceny interoperacyjności transgranicznej. Ponadto konieczne było zapewnienie zgodności polskich rozwiązań w zakresie interoperacyjności, zwartych w ustawie o informatyzacji i aktach wykonawczych do ustawy, z Europejskimi Ramami Interoperacyjności i wprowadzenie innych rozwiązań wynikających z potrzeb krajowych. </w:t>
            </w:r>
          </w:p>
          <w:p w14:paraId="64F5D096" w14:textId="77777777" w:rsidR="00746554" w:rsidRPr="00E0193B" w:rsidRDefault="00746554" w:rsidP="00746554">
            <w:pPr>
              <w:spacing w:after="120" w:line="240" w:lineRule="auto"/>
            </w:pPr>
            <w:r w:rsidRPr="00E0193B">
              <w:t xml:space="preserve">Projektowanie zmian w przepisach krajowych przed przyjęciem ostatecznego tekstu rozporządzenia byłoby działaniem niecelowym i nieefektywnym. Przykładowo, nawet jeżeli projekt rozporządzenia przewidywał konieczność wyznaczenia w państwach członkowskich organów właściwych w jego rozumieniu, to bez wiedzy na temat ostatecznego kształtu przepisów materialnych, przypisywanie tej roli byłoby działaniem pochopnym. </w:t>
            </w:r>
          </w:p>
          <w:p w14:paraId="454FEE5F" w14:textId="77777777" w:rsidR="00746554" w:rsidRPr="00E0193B" w:rsidRDefault="00746554" w:rsidP="00746554">
            <w:pPr>
              <w:spacing w:after="120" w:line="240" w:lineRule="auto"/>
            </w:pPr>
            <w:r w:rsidRPr="00E0193B">
              <w:t xml:space="preserve">Z uwagi na znaczny zakres wprowadzanych w projekcie zmian, ich szczególnie skomplikowany charakter i konieczność uwzględnienia przepisów europejskich, niezbędne było przeprowadzenie ponownych uzgodnień projektu w ramach Ministerstwa Cyfryzacji i ponowne analizy z tym związane. </w:t>
            </w:r>
          </w:p>
          <w:p w14:paraId="26789139" w14:textId="77777777" w:rsidR="00746554" w:rsidRPr="00E0193B" w:rsidRDefault="00746554" w:rsidP="00746554">
            <w:pPr>
              <w:spacing w:after="120" w:line="240" w:lineRule="auto"/>
            </w:pPr>
            <w:r w:rsidRPr="00E0193B">
              <w:t>Celem nowelizacji ustawy o informatyzacji działalności podmiotów realizujących zadania publiczne jest zaadresowanie zidentyfikowanych wyzwań i eliminacja barier dla domyślności cyfrowej i dalszej cyfryzacji procesów administracyjnych takich, jak  m.in. niepełna interoperacyjność systemów i rejestrów czy wielokrotne gromadzenie i powielanie danych. Nowelizacji zakłada takie przekształcenie działalności administracji publicznej, aby uwzględniała procesy, których źródłem są nowe technologie i uwarunkowania wynikające z transformacji cyfrowej, w tym potrzebę domyślności cyfrowej i cyfryzacji procesów administracyjnych.</w:t>
            </w:r>
          </w:p>
          <w:p w14:paraId="7A6801F5" w14:textId="77777777" w:rsidR="00746554" w:rsidRPr="00E0193B" w:rsidRDefault="00746554" w:rsidP="00746554">
            <w:pPr>
              <w:spacing w:after="120" w:line="240" w:lineRule="auto"/>
            </w:pPr>
            <w:r w:rsidRPr="00E0193B">
              <w:t>Należy podkreślić, że w związku z wejściem w życie ww. aktu w sprawie Interoperacyjnej Europy wymagania wobec interoperacyjności zawarte w obowiązującej ustawie o informatyzacji i aktach wykonawczych do ustawy wymagają zaktualizowania – w tym, w szczególności, poprzez wprowadzenie warstwy interoperacyjności prawnej i zapewnianie zgodności Krajowych Ram Interoperacyjności z europejskimi ramami interoperacyjności.</w:t>
            </w:r>
          </w:p>
          <w:p w14:paraId="0320146F" w14:textId="77777777" w:rsidR="00746554" w:rsidRPr="00E0193B" w:rsidRDefault="00746554" w:rsidP="00746554">
            <w:pPr>
              <w:spacing w:after="120" w:line="240" w:lineRule="auto"/>
            </w:pPr>
            <w:r w:rsidRPr="00E0193B">
              <w:t xml:space="preserve">Rozwiązania zapewniające interoperacyjność systemów teleinformatycznych, wykorzystywanych do realizacji zadań publicznych, są niezbędnym elementem działań zmierzających do cyfryzacji procesów administracyjnych, pozwolą bowiem na sprawną wymianę danych między istniejącymi systemami, tym samym wpisując się w realizację kamienia milowego. </w:t>
            </w:r>
          </w:p>
          <w:p w14:paraId="00BCA6B1" w14:textId="77777777" w:rsidR="00746554" w:rsidRPr="00E0193B" w:rsidRDefault="00746554" w:rsidP="00746554">
            <w:pPr>
              <w:spacing w:after="120" w:line="240" w:lineRule="auto"/>
            </w:pPr>
            <w:r w:rsidRPr="00E0193B">
              <w:t>Także inne przewidziane w projekcie rozwiązania, tj. rozwiązania z zakresu Architektury Informacyjnej Państwa czy te dotyczące inwentaryzacji systemów teleinformatycznych stanowić będą wsparcie dla transformacji cyfrową państwa i dla zapewnieniu koordynacji rozwoju cyfrowego administracji publicznej oraz harmonizacji i komplementarności działań zmierzających w tym kierunku.</w:t>
            </w:r>
          </w:p>
          <w:p w14:paraId="605388E7" w14:textId="77777777" w:rsidR="00746554" w:rsidRPr="00E0193B" w:rsidRDefault="00746554" w:rsidP="00746554">
            <w:pPr>
              <w:spacing w:after="120" w:line="240" w:lineRule="auto"/>
            </w:pPr>
            <w:r w:rsidRPr="00E0193B">
              <w:t xml:space="preserve">Na przyspieszenie i skoordynowanie procesu cyfrowego rozwoju państwa i jego administracji wpłyną również rozwiązania polegające na powołaniu na gruncie ustawowym Komitetu do spraw Cyfryzacji, zwanego dalej „Komitetem”. Do zadań Komitetu należało będzie bowiem m.in. podejmowanie rozstrzygnięć związanych z informatyzacją. Dodatkowo Komitet będzie monitorował i opiniował realizację przedsięwzięć informatycznych o publicznym zastosowaniu związanym m.in. z budową systemów teleinformatycznych służących do realizacji zadań publicznych. Tym samym rozwiązania w zakresie zadań Komitetu wspierać będą realizację kamienia milowego. </w:t>
            </w:r>
          </w:p>
          <w:p w14:paraId="7FB7E405" w14:textId="77777777" w:rsidR="00746554" w:rsidRPr="00E0193B" w:rsidRDefault="00746554" w:rsidP="00746554">
            <w:pPr>
              <w:spacing w:after="120" w:line="240" w:lineRule="auto"/>
            </w:pPr>
            <w:r w:rsidRPr="00E0193B">
              <w:t xml:space="preserve">Realizację kamienia milowego wspierać będą również rozwiązania przewidujące przyjęcie dokumentu strategicznego w dziedzinie informatyzacji państwa, zwanego dalej „strategią” i powołanie w urzędach obsługujących ministrów i w Kancelarii Prezesa Rady Ministrów, pełnomocników do spraw informatyzacji, do zadań których należało będzie m.in. realizowanie strategii. Celem strategii będzie określenie kierunków procesu informatyzacji państwa, które z punktu widzenia długofalowego i kompleksowego planowania będą miały fundamentalne znaczenie dla realizacji KPO i kontynuacji działań w nim przewidzianych. </w:t>
            </w:r>
          </w:p>
          <w:p w14:paraId="2C07894C" w14:textId="4CB3864E" w:rsidR="001F2306" w:rsidRPr="00E0193B" w:rsidRDefault="00746554" w:rsidP="00746554">
            <w:pPr>
              <w:spacing w:after="120" w:line="240" w:lineRule="auto"/>
            </w:pPr>
            <w:r w:rsidRPr="00E0193B">
              <w:t>Dodatkowo pełnomocnicy do spraw informatyzacji wspierać będą podnoszenie kompetencji cyfrowych pracowników administracji publicznej, tym samym przyczyniając się do cyfryzacji administracji publicznej.</w:t>
            </w:r>
          </w:p>
          <w:p w14:paraId="1F31AADE" w14:textId="7856910D" w:rsidR="00491CB3" w:rsidRPr="00E0193B" w:rsidRDefault="00491CB3" w:rsidP="00491CB3">
            <w:pPr>
              <w:spacing w:after="120" w:line="240" w:lineRule="auto"/>
            </w:pPr>
            <w:r w:rsidRPr="00E0193B">
              <w:t>C8G</w:t>
            </w:r>
          </w:p>
          <w:p w14:paraId="4F74B9F9" w14:textId="77777777" w:rsidR="00491CB3" w:rsidRPr="00E0193B" w:rsidRDefault="00491CB3" w:rsidP="00491CB3">
            <w:pPr>
              <w:spacing w:after="120" w:line="260" w:lineRule="exact"/>
              <w:rPr>
                <w:rFonts w:eastAsia="Calibri"/>
              </w:rPr>
            </w:pPr>
            <w:r w:rsidRPr="00E0193B">
              <w:rPr>
                <w:rFonts w:eastAsia="Calibri"/>
              </w:rPr>
              <w:t xml:space="preserve">Ministerstwo Finansów podejmuje działania w celu zapewnienia osiągnięcia dojrzałości Krajowego Systemu e-Faktur (KSeF) umożliwiające realizację obowiązków ustawowych przedsiębiorców z zastosowaniem KSeF. Podczas testów wykryto problemy z wydajnością systemu co skutkowało zleceniem zewnętrznego audytu informatycznego, którego celem jest uzyskanie analizy stanu realizacji wdrażanej usługi. </w:t>
            </w:r>
          </w:p>
          <w:p w14:paraId="45344FC4" w14:textId="117CF025" w:rsidR="001F2306" w:rsidRPr="00E0193B" w:rsidRDefault="00491CB3" w:rsidP="00CE6566">
            <w:pPr>
              <w:spacing w:after="120" w:line="260" w:lineRule="exact"/>
              <w:rPr>
                <w:rFonts w:eastAsia="Calibri"/>
              </w:rPr>
            </w:pPr>
            <w:r w:rsidRPr="00E0193B">
              <w:rPr>
                <w:rFonts w:eastAsia="Calibri"/>
              </w:rPr>
              <w:t>Sytuacją, która dodatkowo wpływa na kwestię przesunięcia wejścia w życie obowiązku stosowania KSeF jest w szczególności brak gotowości po stronie przedsiębiorców do wdrożenia nowych obowiązków prawnych (pomimo prowadzonej przez Ministerstwo Finansów oraz Krajową Administrację Skarbową akcji konferencji, spotkań i szkoleń). Na brak przygotowania przedsiębiorców do wdrożenia obowiązków użytkowania KSeF wskazuje również Krajowa Izba Biur Rachunkowych. W przeprowadzonych ankietach na temat KSeF przeprowadzonych wśród zrzeszonych w Izbie biur rachunkowych, na pytanie, czy przedsiębiorcy, których obsługuje ankietowane biuro rachunkowe są przygotowani do wdrożenia KSeF w terminie 1 lipca 2024 r. dominującą informacją zwrotną była odpowiedź negatywna.</w:t>
            </w:r>
          </w:p>
          <w:p w14:paraId="1DC1C9E5" w14:textId="5DCB9ADB" w:rsidR="001F2306" w:rsidRPr="00E0193B" w:rsidRDefault="00491CB3" w:rsidP="001F2306">
            <w:pPr>
              <w:spacing w:after="120" w:line="240" w:lineRule="auto"/>
              <w:rPr>
                <w:rFonts w:eastAsia="Calibri"/>
              </w:rPr>
            </w:pPr>
            <w:r w:rsidRPr="00E0193B">
              <w:rPr>
                <w:rFonts w:eastAsia="Calibri"/>
              </w:rPr>
              <w:lastRenderedPageBreak/>
              <w:t>Problem w tym zakresie  był podnoszony również w piśmie Rzecznika Małych</w:t>
            </w:r>
            <w:r w:rsidR="001F2306" w:rsidRPr="00E0193B">
              <w:rPr>
                <w:rFonts w:eastAsia="Calibri"/>
              </w:rPr>
              <w:t xml:space="preserve"> i Średnich Przedsiębiorców, który odwoływał się do badania przeprowadzonego w III kwartale 2023 r. przez Ogólnopolską Sieć Certyfikowanych Biur Rachunkowych, pt.: ,,Biura rachunkowe o wdrożeniu KSeF: są obawy, ale też widać szansę na rozwój”, z którego wynika, że tylko 2,5 % biur rachunkowych deklaruje pełną gotowość do udziału w procedurze fakturowania w ramach KSeF.  W ocenie Rzecznika Małych i Średnich Przedsiębiorców biorąc pod uwagę fakt, że profesjonalne podmioty (biura rachunkowe) w większości nie są przygotowane merytorycznie ani praktycznie do stosowania KSeF, to tym bardziej nie są gotowi na wdrożenie KSeF podatnicy z sektora MŚP.</w:t>
            </w:r>
          </w:p>
          <w:p w14:paraId="76A53DD1" w14:textId="6C194F4A" w:rsidR="00491CB3" w:rsidRPr="00E0193B" w:rsidRDefault="00491CB3" w:rsidP="00491CB3">
            <w:pPr>
              <w:spacing w:after="120" w:line="240" w:lineRule="auto"/>
            </w:pPr>
            <w:r w:rsidRPr="00E0193B">
              <w:object w:dxaOrig="1508" w:dyaOrig="984" w14:anchorId="01F983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11" o:title=""/>
                </v:shape>
                <o:OLEObject Type="Embed" ProgID="Acrobat.Document.DC" ShapeID="_x0000_i1025" DrawAspect="Icon" ObjectID="_1788095297" r:id="rId12"/>
              </w:object>
            </w:r>
            <w:r w:rsidRPr="00E0193B">
              <w:object w:dxaOrig="1508" w:dyaOrig="984" w14:anchorId="5C3230C6">
                <v:shape id="_x0000_i1026" type="#_x0000_t75" style="width:79.5pt;height:50.25pt" o:ole="">
                  <v:imagedata r:id="rId13" o:title=""/>
                </v:shape>
                <o:OLEObject Type="Embed" ProgID="Acrobat.Document.DC" ShapeID="_x0000_i1026" DrawAspect="Icon" ObjectID="_1788095298" r:id="rId14"/>
              </w:object>
            </w:r>
            <w:r w:rsidR="001F2306" w:rsidRPr="00E0193B">
              <w:object w:dxaOrig="1539" w:dyaOrig="997" w14:anchorId="2203B9E7">
                <v:shape id="_x0000_i1027" type="#_x0000_t75" style="width:79.5pt;height:50.25pt" o:ole="">
                  <v:imagedata r:id="rId15" o:title=""/>
                </v:shape>
                <o:OLEObject Type="Embed" ProgID="Acrobat.Document.DC" ShapeID="_x0000_i1027" DrawAspect="Icon" ObjectID="_1788095299" r:id="rId16"/>
              </w:object>
            </w:r>
          </w:p>
        </w:tc>
      </w:tr>
      <w:tr w:rsidR="00491CB3" w:rsidRPr="00E0193B" w14:paraId="6C1A6213" w14:textId="77777777" w:rsidTr="008C1B0D">
        <w:tc>
          <w:tcPr>
            <w:tcW w:w="1088" w:type="pct"/>
          </w:tcPr>
          <w:p w14:paraId="360F3EE5" w14:textId="77777777" w:rsidR="00491CB3" w:rsidRPr="00E0193B" w:rsidRDefault="00491CB3" w:rsidP="00491CB3">
            <w:pPr>
              <w:spacing w:after="120" w:line="240" w:lineRule="auto"/>
            </w:pPr>
            <w:r w:rsidRPr="00E0193B">
              <w:lastRenderedPageBreak/>
              <w:t>Szacowany koszt</w:t>
            </w:r>
          </w:p>
        </w:tc>
        <w:tc>
          <w:tcPr>
            <w:tcW w:w="3912" w:type="pct"/>
            <w:gridSpan w:val="2"/>
          </w:tcPr>
          <w:p w14:paraId="01EC94F0" w14:textId="77777777" w:rsidR="00491CB3" w:rsidRPr="00E0193B" w:rsidRDefault="00491CB3" w:rsidP="00491CB3">
            <w:pPr>
              <w:spacing w:after="120" w:line="240" w:lineRule="auto"/>
            </w:pPr>
            <w:r w:rsidRPr="00E0193B">
              <w:t>Zmiana nie ma wpływu na szacowany koszt</w:t>
            </w:r>
          </w:p>
        </w:tc>
      </w:tr>
      <w:tr w:rsidR="00491CB3" w:rsidRPr="00E0193B" w14:paraId="20A4EB07" w14:textId="77777777" w:rsidTr="008C1B0D">
        <w:tc>
          <w:tcPr>
            <w:tcW w:w="1088" w:type="pct"/>
          </w:tcPr>
          <w:p w14:paraId="4B315729" w14:textId="77777777" w:rsidR="00491CB3" w:rsidRPr="00E0193B" w:rsidRDefault="00491CB3" w:rsidP="00491CB3">
            <w:pPr>
              <w:spacing w:after="120" w:line="240" w:lineRule="auto"/>
            </w:pPr>
            <w:r w:rsidRPr="00E0193B">
              <w:t>Klimatyczny i cyfrowy tagging</w:t>
            </w:r>
          </w:p>
        </w:tc>
        <w:tc>
          <w:tcPr>
            <w:tcW w:w="3912" w:type="pct"/>
            <w:gridSpan w:val="2"/>
          </w:tcPr>
          <w:p w14:paraId="3EE98BCC" w14:textId="77777777" w:rsidR="00491CB3" w:rsidRPr="00E0193B" w:rsidRDefault="00491CB3" w:rsidP="00491CB3">
            <w:pPr>
              <w:spacing w:after="120" w:line="240" w:lineRule="auto"/>
            </w:pPr>
            <w:r w:rsidRPr="00E0193B">
              <w:t>Zmiana nie ma wpływu na tagging klimatyczny i cyfrowy</w:t>
            </w:r>
          </w:p>
        </w:tc>
      </w:tr>
      <w:tr w:rsidR="00491CB3" w:rsidRPr="00E0193B" w14:paraId="5E88FAB3" w14:textId="77777777" w:rsidTr="008C1B0D">
        <w:tc>
          <w:tcPr>
            <w:tcW w:w="1088" w:type="pct"/>
          </w:tcPr>
          <w:p w14:paraId="71D91DD1" w14:textId="77777777" w:rsidR="00491CB3" w:rsidRPr="00E0193B" w:rsidRDefault="00491CB3" w:rsidP="00491CB3">
            <w:pPr>
              <w:spacing w:after="120" w:line="240" w:lineRule="auto"/>
            </w:pPr>
            <w:r w:rsidRPr="00E0193B">
              <w:t xml:space="preserve">Ocena DNSH </w:t>
            </w:r>
          </w:p>
        </w:tc>
        <w:tc>
          <w:tcPr>
            <w:tcW w:w="3912" w:type="pct"/>
            <w:gridSpan w:val="2"/>
          </w:tcPr>
          <w:p w14:paraId="3159D68F" w14:textId="77777777" w:rsidR="00491CB3" w:rsidRPr="00E0193B" w:rsidRDefault="00491CB3" w:rsidP="00491CB3">
            <w:pPr>
              <w:spacing w:after="120" w:line="240" w:lineRule="auto"/>
            </w:pPr>
            <w:r w:rsidRPr="00E0193B">
              <w:t>Zmiana nie ma wpływu na DNSH</w:t>
            </w:r>
          </w:p>
        </w:tc>
      </w:tr>
    </w:tbl>
    <w:p w14:paraId="48067B32" w14:textId="16FC4230" w:rsidR="00491CB3" w:rsidRPr="00E0193B" w:rsidRDefault="00491CB3" w:rsidP="00491CB3">
      <w:pPr>
        <w:spacing w:after="120" w:line="240" w:lineRule="auto"/>
        <w:jc w:val="left"/>
        <w:rPr>
          <w:rFonts w:eastAsia="Calibri"/>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3318"/>
        <w:gridCol w:w="3572"/>
      </w:tblGrid>
      <w:tr w:rsidR="00D66E37" w:rsidRPr="00E0193B" w14:paraId="7F1EB694" w14:textId="77777777" w:rsidTr="00F72BD7">
        <w:tc>
          <w:tcPr>
            <w:tcW w:w="1179" w:type="pct"/>
          </w:tcPr>
          <w:p w14:paraId="16FE3EA3" w14:textId="77777777" w:rsidR="00D66E37" w:rsidRPr="00E0193B" w:rsidRDefault="00D66E37" w:rsidP="00D66E37">
            <w:pPr>
              <w:spacing w:after="120" w:line="240" w:lineRule="auto"/>
              <w:rPr>
                <w:b/>
                <w:bCs/>
              </w:rPr>
            </w:pPr>
            <w:r w:rsidRPr="00E0193B">
              <w:rPr>
                <w:b/>
                <w:bCs/>
              </w:rPr>
              <w:t>Numer inwestycji</w:t>
            </w:r>
          </w:p>
        </w:tc>
        <w:tc>
          <w:tcPr>
            <w:tcW w:w="3821" w:type="pct"/>
            <w:gridSpan w:val="2"/>
          </w:tcPr>
          <w:p w14:paraId="32B5AF9C" w14:textId="77777777" w:rsidR="00D66E37" w:rsidRPr="00E0193B" w:rsidRDefault="00D66E37" w:rsidP="00D66E37">
            <w:pPr>
              <w:spacing w:after="120" w:line="240" w:lineRule="auto"/>
              <w:rPr>
                <w:b/>
                <w:bCs/>
              </w:rPr>
            </w:pPr>
            <w:r w:rsidRPr="00E0193B">
              <w:rPr>
                <w:rFonts w:eastAsia="Calibri"/>
                <w:b/>
                <w:bCs/>
              </w:rPr>
              <w:t>C2.1.1</w:t>
            </w:r>
          </w:p>
        </w:tc>
      </w:tr>
      <w:tr w:rsidR="00D66E37" w:rsidRPr="00E0193B" w14:paraId="7816B91C" w14:textId="77777777" w:rsidTr="00F72BD7">
        <w:tc>
          <w:tcPr>
            <w:tcW w:w="1179" w:type="pct"/>
          </w:tcPr>
          <w:p w14:paraId="584F53D6" w14:textId="77777777" w:rsidR="00D66E37" w:rsidRPr="00E0193B" w:rsidRDefault="00D66E37" w:rsidP="00D66E37">
            <w:pPr>
              <w:spacing w:after="120" w:line="240" w:lineRule="auto"/>
              <w:rPr>
                <w:b/>
                <w:bCs/>
              </w:rPr>
            </w:pPr>
            <w:r w:rsidRPr="00E0193B">
              <w:rPr>
                <w:b/>
                <w:bCs/>
              </w:rPr>
              <w:t>Nazwa inwestycji</w:t>
            </w:r>
          </w:p>
        </w:tc>
        <w:tc>
          <w:tcPr>
            <w:tcW w:w="3821" w:type="pct"/>
            <w:gridSpan w:val="2"/>
          </w:tcPr>
          <w:p w14:paraId="76500D2F" w14:textId="77777777" w:rsidR="00D66E37" w:rsidRPr="00E0193B" w:rsidRDefault="00D66E37" w:rsidP="00D66E37">
            <w:pPr>
              <w:spacing w:after="120" w:line="240" w:lineRule="auto"/>
              <w:rPr>
                <w:b/>
                <w:bCs/>
              </w:rPr>
            </w:pPr>
            <w:r w:rsidRPr="00E0193B">
              <w:rPr>
                <w:b/>
                <w:bCs/>
              </w:rPr>
              <w:t>E-usługi publiczne, rozwiązania IT usprawniające funkcjonowanie administracji i sektorów gospodarki</w:t>
            </w:r>
          </w:p>
        </w:tc>
      </w:tr>
      <w:tr w:rsidR="00D66E37" w:rsidRPr="00E0193B" w14:paraId="03A08E6E" w14:textId="77777777" w:rsidTr="00F72BD7">
        <w:tc>
          <w:tcPr>
            <w:tcW w:w="1179" w:type="pct"/>
            <w:shd w:val="clear" w:color="auto" w:fill="auto"/>
          </w:tcPr>
          <w:p w14:paraId="1AC85CE3" w14:textId="77777777" w:rsidR="00D66E37" w:rsidRPr="00E0193B" w:rsidRDefault="00D66E37" w:rsidP="00D66E37">
            <w:pPr>
              <w:spacing w:after="120" w:line="240" w:lineRule="auto"/>
            </w:pPr>
            <w:r w:rsidRPr="00E0193B">
              <w:t>Rodzaj wprowadzonej zmiany w odniesieniu do CID</w:t>
            </w:r>
          </w:p>
        </w:tc>
        <w:tc>
          <w:tcPr>
            <w:tcW w:w="3821" w:type="pct"/>
            <w:gridSpan w:val="2"/>
            <w:shd w:val="clear" w:color="auto" w:fill="auto"/>
          </w:tcPr>
          <w:p w14:paraId="13A031BB" w14:textId="77777777" w:rsidR="00D66E37" w:rsidRPr="00E0193B" w:rsidRDefault="00D66E37" w:rsidP="00D66E37">
            <w:pPr>
              <w:spacing w:after="120" w:line="240" w:lineRule="auto"/>
            </w:pPr>
            <w:r w:rsidRPr="00E0193B">
              <w:t>Dodanie dwóch nowych podinwestycji</w:t>
            </w:r>
          </w:p>
        </w:tc>
      </w:tr>
      <w:tr w:rsidR="00D66E37" w:rsidRPr="00E0193B" w14:paraId="66C26958" w14:textId="77777777" w:rsidTr="00F72BD7">
        <w:tc>
          <w:tcPr>
            <w:tcW w:w="1179" w:type="pct"/>
            <w:shd w:val="clear" w:color="auto" w:fill="auto"/>
          </w:tcPr>
          <w:p w14:paraId="4184CDFB" w14:textId="77777777" w:rsidR="00D66E37" w:rsidRPr="00E0193B" w:rsidRDefault="00D66E37" w:rsidP="00D66E37">
            <w:pPr>
              <w:spacing w:after="120" w:line="240" w:lineRule="auto"/>
            </w:pPr>
            <w:r w:rsidRPr="00E0193B">
              <w:t>Podstawa prawna zmiany</w:t>
            </w:r>
          </w:p>
        </w:tc>
        <w:tc>
          <w:tcPr>
            <w:tcW w:w="3821" w:type="pct"/>
            <w:gridSpan w:val="2"/>
            <w:shd w:val="clear" w:color="auto" w:fill="auto"/>
          </w:tcPr>
          <w:p w14:paraId="1EDEDC9E" w14:textId="77777777" w:rsidR="00D66E37" w:rsidRPr="00E0193B" w:rsidRDefault="00D66E37" w:rsidP="00D66E37">
            <w:pPr>
              <w:spacing w:after="120" w:line="240" w:lineRule="auto"/>
            </w:pPr>
            <w:r w:rsidRPr="00E0193B">
              <w:rPr>
                <w:rFonts w:eastAsia="Calibri"/>
              </w:rPr>
              <w:t>art. 21 rozporządzenia Parlamentu Europejskiego i Rady (UE) 2021/241 z dnia 12 lutego 2021 r. ustanawiające Instrument na rzecz Odbudowy i Zwiększania Odporności</w:t>
            </w:r>
          </w:p>
        </w:tc>
      </w:tr>
      <w:tr w:rsidR="00D66E37" w:rsidRPr="00E0193B" w14:paraId="14A2E1CB" w14:textId="77777777" w:rsidTr="00F72BD7">
        <w:tc>
          <w:tcPr>
            <w:tcW w:w="1179" w:type="pct"/>
            <w:shd w:val="clear" w:color="auto" w:fill="D9D9D9"/>
          </w:tcPr>
          <w:p w14:paraId="4B504DE7" w14:textId="77777777" w:rsidR="00D66E37" w:rsidRPr="00E0193B" w:rsidRDefault="00D66E37" w:rsidP="00D66E37">
            <w:pPr>
              <w:spacing w:after="120" w:line="240" w:lineRule="auto"/>
            </w:pPr>
            <w:r w:rsidRPr="00E0193B">
              <w:t>Modyfikowany element</w:t>
            </w:r>
          </w:p>
        </w:tc>
        <w:tc>
          <w:tcPr>
            <w:tcW w:w="1840" w:type="pct"/>
            <w:shd w:val="clear" w:color="auto" w:fill="D9D9D9"/>
          </w:tcPr>
          <w:p w14:paraId="62C97733" w14:textId="77777777" w:rsidR="00D66E37" w:rsidRPr="00E0193B" w:rsidRDefault="00D66E37" w:rsidP="00D66E37">
            <w:pPr>
              <w:spacing w:after="120" w:line="240" w:lineRule="auto"/>
            </w:pPr>
            <w:r w:rsidRPr="00E0193B">
              <w:t>Bieżąca wersja</w:t>
            </w:r>
          </w:p>
        </w:tc>
        <w:tc>
          <w:tcPr>
            <w:tcW w:w="1981" w:type="pct"/>
            <w:shd w:val="clear" w:color="auto" w:fill="D9D9D9"/>
          </w:tcPr>
          <w:p w14:paraId="65EEC906" w14:textId="77777777" w:rsidR="00D66E37" w:rsidRPr="00E0193B" w:rsidRDefault="00D66E37" w:rsidP="00D66E37">
            <w:pPr>
              <w:spacing w:after="120" w:line="240" w:lineRule="auto"/>
            </w:pPr>
            <w:r w:rsidRPr="00E0193B">
              <w:t>Wersja zmieniona</w:t>
            </w:r>
          </w:p>
        </w:tc>
      </w:tr>
      <w:tr w:rsidR="00D66E37" w:rsidRPr="00E0193B" w14:paraId="49B2560A" w14:textId="77777777" w:rsidTr="00F72BD7">
        <w:tc>
          <w:tcPr>
            <w:tcW w:w="1179" w:type="pct"/>
          </w:tcPr>
          <w:p w14:paraId="47BCF0D4" w14:textId="77777777" w:rsidR="00D66E37" w:rsidRPr="00E0193B" w:rsidRDefault="00D66E37" w:rsidP="00D66E37">
            <w:pPr>
              <w:spacing w:after="120" w:line="240" w:lineRule="auto"/>
            </w:pPr>
            <w:r w:rsidRPr="00E0193B">
              <w:t>Opis komponentu oraz/lub działania (inwestycji/reformy)</w:t>
            </w:r>
          </w:p>
        </w:tc>
        <w:tc>
          <w:tcPr>
            <w:tcW w:w="1840" w:type="pct"/>
          </w:tcPr>
          <w:p w14:paraId="366FC4D1" w14:textId="77777777" w:rsidR="00D66E37" w:rsidRPr="00E0193B" w:rsidRDefault="00D66E37" w:rsidP="00D66E37">
            <w:pPr>
              <w:spacing w:after="120" w:line="240" w:lineRule="auto"/>
              <w:jc w:val="left"/>
            </w:pPr>
            <w:r w:rsidRPr="00E0193B">
              <w:t xml:space="preserve">Aby zwiększyć wykorzystanie e-usług publicznych, w ramach tej inwestycji planuje się wdrożenie następujących projektów: </w:t>
            </w:r>
          </w:p>
          <w:p w14:paraId="78DE4A8F" w14:textId="77777777" w:rsidR="00D66E37" w:rsidRPr="00E0193B" w:rsidRDefault="00D66E37" w:rsidP="00D66E37">
            <w:pPr>
              <w:numPr>
                <w:ilvl w:val="0"/>
                <w:numId w:val="36"/>
              </w:numPr>
              <w:spacing w:after="120" w:line="240" w:lineRule="auto"/>
              <w:contextualSpacing/>
              <w:jc w:val="left"/>
            </w:pPr>
            <w:r w:rsidRPr="00E0193B">
              <w:t xml:space="preserve">zakończenie procesu opracowywania nowych lub udoskonalania już istniejących e-usług w administracji publicznej umożliwiających obywatelom załatwianie spraw administracyjnych przez internet, </w:t>
            </w:r>
          </w:p>
          <w:p w14:paraId="02DF387A" w14:textId="77777777" w:rsidR="00D66E37" w:rsidRPr="00E0193B" w:rsidRDefault="00D66E37" w:rsidP="00D66E37">
            <w:pPr>
              <w:numPr>
                <w:ilvl w:val="0"/>
                <w:numId w:val="36"/>
              </w:numPr>
              <w:spacing w:after="120" w:line="240" w:lineRule="auto"/>
              <w:contextualSpacing/>
              <w:jc w:val="left"/>
            </w:pPr>
            <w:r w:rsidRPr="00E0193B">
              <w:t xml:space="preserve">zakończenie procesu opracowywania nowych lub udoskonalania już istniejących systemów informatycznych w administracji publicznej. </w:t>
            </w:r>
          </w:p>
          <w:p w14:paraId="488662C8" w14:textId="77777777" w:rsidR="00D66E37" w:rsidRPr="00E0193B" w:rsidRDefault="00D66E37" w:rsidP="00D66E37">
            <w:pPr>
              <w:spacing w:after="120" w:line="240" w:lineRule="auto"/>
              <w:jc w:val="left"/>
            </w:pPr>
          </w:p>
        </w:tc>
        <w:tc>
          <w:tcPr>
            <w:tcW w:w="1981" w:type="pct"/>
          </w:tcPr>
          <w:p w14:paraId="668870EB" w14:textId="77777777" w:rsidR="00D66E37" w:rsidRPr="00E0193B" w:rsidRDefault="00D66E37" w:rsidP="00D66E37">
            <w:pPr>
              <w:spacing w:after="120" w:line="240" w:lineRule="auto"/>
              <w:jc w:val="left"/>
            </w:pPr>
            <w:r w:rsidRPr="00E0193B">
              <w:t xml:space="preserve">Aby zwiększyć wykorzystanie e-usług publicznych, w ramach tej inwestycji planuje się wdrożenie następujących projektów: </w:t>
            </w:r>
          </w:p>
          <w:p w14:paraId="1B60C52F" w14:textId="77777777" w:rsidR="00D66E37" w:rsidRPr="00E0193B" w:rsidRDefault="00D66E37" w:rsidP="00D66E37">
            <w:pPr>
              <w:numPr>
                <w:ilvl w:val="0"/>
                <w:numId w:val="37"/>
              </w:numPr>
              <w:spacing w:after="120" w:line="240" w:lineRule="auto"/>
              <w:contextualSpacing/>
              <w:jc w:val="left"/>
            </w:pPr>
            <w:r w:rsidRPr="00E0193B">
              <w:t>zakończenie procesu opracowywania nowych lub udoskonalania już istniejących e-usług w administracji publicznej umożliwiających obywatelom załatwianie spraw administracyjnych przez internet,</w:t>
            </w:r>
          </w:p>
          <w:p w14:paraId="6A795F6F" w14:textId="77777777" w:rsidR="00D66E37" w:rsidRPr="00E0193B" w:rsidRDefault="00D66E37" w:rsidP="00D66E37">
            <w:pPr>
              <w:numPr>
                <w:ilvl w:val="0"/>
                <w:numId w:val="37"/>
              </w:numPr>
              <w:spacing w:after="120" w:line="240" w:lineRule="auto"/>
              <w:contextualSpacing/>
              <w:jc w:val="left"/>
            </w:pPr>
            <w:r w:rsidRPr="00E0193B">
              <w:t>zakończenie procesu opracowywania nowych lub udoskonalania już istniejących systemów informatycznych w administracji publicznej.</w:t>
            </w:r>
          </w:p>
          <w:p w14:paraId="4D4F0A7A" w14:textId="77777777" w:rsidR="00D66E37" w:rsidRPr="00E0193B" w:rsidRDefault="00D66E37" w:rsidP="00D66E37">
            <w:pPr>
              <w:numPr>
                <w:ilvl w:val="0"/>
                <w:numId w:val="37"/>
              </w:numPr>
              <w:spacing w:line="259" w:lineRule="auto"/>
              <w:contextualSpacing/>
              <w:jc w:val="left"/>
              <w:rPr>
                <w:color w:val="FF0000"/>
              </w:rPr>
            </w:pPr>
            <w:r w:rsidRPr="00E0193B">
              <w:rPr>
                <w:color w:val="FF0000"/>
              </w:rPr>
              <w:t xml:space="preserve">wsparcie dla powszechnego stosowania elektronicznego zarządzania dokumentacją poprzez rozwój i udostępnienie nieodpłatnego systemu klasy EZD, udostępnienie chmury SaaS2 EZD RP oraz wdrożenia systemu EZD w administracji publicznej RP. </w:t>
            </w:r>
          </w:p>
          <w:p w14:paraId="191B5C58" w14:textId="51FBA847" w:rsidR="00D66E37" w:rsidRPr="00E0193B" w:rsidRDefault="00D66E37" w:rsidP="00E0193B">
            <w:pPr>
              <w:numPr>
                <w:ilvl w:val="0"/>
                <w:numId w:val="37"/>
              </w:numPr>
              <w:spacing w:line="259" w:lineRule="auto"/>
              <w:contextualSpacing/>
              <w:jc w:val="left"/>
              <w:rPr>
                <w:color w:val="FF0000"/>
              </w:rPr>
            </w:pPr>
            <w:r w:rsidRPr="00E0193B">
              <w:rPr>
                <w:color w:val="FF0000"/>
              </w:rPr>
              <w:t>zwiększenia poziomu cyfryzacji usług i procesów Krajowej Administracji Skarbowej (KAS) poprzez wdrożenie elektronicznego obiegu faktur w obrocie gospodarczym (krajowy system e-faktur) oraz rozbudowę istniejącej platformy e-Urząd Skarbowy o nowe e-usługi publiczne.</w:t>
            </w:r>
          </w:p>
        </w:tc>
      </w:tr>
      <w:tr w:rsidR="00D66E37" w:rsidRPr="00935797" w14:paraId="5C9CB8B8" w14:textId="77777777" w:rsidTr="00F72BD7">
        <w:tc>
          <w:tcPr>
            <w:tcW w:w="1179" w:type="pct"/>
          </w:tcPr>
          <w:p w14:paraId="599B8EB4" w14:textId="77777777" w:rsidR="00D66E37" w:rsidRPr="00E0193B" w:rsidRDefault="00D66E37" w:rsidP="00D66E37">
            <w:pPr>
              <w:spacing w:after="120" w:line="240" w:lineRule="auto"/>
            </w:pPr>
          </w:p>
        </w:tc>
        <w:tc>
          <w:tcPr>
            <w:tcW w:w="1840" w:type="pct"/>
          </w:tcPr>
          <w:p w14:paraId="3FBE7DC3" w14:textId="77777777" w:rsidR="00D66E37" w:rsidRPr="00E0193B" w:rsidRDefault="00D66E37" w:rsidP="00D66E37">
            <w:pPr>
              <w:autoSpaceDE w:val="0"/>
              <w:autoSpaceDN w:val="0"/>
              <w:adjustRightInd w:val="0"/>
              <w:spacing w:after="0" w:line="240" w:lineRule="auto"/>
              <w:rPr>
                <w:rFonts w:eastAsia="Calibri"/>
                <w:color w:val="000000"/>
                <w:lang w:val="en-GB"/>
              </w:rPr>
            </w:pPr>
            <w:r w:rsidRPr="00E0193B">
              <w:rPr>
                <w:rFonts w:eastAsia="Calibri"/>
                <w:color w:val="000000"/>
                <w:lang w:val="en-GB"/>
              </w:rPr>
              <w:t xml:space="preserve">To increase the use of public e-services, the following projects shall be implemented under this investment: </w:t>
            </w:r>
          </w:p>
          <w:p w14:paraId="09EB6AAC" w14:textId="77777777" w:rsidR="00D66E37" w:rsidRPr="00E0193B" w:rsidRDefault="00D66E37" w:rsidP="00D66E37">
            <w:pPr>
              <w:numPr>
                <w:ilvl w:val="0"/>
                <w:numId w:val="38"/>
              </w:numPr>
              <w:autoSpaceDE w:val="0"/>
              <w:autoSpaceDN w:val="0"/>
              <w:adjustRightInd w:val="0"/>
              <w:spacing w:after="164" w:line="240" w:lineRule="auto"/>
              <w:jc w:val="left"/>
              <w:rPr>
                <w:rFonts w:eastAsia="Calibri"/>
                <w:color w:val="000000"/>
                <w:lang w:val="en-GB"/>
              </w:rPr>
            </w:pPr>
            <w:r w:rsidRPr="00E0193B">
              <w:rPr>
                <w:rFonts w:eastAsia="Calibri"/>
                <w:color w:val="000000"/>
                <w:lang w:val="en-GB"/>
              </w:rPr>
              <w:t>the completion of new e-services or the upgrade of existing ones in the public administration, enabling citizens to deal with administrative matters online,</w:t>
            </w:r>
          </w:p>
          <w:p w14:paraId="2768113E" w14:textId="77777777" w:rsidR="00D66E37" w:rsidRPr="00E0193B" w:rsidRDefault="00D66E37" w:rsidP="00D66E37">
            <w:pPr>
              <w:numPr>
                <w:ilvl w:val="0"/>
                <w:numId w:val="38"/>
              </w:numPr>
              <w:autoSpaceDE w:val="0"/>
              <w:autoSpaceDN w:val="0"/>
              <w:adjustRightInd w:val="0"/>
              <w:spacing w:after="164" w:line="240" w:lineRule="auto"/>
              <w:jc w:val="left"/>
              <w:rPr>
                <w:rFonts w:eastAsia="Calibri"/>
                <w:color w:val="000000"/>
                <w:lang w:val="en-GB"/>
              </w:rPr>
            </w:pPr>
            <w:r w:rsidRPr="00E0193B">
              <w:rPr>
                <w:rFonts w:eastAsia="Calibri"/>
                <w:color w:val="000000"/>
                <w:lang w:val="en-GB"/>
              </w:rPr>
              <w:t xml:space="preserve">the completion of new IT systems or the upgrade of existing ones in the public administration, </w:t>
            </w:r>
          </w:p>
          <w:p w14:paraId="5E6A394F" w14:textId="77777777" w:rsidR="00D66E37" w:rsidRPr="00E0193B" w:rsidRDefault="00D66E37" w:rsidP="00D66E37">
            <w:pPr>
              <w:spacing w:after="120" w:line="240" w:lineRule="auto"/>
              <w:jc w:val="left"/>
              <w:rPr>
                <w:lang w:val="en-GB"/>
              </w:rPr>
            </w:pPr>
          </w:p>
        </w:tc>
        <w:tc>
          <w:tcPr>
            <w:tcW w:w="1981" w:type="pct"/>
          </w:tcPr>
          <w:p w14:paraId="2C2577F9" w14:textId="77777777" w:rsidR="00D66E37" w:rsidRPr="00E0193B" w:rsidRDefault="00D66E37" w:rsidP="00D66E37">
            <w:pPr>
              <w:spacing w:after="120" w:line="240" w:lineRule="auto"/>
              <w:jc w:val="left"/>
              <w:rPr>
                <w:lang w:val="en-GB"/>
              </w:rPr>
            </w:pPr>
            <w:r w:rsidRPr="00E0193B">
              <w:rPr>
                <w:lang w:val="en-GB"/>
              </w:rPr>
              <w:t xml:space="preserve">To increase the use of public e-services, the following projects shall be implemented under this investment: </w:t>
            </w:r>
          </w:p>
          <w:p w14:paraId="347850FE" w14:textId="77777777" w:rsidR="00D66E37" w:rsidRPr="00E0193B" w:rsidRDefault="00D66E37" w:rsidP="00D66E37">
            <w:pPr>
              <w:numPr>
                <w:ilvl w:val="0"/>
                <w:numId w:val="38"/>
              </w:numPr>
              <w:spacing w:after="120" w:line="240" w:lineRule="auto"/>
              <w:jc w:val="left"/>
              <w:rPr>
                <w:lang w:val="en-GB"/>
              </w:rPr>
            </w:pPr>
            <w:r w:rsidRPr="00E0193B">
              <w:rPr>
                <w:lang w:val="en-GB"/>
              </w:rPr>
              <w:t>the completion of new e-services or the upgrade of existing ones in the public administration, enabling citizens to deal with administrative matters online,</w:t>
            </w:r>
          </w:p>
          <w:p w14:paraId="06C7E955" w14:textId="77777777" w:rsidR="00D66E37" w:rsidRPr="00E0193B" w:rsidRDefault="00D66E37" w:rsidP="00D66E37">
            <w:pPr>
              <w:numPr>
                <w:ilvl w:val="0"/>
                <w:numId w:val="38"/>
              </w:numPr>
              <w:spacing w:after="120" w:line="240" w:lineRule="auto"/>
              <w:jc w:val="left"/>
              <w:rPr>
                <w:lang w:val="en-GB"/>
              </w:rPr>
            </w:pPr>
            <w:r w:rsidRPr="00E0193B">
              <w:rPr>
                <w:lang w:val="en-GB"/>
              </w:rPr>
              <w:t xml:space="preserve">the completion of new IT systems or the upgrade of existing ones in the public administration, </w:t>
            </w:r>
          </w:p>
          <w:p w14:paraId="3E4F192D" w14:textId="77777777" w:rsidR="00D66E37" w:rsidRPr="00E0193B" w:rsidRDefault="00D66E37" w:rsidP="00D66E37">
            <w:pPr>
              <w:numPr>
                <w:ilvl w:val="0"/>
                <w:numId w:val="38"/>
              </w:numPr>
              <w:spacing w:after="120" w:line="240" w:lineRule="auto"/>
              <w:jc w:val="left"/>
              <w:rPr>
                <w:color w:val="FF0000"/>
                <w:lang w:val="en"/>
              </w:rPr>
            </w:pPr>
            <w:r w:rsidRPr="00E0193B">
              <w:rPr>
                <w:color w:val="FF0000"/>
                <w:lang w:val="en"/>
              </w:rPr>
              <w:t>support for the widespread use of electronic document management through the development and provision of a free EZD class system, the provision of the SaaS2 EZD RP cloud and the implementation of the EZD system in the public administration of the Republic of Poland.</w:t>
            </w:r>
          </w:p>
          <w:p w14:paraId="529C98BF" w14:textId="6D5126B6" w:rsidR="00D66E37" w:rsidRPr="00E0193B" w:rsidRDefault="00D66E37" w:rsidP="00D66E37">
            <w:pPr>
              <w:numPr>
                <w:ilvl w:val="0"/>
                <w:numId w:val="38"/>
              </w:numPr>
              <w:spacing w:after="120" w:line="240" w:lineRule="auto"/>
              <w:jc w:val="left"/>
              <w:rPr>
                <w:color w:val="FF0000"/>
                <w:lang w:val="en-GB"/>
              </w:rPr>
            </w:pPr>
            <w:r w:rsidRPr="00E0193B">
              <w:rPr>
                <w:color w:val="FF0000"/>
                <w:lang w:val="en"/>
              </w:rPr>
              <w:t xml:space="preserve">increasing the level of digitization of services and processes of the National Tax Administration (KAS) by implementing the electronic circulation of invoices in business transactions (national e-invoice system) and </w:t>
            </w:r>
            <w:r w:rsidRPr="00E0193B">
              <w:rPr>
                <w:color w:val="FF0000"/>
                <w:lang w:val="en"/>
              </w:rPr>
              <w:lastRenderedPageBreak/>
              <w:t>expanding the existing e-Tax Office platform with new public e-services.</w:t>
            </w:r>
          </w:p>
        </w:tc>
      </w:tr>
      <w:tr w:rsidR="00D66E37" w:rsidRPr="00E0193B" w14:paraId="52C8D5C5" w14:textId="77777777" w:rsidTr="00F72BD7">
        <w:tc>
          <w:tcPr>
            <w:tcW w:w="1179" w:type="pct"/>
            <w:vMerge w:val="restart"/>
          </w:tcPr>
          <w:p w14:paraId="036742D0" w14:textId="77777777" w:rsidR="00D66E37" w:rsidRPr="00E0193B" w:rsidRDefault="00D66E37" w:rsidP="00D66E37">
            <w:pPr>
              <w:spacing w:after="120" w:line="240" w:lineRule="auto"/>
            </w:pPr>
            <w:r w:rsidRPr="00E0193B">
              <w:lastRenderedPageBreak/>
              <w:t>Kamień milowy lub wskaźnik</w:t>
            </w:r>
          </w:p>
        </w:tc>
        <w:tc>
          <w:tcPr>
            <w:tcW w:w="1840" w:type="pct"/>
          </w:tcPr>
          <w:p w14:paraId="2B7AE27B" w14:textId="77777777" w:rsidR="00D66E37" w:rsidRPr="00E0193B" w:rsidRDefault="00D66E37" w:rsidP="00D66E37">
            <w:pPr>
              <w:spacing w:after="120" w:line="240" w:lineRule="auto"/>
              <w:jc w:val="left"/>
            </w:pPr>
          </w:p>
        </w:tc>
        <w:tc>
          <w:tcPr>
            <w:tcW w:w="1981" w:type="pct"/>
          </w:tcPr>
          <w:p w14:paraId="244F5603" w14:textId="77777777" w:rsidR="00D66E37" w:rsidRPr="00E0193B" w:rsidRDefault="00D66E37" w:rsidP="00D66E37">
            <w:pPr>
              <w:spacing w:after="120" w:line="240" w:lineRule="auto"/>
              <w:jc w:val="left"/>
              <w:rPr>
                <w:rFonts w:eastAsia="Calibri"/>
              </w:rPr>
            </w:pPr>
            <w:r w:rsidRPr="00E0193B">
              <w:rPr>
                <w:rFonts w:eastAsia="Calibri"/>
              </w:rPr>
              <w:t>Dodanie wskaźnika</w:t>
            </w:r>
          </w:p>
          <w:p w14:paraId="12A375F4" w14:textId="77777777" w:rsidR="00D66E37" w:rsidRPr="00E0193B" w:rsidRDefault="00D66E37" w:rsidP="00D66E37">
            <w:pPr>
              <w:spacing w:after="120" w:line="240" w:lineRule="auto"/>
              <w:jc w:val="left"/>
              <w:rPr>
                <w:rFonts w:eastAsia="Calibri"/>
                <w:color w:val="FF0000"/>
              </w:rPr>
            </w:pPr>
            <w:r w:rsidRPr="00E0193B">
              <w:rPr>
                <w:rFonts w:eastAsia="Calibri"/>
                <w:color w:val="FF0000"/>
              </w:rPr>
              <w:t>C…G - Cyfryzacja back-office administracji publicznej.</w:t>
            </w:r>
          </w:p>
          <w:p w14:paraId="23F0C259" w14:textId="77777777" w:rsidR="00D66E37" w:rsidRPr="00E0193B" w:rsidRDefault="00D66E37" w:rsidP="00D66E37">
            <w:pPr>
              <w:spacing w:after="120" w:line="240" w:lineRule="auto"/>
              <w:jc w:val="left"/>
              <w:rPr>
                <w:rFonts w:eastAsia="Calibri"/>
                <w:color w:val="FF0000"/>
              </w:rPr>
            </w:pPr>
            <w:r w:rsidRPr="00E0193B">
              <w:rPr>
                <w:rFonts w:eastAsia="Calibri"/>
                <w:color w:val="FF0000"/>
              </w:rPr>
              <w:t>Poziom basowy:</w:t>
            </w:r>
          </w:p>
          <w:p w14:paraId="665C865A" w14:textId="77777777" w:rsidR="00D66E37" w:rsidRPr="00E0193B" w:rsidRDefault="00D66E37" w:rsidP="00D66E37">
            <w:pPr>
              <w:spacing w:after="120" w:line="240" w:lineRule="auto"/>
              <w:jc w:val="left"/>
              <w:rPr>
                <w:rFonts w:eastAsia="Calibri"/>
                <w:color w:val="FF0000"/>
              </w:rPr>
            </w:pPr>
            <w:r w:rsidRPr="00E0193B">
              <w:rPr>
                <w:rFonts w:eastAsia="Calibri"/>
                <w:color w:val="FF0000"/>
              </w:rPr>
              <w:t>Jednostka miary: Liczba.</w:t>
            </w:r>
          </w:p>
          <w:p w14:paraId="069B297A" w14:textId="77777777" w:rsidR="00D66E37" w:rsidRPr="00E0193B" w:rsidRDefault="00D66E37" w:rsidP="00D66E37">
            <w:pPr>
              <w:spacing w:after="120" w:line="240" w:lineRule="auto"/>
              <w:jc w:val="left"/>
              <w:rPr>
                <w:rFonts w:eastAsia="Calibri"/>
                <w:color w:val="FF0000"/>
              </w:rPr>
            </w:pPr>
            <w:r w:rsidRPr="00E0193B">
              <w:rPr>
                <w:rFonts w:eastAsia="Calibri"/>
                <w:color w:val="FF0000"/>
              </w:rPr>
              <w:t>Cel: 77 001</w:t>
            </w:r>
          </w:p>
          <w:p w14:paraId="0992EDB0" w14:textId="77777777" w:rsidR="00D66E37" w:rsidRPr="00E0193B" w:rsidRDefault="00D66E37" w:rsidP="00D66E37">
            <w:pPr>
              <w:spacing w:after="120" w:line="240" w:lineRule="auto"/>
              <w:jc w:val="left"/>
              <w:rPr>
                <w:rFonts w:eastAsia="Calibri"/>
                <w:color w:val="FF0000"/>
              </w:rPr>
            </w:pPr>
            <w:r w:rsidRPr="00E0193B">
              <w:rPr>
                <w:rFonts w:eastAsia="Calibri"/>
                <w:color w:val="FF0000"/>
              </w:rPr>
              <w:t>Opis: Na wartość wskaźnika składają się</w:t>
            </w:r>
            <w:r w:rsidRPr="00E0193B">
              <w:rPr>
                <w:rFonts w:eastAsia="Calibri"/>
                <w:color w:val="FF0000"/>
              </w:rPr>
              <w:cr/>
              <w:t>następujące elementy:</w:t>
            </w:r>
          </w:p>
          <w:p w14:paraId="64B52D89" w14:textId="77777777" w:rsidR="00D66E37" w:rsidRPr="00E0193B" w:rsidRDefault="00D66E37" w:rsidP="00D66E37">
            <w:pPr>
              <w:spacing w:after="120" w:line="240" w:lineRule="auto"/>
              <w:jc w:val="left"/>
              <w:rPr>
                <w:rFonts w:eastAsia="Calibri"/>
                <w:color w:val="FF0000"/>
              </w:rPr>
            </w:pPr>
            <w:r w:rsidRPr="00E0193B">
              <w:rPr>
                <w:rFonts w:eastAsia="Calibri"/>
                <w:color w:val="FF0000"/>
              </w:rPr>
              <w:t xml:space="preserve">- 2 000 podmiotów realizujących zadania publiczne, </w:t>
            </w:r>
            <w:r w:rsidRPr="00E0193B">
              <w:rPr>
                <w:rFonts w:eastAsia="Calibri"/>
                <w:color w:val="FF0000"/>
              </w:rPr>
              <w:br/>
              <w:t>w których uruchomiono i skonfigurowano instancję produkcyjną systemu EZD spełniającego wymagania przepisów prawa i umożliwiającego realizację czynności kancelaryjnych i dokumentowanie spraw w postaci elektronicznej,</w:t>
            </w:r>
          </w:p>
          <w:p w14:paraId="15A0CE3E" w14:textId="77777777" w:rsidR="00D66E37" w:rsidRPr="00E0193B" w:rsidRDefault="00D66E37" w:rsidP="00D66E37">
            <w:pPr>
              <w:spacing w:after="120" w:line="240" w:lineRule="auto"/>
              <w:jc w:val="left"/>
              <w:rPr>
                <w:rFonts w:eastAsia="Calibri"/>
                <w:color w:val="FF0000"/>
              </w:rPr>
            </w:pPr>
            <w:r w:rsidRPr="00E0193B">
              <w:rPr>
                <w:rFonts w:eastAsia="Calibri"/>
                <w:color w:val="FF0000"/>
              </w:rPr>
              <w:t>- 75 000 uczestników szkoleń zrealizowanych przez NASK z zasad elektronicznego zarządzania dokumentacją oraz obsługi systemów EZD,</w:t>
            </w:r>
          </w:p>
          <w:p w14:paraId="5514E276" w14:textId="77777777" w:rsidR="00D66E37" w:rsidRPr="00E0193B" w:rsidRDefault="00D66E37" w:rsidP="00D66E37">
            <w:pPr>
              <w:spacing w:after="120" w:line="240" w:lineRule="auto"/>
              <w:jc w:val="left"/>
              <w:rPr>
                <w:rFonts w:eastAsia="Calibri"/>
                <w:color w:val="FF0000"/>
              </w:rPr>
            </w:pPr>
            <w:r w:rsidRPr="00E0193B">
              <w:rPr>
                <w:rFonts w:eastAsia="Calibri"/>
                <w:color w:val="FF0000"/>
              </w:rPr>
              <w:t>- jedna usługa SaaS2 EZD RP umożliwiająca obsłużenie ok. 300 tysięcy użytkowników pracujących w podmiotach realizujących zadania publiczne.</w:t>
            </w:r>
          </w:p>
          <w:p w14:paraId="1D409CB7" w14:textId="77777777" w:rsidR="00D66E37" w:rsidRPr="00E0193B" w:rsidRDefault="00D66E37" w:rsidP="00D66E37">
            <w:pPr>
              <w:spacing w:after="120" w:line="240" w:lineRule="auto"/>
              <w:jc w:val="left"/>
              <w:rPr>
                <w:rFonts w:eastAsia="Calibri"/>
              </w:rPr>
            </w:pPr>
            <w:r w:rsidRPr="00E0193B">
              <w:rPr>
                <w:rFonts w:eastAsia="Calibri"/>
                <w:color w:val="FF0000"/>
              </w:rPr>
              <w:t>Termin: II kw. 2026 r.</w:t>
            </w:r>
          </w:p>
        </w:tc>
      </w:tr>
      <w:tr w:rsidR="00D66E37" w:rsidRPr="00935797" w14:paraId="7E25AC8E" w14:textId="77777777" w:rsidTr="00F72BD7">
        <w:tc>
          <w:tcPr>
            <w:tcW w:w="1179" w:type="pct"/>
            <w:vMerge/>
          </w:tcPr>
          <w:p w14:paraId="7DBDD6BB" w14:textId="77777777" w:rsidR="00D66E37" w:rsidRPr="00E0193B" w:rsidRDefault="00D66E37" w:rsidP="00D66E37">
            <w:pPr>
              <w:spacing w:after="120" w:line="240" w:lineRule="auto"/>
            </w:pPr>
          </w:p>
        </w:tc>
        <w:tc>
          <w:tcPr>
            <w:tcW w:w="1840" w:type="pct"/>
          </w:tcPr>
          <w:p w14:paraId="76E3C0E9" w14:textId="77777777" w:rsidR="00D66E37" w:rsidRPr="00E0193B" w:rsidRDefault="00D66E37" w:rsidP="00D66E37">
            <w:pPr>
              <w:spacing w:after="120" w:line="240" w:lineRule="auto"/>
              <w:rPr>
                <w:lang w:val="en-GB"/>
              </w:rPr>
            </w:pPr>
          </w:p>
        </w:tc>
        <w:tc>
          <w:tcPr>
            <w:tcW w:w="1981" w:type="pct"/>
          </w:tcPr>
          <w:p w14:paraId="1A6CA9F3" w14:textId="77777777" w:rsidR="00D66E37" w:rsidRPr="00E0193B" w:rsidRDefault="00D66E37" w:rsidP="00D66E37">
            <w:pPr>
              <w:spacing w:after="120" w:line="240" w:lineRule="auto"/>
              <w:jc w:val="left"/>
              <w:rPr>
                <w:rFonts w:eastAsia="Calibri"/>
                <w:color w:val="FF0000"/>
                <w:lang w:val="en-GB"/>
              </w:rPr>
            </w:pPr>
            <w:r w:rsidRPr="00E0193B">
              <w:rPr>
                <w:rFonts w:eastAsia="Calibri"/>
                <w:color w:val="FF0000"/>
                <w:lang w:val="en-GB"/>
              </w:rPr>
              <w:t>New target:</w:t>
            </w:r>
          </w:p>
          <w:p w14:paraId="55C09A21" w14:textId="77777777" w:rsidR="00D66E37" w:rsidRPr="00E0193B" w:rsidRDefault="00D66E37" w:rsidP="00D66E37">
            <w:pPr>
              <w:spacing w:after="120" w:line="240" w:lineRule="auto"/>
              <w:jc w:val="left"/>
              <w:rPr>
                <w:rFonts w:eastAsia="Calibri"/>
                <w:color w:val="FF0000"/>
                <w:lang w:val="en"/>
              </w:rPr>
            </w:pPr>
            <w:r w:rsidRPr="00E0193B">
              <w:rPr>
                <w:rFonts w:eastAsia="Calibri"/>
                <w:color w:val="FF0000"/>
                <w:lang w:val="en"/>
              </w:rPr>
              <w:t>C…G - Digitization of the public administration back-office.</w:t>
            </w:r>
          </w:p>
          <w:p w14:paraId="58E5CF6F" w14:textId="77777777" w:rsidR="00D66E37" w:rsidRPr="00E0193B" w:rsidRDefault="00D66E37" w:rsidP="00D66E37">
            <w:pPr>
              <w:spacing w:after="120" w:line="240" w:lineRule="auto"/>
              <w:jc w:val="left"/>
              <w:rPr>
                <w:rFonts w:eastAsia="Calibri"/>
                <w:color w:val="FF0000"/>
                <w:lang w:val="en"/>
              </w:rPr>
            </w:pPr>
            <w:r w:rsidRPr="00E0193B">
              <w:rPr>
                <w:rFonts w:eastAsia="Calibri"/>
                <w:color w:val="FF0000"/>
                <w:lang w:val="en"/>
              </w:rPr>
              <w:t>Baseline: 0</w:t>
            </w:r>
          </w:p>
          <w:p w14:paraId="0353C14D" w14:textId="77777777" w:rsidR="00D66E37" w:rsidRPr="00E0193B" w:rsidRDefault="00D66E37" w:rsidP="00D66E37">
            <w:pPr>
              <w:spacing w:after="120" w:line="240" w:lineRule="auto"/>
              <w:jc w:val="left"/>
              <w:rPr>
                <w:rFonts w:eastAsia="Calibri"/>
                <w:color w:val="FF0000"/>
                <w:lang w:val="en"/>
              </w:rPr>
            </w:pPr>
            <w:r w:rsidRPr="00E0193B">
              <w:rPr>
                <w:rFonts w:eastAsia="Calibri"/>
                <w:color w:val="FF0000"/>
                <w:lang w:val="en"/>
              </w:rPr>
              <w:t>Unit of measurement: Number.</w:t>
            </w:r>
          </w:p>
          <w:p w14:paraId="3F2B50A2" w14:textId="77777777" w:rsidR="00D66E37" w:rsidRPr="00E0193B" w:rsidRDefault="00D66E37" w:rsidP="00D66E37">
            <w:pPr>
              <w:spacing w:after="120" w:line="240" w:lineRule="auto"/>
              <w:jc w:val="left"/>
              <w:rPr>
                <w:rFonts w:eastAsia="Calibri"/>
                <w:color w:val="FF0000"/>
                <w:lang w:val="en"/>
              </w:rPr>
            </w:pPr>
            <w:r w:rsidRPr="00E0193B">
              <w:rPr>
                <w:rFonts w:eastAsia="Calibri"/>
                <w:color w:val="FF0000"/>
                <w:lang w:val="en"/>
              </w:rPr>
              <w:t>Target: 77,001</w:t>
            </w:r>
          </w:p>
          <w:p w14:paraId="7BC13064" w14:textId="77777777" w:rsidR="00D66E37" w:rsidRPr="00E0193B" w:rsidRDefault="00D66E37" w:rsidP="00D66E37">
            <w:pPr>
              <w:spacing w:after="120" w:line="240" w:lineRule="auto"/>
              <w:jc w:val="left"/>
              <w:rPr>
                <w:rFonts w:eastAsia="Calibri"/>
                <w:color w:val="FF0000"/>
                <w:lang w:val="en"/>
              </w:rPr>
            </w:pPr>
            <w:r w:rsidRPr="00E0193B">
              <w:rPr>
                <w:rFonts w:eastAsia="Calibri"/>
                <w:color w:val="FF0000"/>
                <w:lang w:val="en"/>
              </w:rPr>
              <w:t>Description: The indicator value consists of the following elements:</w:t>
            </w:r>
          </w:p>
          <w:p w14:paraId="3D6A5F7E" w14:textId="77777777" w:rsidR="00D66E37" w:rsidRPr="00E0193B" w:rsidRDefault="00D66E37" w:rsidP="00D66E37">
            <w:pPr>
              <w:spacing w:after="120" w:line="240" w:lineRule="auto"/>
              <w:jc w:val="left"/>
              <w:rPr>
                <w:rFonts w:eastAsia="Calibri"/>
                <w:color w:val="FF0000"/>
                <w:lang w:val="en"/>
              </w:rPr>
            </w:pPr>
            <w:r w:rsidRPr="00E0193B">
              <w:rPr>
                <w:rFonts w:eastAsia="Calibri"/>
                <w:color w:val="FF0000"/>
                <w:lang w:val="en"/>
              </w:rPr>
              <w:t>- 2,000 entities carrying out public tasks,in which a production instance of the EZD system was launched and configured, which meets the requirements of legal regulations and enables the performance of office activities and documentation of matters in electronic form,</w:t>
            </w:r>
          </w:p>
          <w:p w14:paraId="34DE45A8" w14:textId="77777777" w:rsidR="00D66E37" w:rsidRPr="00E0193B" w:rsidRDefault="00D66E37" w:rsidP="00D66E37">
            <w:pPr>
              <w:spacing w:after="120" w:line="240" w:lineRule="auto"/>
              <w:jc w:val="left"/>
              <w:rPr>
                <w:rFonts w:eastAsia="Calibri"/>
                <w:color w:val="FF0000"/>
                <w:lang w:val="en"/>
              </w:rPr>
            </w:pPr>
            <w:r w:rsidRPr="00E0193B">
              <w:rPr>
                <w:rFonts w:eastAsia="Calibri"/>
                <w:color w:val="FF0000"/>
                <w:lang w:val="en"/>
              </w:rPr>
              <w:t>- 75,000 participants of training conducted by NASK on the principles of electronic document management and operation of EZD systems,</w:t>
            </w:r>
          </w:p>
          <w:p w14:paraId="4E23128D" w14:textId="77777777" w:rsidR="00D66E37" w:rsidRPr="00E0193B" w:rsidRDefault="00D66E37" w:rsidP="00D66E37">
            <w:pPr>
              <w:spacing w:after="120" w:line="240" w:lineRule="auto"/>
              <w:jc w:val="left"/>
              <w:rPr>
                <w:rFonts w:eastAsia="Calibri"/>
                <w:color w:val="FF0000"/>
                <w:lang w:val="en"/>
              </w:rPr>
            </w:pPr>
            <w:r w:rsidRPr="00E0193B">
              <w:rPr>
                <w:rFonts w:eastAsia="Calibri"/>
                <w:color w:val="FF0000"/>
                <w:lang w:val="en"/>
              </w:rPr>
              <w:t>- one SaaS2 EZD RP service enabling service to approximately 300,000 users working in entities carrying out public tasks.</w:t>
            </w:r>
          </w:p>
          <w:p w14:paraId="2CDB8FBA" w14:textId="5D46FF6A" w:rsidR="00D66E37" w:rsidRPr="00E0193B" w:rsidRDefault="00D66E37" w:rsidP="00D66E37">
            <w:pPr>
              <w:spacing w:after="120" w:line="240" w:lineRule="auto"/>
              <w:jc w:val="left"/>
              <w:rPr>
                <w:rFonts w:eastAsia="Calibri"/>
                <w:color w:val="FF0000"/>
                <w:lang w:val="en-US"/>
              </w:rPr>
            </w:pPr>
            <w:r w:rsidRPr="00E0193B">
              <w:rPr>
                <w:rFonts w:eastAsia="Calibri"/>
                <w:color w:val="FF0000"/>
                <w:lang w:val="en-US"/>
              </w:rPr>
              <w:t>Indicative timeline for completion</w:t>
            </w:r>
            <w:r w:rsidRPr="00E0193B">
              <w:rPr>
                <w:rFonts w:eastAsia="Calibri"/>
                <w:color w:val="FF0000"/>
                <w:lang w:val="en"/>
              </w:rPr>
              <w:t>: Q2 2026</w:t>
            </w:r>
          </w:p>
        </w:tc>
      </w:tr>
      <w:tr w:rsidR="00D66E37" w:rsidRPr="00E0193B" w14:paraId="0824832F" w14:textId="77777777" w:rsidTr="00F72BD7">
        <w:tc>
          <w:tcPr>
            <w:tcW w:w="1179" w:type="pct"/>
            <w:vMerge/>
          </w:tcPr>
          <w:p w14:paraId="0659C990" w14:textId="77777777" w:rsidR="00D66E37" w:rsidRPr="00E0193B" w:rsidRDefault="00D66E37" w:rsidP="00D66E37">
            <w:pPr>
              <w:spacing w:after="120" w:line="240" w:lineRule="auto"/>
              <w:rPr>
                <w:lang w:val="en-GB"/>
              </w:rPr>
            </w:pPr>
          </w:p>
        </w:tc>
        <w:tc>
          <w:tcPr>
            <w:tcW w:w="1840" w:type="pct"/>
          </w:tcPr>
          <w:p w14:paraId="3D964419" w14:textId="77777777" w:rsidR="00D66E37" w:rsidRPr="00E0193B" w:rsidRDefault="00D66E37" w:rsidP="00D66E37">
            <w:pPr>
              <w:spacing w:after="120" w:line="240" w:lineRule="auto"/>
              <w:jc w:val="left"/>
              <w:rPr>
                <w:lang w:val="en-GB"/>
              </w:rPr>
            </w:pPr>
          </w:p>
        </w:tc>
        <w:tc>
          <w:tcPr>
            <w:tcW w:w="1981" w:type="pct"/>
          </w:tcPr>
          <w:p w14:paraId="48BF420E" w14:textId="77777777" w:rsidR="00D66E37" w:rsidRPr="00E0193B" w:rsidRDefault="00D66E37" w:rsidP="00D66E37">
            <w:pPr>
              <w:spacing w:after="120" w:line="240" w:lineRule="auto"/>
              <w:jc w:val="left"/>
              <w:rPr>
                <w:rFonts w:eastAsia="Calibri"/>
              </w:rPr>
            </w:pPr>
            <w:r w:rsidRPr="00E0193B">
              <w:rPr>
                <w:rFonts w:eastAsia="Calibri"/>
              </w:rPr>
              <w:t>Dodanie nowego wskaźnika</w:t>
            </w:r>
          </w:p>
          <w:p w14:paraId="6C55FE28" w14:textId="77777777" w:rsidR="00D66E37" w:rsidRPr="00E0193B" w:rsidRDefault="00D66E37" w:rsidP="00D66E37">
            <w:pPr>
              <w:spacing w:after="120" w:line="240" w:lineRule="auto"/>
              <w:jc w:val="left"/>
              <w:rPr>
                <w:rFonts w:eastAsia="Calibri"/>
                <w:color w:val="FF0000"/>
              </w:rPr>
            </w:pPr>
            <w:r w:rsidRPr="00E0193B">
              <w:rPr>
                <w:rFonts w:eastAsia="Calibri"/>
                <w:color w:val="FF0000"/>
              </w:rPr>
              <w:t xml:space="preserve">C…G - Zakończenie procesu opracowywania nowych lub udoskonalania istniejących e-usług w serwisie e-Urząd Skarbowy </w:t>
            </w:r>
          </w:p>
          <w:p w14:paraId="3A043406" w14:textId="77777777" w:rsidR="00D66E37" w:rsidRPr="00E0193B" w:rsidRDefault="00D66E37" w:rsidP="00D66E37">
            <w:pPr>
              <w:spacing w:after="120" w:line="240" w:lineRule="auto"/>
              <w:jc w:val="left"/>
              <w:rPr>
                <w:rFonts w:eastAsia="Calibri"/>
                <w:iCs/>
                <w:color w:val="FF0000"/>
              </w:rPr>
            </w:pPr>
            <w:r w:rsidRPr="00E0193B">
              <w:rPr>
                <w:rFonts w:eastAsia="Calibri"/>
                <w:iCs/>
                <w:color w:val="FF0000"/>
              </w:rPr>
              <w:t>Jednostka miary: liczba</w:t>
            </w:r>
          </w:p>
          <w:p w14:paraId="4E4CAECF" w14:textId="77777777" w:rsidR="00D66E37" w:rsidRPr="00E0193B" w:rsidRDefault="00D66E37" w:rsidP="00D66E37">
            <w:pPr>
              <w:spacing w:after="120" w:line="240" w:lineRule="auto"/>
              <w:jc w:val="left"/>
              <w:rPr>
                <w:rFonts w:eastAsia="Calibri"/>
                <w:color w:val="FF0000"/>
              </w:rPr>
            </w:pPr>
            <w:r w:rsidRPr="00E0193B">
              <w:rPr>
                <w:rFonts w:eastAsia="Calibri"/>
                <w:color w:val="FF0000"/>
              </w:rPr>
              <w:t>Wartość bazowa: 0</w:t>
            </w:r>
          </w:p>
          <w:p w14:paraId="6EDB12DD" w14:textId="77777777" w:rsidR="00D66E37" w:rsidRPr="00E0193B" w:rsidRDefault="00D66E37" w:rsidP="00D66E37">
            <w:pPr>
              <w:spacing w:after="120" w:line="240" w:lineRule="auto"/>
              <w:jc w:val="left"/>
              <w:rPr>
                <w:rFonts w:eastAsia="Calibri"/>
                <w:color w:val="FF0000"/>
              </w:rPr>
            </w:pPr>
            <w:r w:rsidRPr="00E0193B">
              <w:rPr>
                <w:rFonts w:eastAsia="Calibri"/>
                <w:color w:val="FF0000"/>
              </w:rPr>
              <w:t>Cel: 33</w:t>
            </w:r>
          </w:p>
          <w:p w14:paraId="656F960E" w14:textId="77777777" w:rsidR="00D66E37" w:rsidRPr="00E0193B" w:rsidRDefault="00D66E37" w:rsidP="00D66E37">
            <w:pPr>
              <w:spacing w:after="120" w:line="240" w:lineRule="auto"/>
              <w:jc w:val="left"/>
              <w:rPr>
                <w:rFonts w:eastAsia="Calibri"/>
                <w:color w:val="FF0000"/>
              </w:rPr>
            </w:pPr>
            <w:r w:rsidRPr="00E0193B">
              <w:rPr>
                <w:rFonts w:eastAsia="Calibri"/>
                <w:color w:val="FF0000"/>
              </w:rPr>
              <w:t>Termin realizacji: II kw. 2026 r.</w:t>
            </w:r>
          </w:p>
          <w:p w14:paraId="04DC74FA" w14:textId="77777777" w:rsidR="00D66E37" w:rsidRPr="00E0193B" w:rsidRDefault="00D66E37" w:rsidP="00D66E37">
            <w:pPr>
              <w:spacing w:after="120" w:line="240" w:lineRule="auto"/>
              <w:jc w:val="left"/>
              <w:rPr>
                <w:rFonts w:eastAsia="Calibri"/>
                <w:color w:val="FF0000"/>
              </w:rPr>
            </w:pPr>
            <w:r w:rsidRPr="00E0193B">
              <w:rPr>
                <w:rFonts w:eastAsia="Calibri"/>
                <w:color w:val="FF0000"/>
              </w:rPr>
              <w:t xml:space="preserve">Opis: </w:t>
            </w:r>
          </w:p>
          <w:p w14:paraId="18803ECA" w14:textId="77777777" w:rsidR="00D66E37" w:rsidRPr="00E0193B" w:rsidRDefault="00D66E37" w:rsidP="00D66E37">
            <w:pPr>
              <w:spacing w:after="120" w:line="240" w:lineRule="auto"/>
              <w:jc w:val="left"/>
              <w:rPr>
                <w:rFonts w:eastAsia="Calibri"/>
                <w:color w:val="FF0000"/>
              </w:rPr>
            </w:pPr>
            <w:r w:rsidRPr="00E0193B">
              <w:rPr>
                <w:rFonts w:eastAsia="Calibri"/>
                <w:color w:val="FF0000"/>
              </w:rPr>
              <w:t xml:space="preserve">Liczba nowo wdrożonych lub udoskonalonych e-usług w serwisie e-Urząd Skarbowy. </w:t>
            </w:r>
          </w:p>
          <w:p w14:paraId="0AF5860E" w14:textId="77777777" w:rsidR="00D66E37" w:rsidRPr="00E0193B" w:rsidRDefault="00D66E37" w:rsidP="00D66E37">
            <w:pPr>
              <w:spacing w:after="120" w:line="240" w:lineRule="auto"/>
              <w:jc w:val="left"/>
              <w:rPr>
                <w:rFonts w:eastAsia="Calibri"/>
              </w:rPr>
            </w:pPr>
            <w:r w:rsidRPr="00E0193B">
              <w:rPr>
                <w:rFonts w:eastAsia="Calibri"/>
                <w:color w:val="FF0000"/>
              </w:rPr>
              <w:t>Nowo opracowane lub udoskonalone e-usługi pomogą samodzielnie wykonywać przez użytkowników serwisu obowiązki podatkowe.</w:t>
            </w:r>
          </w:p>
        </w:tc>
      </w:tr>
      <w:tr w:rsidR="00D66E37" w:rsidRPr="00935797" w14:paraId="4A5262BB" w14:textId="77777777" w:rsidTr="00F72BD7">
        <w:tc>
          <w:tcPr>
            <w:tcW w:w="1179" w:type="pct"/>
            <w:vMerge/>
          </w:tcPr>
          <w:p w14:paraId="7BC9491C" w14:textId="77777777" w:rsidR="00D66E37" w:rsidRPr="00E0193B" w:rsidRDefault="00D66E37" w:rsidP="00D66E37">
            <w:pPr>
              <w:spacing w:after="120" w:line="240" w:lineRule="auto"/>
            </w:pPr>
          </w:p>
        </w:tc>
        <w:tc>
          <w:tcPr>
            <w:tcW w:w="1840" w:type="pct"/>
          </w:tcPr>
          <w:p w14:paraId="7406A95C" w14:textId="77777777" w:rsidR="00D66E37" w:rsidRPr="00E0193B" w:rsidRDefault="00D66E37" w:rsidP="00D66E37">
            <w:pPr>
              <w:spacing w:after="120" w:line="240" w:lineRule="auto"/>
              <w:jc w:val="left"/>
            </w:pPr>
          </w:p>
        </w:tc>
        <w:tc>
          <w:tcPr>
            <w:tcW w:w="1981" w:type="pct"/>
          </w:tcPr>
          <w:p w14:paraId="3E9C27BB" w14:textId="77777777" w:rsidR="00D66E37" w:rsidRPr="00E0193B" w:rsidRDefault="00D66E37" w:rsidP="00D66E37">
            <w:pPr>
              <w:spacing w:after="120" w:line="240" w:lineRule="auto"/>
              <w:jc w:val="left"/>
              <w:rPr>
                <w:rFonts w:eastAsia="Calibri"/>
                <w:lang w:val="en-GB"/>
              </w:rPr>
            </w:pPr>
            <w:r w:rsidRPr="00E0193B">
              <w:rPr>
                <w:rFonts w:eastAsia="Calibri"/>
                <w:lang w:val="en-GB"/>
              </w:rPr>
              <w:t>New target</w:t>
            </w:r>
          </w:p>
          <w:p w14:paraId="07AD0DC6" w14:textId="77777777" w:rsidR="00D66E37" w:rsidRPr="00E0193B" w:rsidRDefault="00D66E37" w:rsidP="00D66E37">
            <w:pPr>
              <w:spacing w:after="120" w:line="240" w:lineRule="auto"/>
              <w:jc w:val="left"/>
              <w:rPr>
                <w:rFonts w:eastAsia="Calibri"/>
                <w:color w:val="FF0000"/>
                <w:lang w:val="en-GB"/>
              </w:rPr>
            </w:pPr>
            <w:r w:rsidRPr="00E0193B">
              <w:rPr>
                <w:rFonts w:eastAsia="Calibri"/>
                <w:color w:val="FF0000"/>
                <w:lang w:val="en-GB"/>
              </w:rPr>
              <w:t>C…G – The completion of new e-services or the upgrade of existing ones in the e-Tax Office service .</w:t>
            </w:r>
          </w:p>
          <w:p w14:paraId="14F61A6E" w14:textId="77777777" w:rsidR="00D66E37" w:rsidRPr="00E0193B" w:rsidRDefault="00D66E37" w:rsidP="00D66E37">
            <w:pPr>
              <w:spacing w:after="120" w:line="240" w:lineRule="auto"/>
              <w:jc w:val="left"/>
              <w:rPr>
                <w:rFonts w:eastAsia="Calibri"/>
                <w:color w:val="FF0000"/>
                <w:lang w:val="en-GB"/>
              </w:rPr>
            </w:pPr>
            <w:r w:rsidRPr="00E0193B">
              <w:rPr>
                <w:rFonts w:eastAsia="Calibri"/>
                <w:color w:val="FF0000"/>
                <w:lang w:val="en-GB"/>
              </w:rPr>
              <w:t>Unit of measure: Number</w:t>
            </w:r>
          </w:p>
          <w:p w14:paraId="4060BBF6" w14:textId="77777777" w:rsidR="00D66E37" w:rsidRPr="00E0193B" w:rsidRDefault="00D66E37" w:rsidP="00D66E37">
            <w:pPr>
              <w:spacing w:after="120" w:line="240" w:lineRule="auto"/>
              <w:jc w:val="left"/>
              <w:rPr>
                <w:rFonts w:eastAsia="Calibri"/>
                <w:color w:val="FF0000"/>
                <w:lang w:val="en-GB"/>
              </w:rPr>
            </w:pPr>
            <w:r w:rsidRPr="00E0193B">
              <w:rPr>
                <w:rFonts w:eastAsia="Calibri"/>
                <w:color w:val="FF0000"/>
                <w:lang w:val="en-GB"/>
              </w:rPr>
              <w:t>Baseline: 0</w:t>
            </w:r>
          </w:p>
          <w:p w14:paraId="5A17A994" w14:textId="77777777" w:rsidR="00D66E37" w:rsidRPr="00E0193B" w:rsidRDefault="00D66E37" w:rsidP="00D66E37">
            <w:pPr>
              <w:spacing w:after="120" w:line="240" w:lineRule="auto"/>
              <w:jc w:val="left"/>
              <w:rPr>
                <w:rFonts w:eastAsia="Calibri"/>
                <w:color w:val="FF0000"/>
                <w:lang w:val="en-GB"/>
              </w:rPr>
            </w:pPr>
            <w:r w:rsidRPr="00E0193B">
              <w:rPr>
                <w:rFonts w:eastAsia="Calibri"/>
                <w:color w:val="FF0000"/>
                <w:lang w:val="en-GB"/>
              </w:rPr>
              <w:t>Goal: 33</w:t>
            </w:r>
          </w:p>
          <w:p w14:paraId="58D16B1B" w14:textId="77777777" w:rsidR="00D66E37" w:rsidRPr="00E0193B" w:rsidRDefault="00D66E37" w:rsidP="00D66E37">
            <w:pPr>
              <w:spacing w:after="120" w:line="240" w:lineRule="auto"/>
              <w:jc w:val="left"/>
              <w:rPr>
                <w:rFonts w:eastAsia="Calibri"/>
                <w:color w:val="FF0000"/>
                <w:lang w:val="en-GB"/>
              </w:rPr>
            </w:pPr>
            <w:r w:rsidRPr="00E0193B">
              <w:rPr>
                <w:rFonts w:eastAsia="Calibri"/>
                <w:color w:val="FF0000"/>
                <w:lang w:val="en-GB"/>
              </w:rPr>
              <w:t>Indicative timeline for completion: Q2 2026</w:t>
            </w:r>
          </w:p>
          <w:p w14:paraId="7506CA90" w14:textId="77777777" w:rsidR="00D66E37" w:rsidRPr="00E0193B" w:rsidRDefault="00D66E37" w:rsidP="00D66E37">
            <w:pPr>
              <w:spacing w:after="120" w:line="240" w:lineRule="auto"/>
              <w:jc w:val="left"/>
              <w:rPr>
                <w:rFonts w:eastAsia="Calibri"/>
                <w:color w:val="FF0000"/>
                <w:lang w:val="en-GB"/>
              </w:rPr>
            </w:pPr>
            <w:r w:rsidRPr="00E0193B">
              <w:rPr>
                <w:rFonts w:eastAsia="Calibri"/>
                <w:color w:val="FF0000"/>
                <w:lang w:val="en-GB"/>
              </w:rPr>
              <w:t>Description:</w:t>
            </w:r>
          </w:p>
          <w:p w14:paraId="2095FBC3" w14:textId="77777777" w:rsidR="00D66E37" w:rsidRPr="00E0193B" w:rsidRDefault="00D66E37" w:rsidP="00D66E37">
            <w:pPr>
              <w:spacing w:after="120" w:line="240" w:lineRule="auto"/>
              <w:jc w:val="left"/>
              <w:rPr>
                <w:rFonts w:eastAsia="Calibri"/>
                <w:color w:val="FF0000"/>
                <w:lang w:val="en-GB"/>
              </w:rPr>
            </w:pPr>
            <w:r w:rsidRPr="00E0193B">
              <w:rPr>
                <w:rFonts w:eastAsia="Calibri"/>
                <w:color w:val="FF0000"/>
                <w:lang w:val="en-GB"/>
              </w:rPr>
              <w:t>Number of newly completed or upgraded e-services in the e-Tax Office (e-Urząd Skarbowy) service.</w:t>
            </w:r>
          </w:p>
          <w:p w14:paraId="34E82EA6" w14:textId="77777777" w:rsidR="00D66E37" w:rsidRPr="00E0193B" w:rsidRDefault="00D66E37" w:rsidP="00D66E37">
            <w:pPr>
              <w:spacing w:after="120" w:line="240" w:lineRule="auto"/>
              <w:jc w:val="left"/>
              <w:rPr>
                <w:rFonts w:eastAsia="Calibri"/>
                <w:lang w:val="en-GB"/>
              </w:rPr>
            </w:pPr>
            <w:r w:rsidRPr="00E0193B">
              <w:rPr>
                <w:rFonts w:eastAsia="Calibri"/>
                <w:color w:val="FF0000"/>
                <w:lang w:val="en-GB"/>
              </w:rPr>
              <w:lastRenderedPageBreak/>
              <w:t>The newly completed or upgraded e-services shall help users to comply with their tax obligations themselves.</w:t>
            </w:r>
          </w:p>
        </w:tc>
      </w:tr>
      <w:tr w:rsidR="00D66E37" w:rsidRPr="00E0193B" w14:paraId="7D82DBE8" w14:textId="77777777" w:rsidTr="00F72BD7">
        <w:tc>
          <w:tcPr>
            <w:tcW w:w="1179" w:type="pct"/>
          </w:tcPr>
          <w:p w14:paraId="55A28443" w14:textId="77777777" w:rsidR="00D66E37" w:rsidRPr="00E0193B" w:rsidRDefault="00D66E37" w:rsidP="00D66E37">
            <w:pPr>
              <w:spacing w:after="120" w:line="240" w:lineRule="auto"/>
              <w:rPr>
                <w:lang w:val="en-GB"/>
              </w:rPr>
            </w:pPr>
          </w:p>
        </w:tc>
        <w:tc>
          <w:tcPr>
            <w:tcW w:w="1840" w:type="pct"/>
          </w:tcPr>
          <w:p w14:paraId="56B8E07F" w14:textId="77777777" w:rsidR="00D66E37" w:rsidRPr="00E0193B" w:rsidRDefault="00D66E37" w:rsidP="00D66E37">
            <w:pPr>
              <w:spacing w:after="120" w:line="240" w:lineRule="auto"/>
              <w:jc w:val="left"/>
              <w:rPr>
                <w:lang w:val="en-GB"/>
              </w:rPr>
            </w:pPr>
          </w:p>
        </w:tc>
        <w:tc>
          <w:tcPr>
            <w:tcW w:w="1981" w:type="pct"/>
          </w:tcPr>
          <w:p w14:paraId="0D894008" w14:textId="77777777" w:rsidR="00D66E37" w:rsidRPr="00E0193B" w:rsidRDefault="00D66E37" w:rsidP="00D66E37">
            <w:pPr>
              <w:spacing w:after="120" w:line="240" w:lineRule="auto"/>
              <w:jc w:val="left"/>
              <w:rPr>
                <w:rFonts w:eastAsia="Calibri"/>
              </w:rPr>
            </w:pPr>
            <w:r w:rsidRPr="00E0193B">
              <w:rPr>
                <w:rFonts w:eastAsia="Calibri"/>
              </w:rPr>
              <w:t>Dodanie nowego wskaźnika</w:t>
            </w:r>
          </w:p>
          <w:p w14:paraId="656A28DA" w14:textId="77777777" w:rsidR="00D66E37" w:rsidRPr="00E0193B" w:rsidRDefault="00D66E37" w:rsidP="00D66E37">
            <w:pPr>
              <w:spacing w:after="120" w:line="240" w:lineRule="auto"/>
              <w:jc w:val="left"/>
              <w:rPr>
                <w:rFonts w:eastAsia="Calibri"/>
                <w:color w:val="FF0000"/>
              </w:rPr>
            </w:pPr>
            <w:r w:rsidRPr="00E0193B">
              <w:rPr>
                <w:rFonts w:eastAsia="Calibri"/>
                <w:color w:val="FF0000"/>
              </w:rPr>
              <w:t>C…G -  Rozpoczęcie eksploatacji systemu obejmującego założenia wynikające ze zmiany ustawy z dnia 11 marca 2004 r. o podatku od towarów i usług spełniającego wymogi kamienia milowego C8G.</w:t>
            </w:r>
          </w:p>
          <w:p w14:paraId="34AE2B02" w14:textId="77777777" w:rsidR="00D66E37" w:rsidRPr="00E0193B" w:rsidRDefault="00D66E37" w:rsidP="00D66E37">
            <w:pPr>
              <w:spacing w:after="120" w:line="240" w:lineRule="auto"/>
              <w:jc w:val="left"/>
              <w:rPr>
                <w:rFonts w:eastAsia="Calibri"/>
                <w:iCs/>
                <w:color w:val="FF0000"/>
              </w:rPr>
            </w:pPr>
            <w:r w:rsidRPr="00E0193B">
              <w:rPr>
                <w:rFonts w:eastAsia="Calibri"/>
                <w:iCs/>
                <w:color w:val="FF0000"/>
              </w:rPr>
              <w:t>Jednostka miary: liczba</w:t>
            </w:r>
          </w:p>
          <w:p w14:paraId="18B4B037" w14:textId="77777777" w:rsidR="00D66E37" w:rsidRPr="00E0193B" w:rsidRDefault="00D66E37" w:rsidP="00D66E37">
            <w:pPr>
              <w:spacing w:after="120" w:line="240" w:lineRule="auto"/>
              <w:jc w:val="left"/>
              <w:rPr>
                <w:rFonts w:eastAsia="Calibri"/>
                <w:color w:val="FF0000"/>
              </w:rPr>
            </w:pPr>
            <w:r w:rsidRPr="00E0193B">
              <w:rPr>
                <w:rFonts w:eastAsia="Calibri"/>
                <w:color w:val="FF0000"/>
              </w:rPr>
              <w:t>Wartość bazowa: 0</w:t>
            </w:r>
          </w:p>
          <w:p w14:paraId="66D8E234" w14:textId="77777777" w:rsidR="00D66E37" w:rsidRPr="00E0193B" w:rsidRDefault="00D66E37" w:rsidP="00D66E37">
            <w:pPr>
              <w:spacing w:after="120" w:line="240" w:lineRule="auto"/>
              <w:jc w:val="left"/>
              <w:rPr>
                <w:rFonts w:eastAsia="Calibri"/>
                <w:color w:val="FF0000"/>
              </w:rPr>
            </w:pPr>
            <w:r w:rsidRPr="00E0193B">
              <w:rPr>
                <w:rFonts w:eastAsia="Calibri"/>
                <w:color w:val="FF0000"/>
              </w:rPr>
              <w:t>Cel: 1</w:t>
            </w:r>
          </w:p>
          <w:p w14:paraId="296AD5E2" w14:textId="77777777" w:rsidR="00D66E37" w:rsidRPr="00E0193B" w:rsidRDefault="00D66E37" w:rsidP="00D66E37">
            <w:pPr>
              <w:spacing w:after="120" w:line="240" w:lineRule="auto"/>
              <w:jc w:val="left"/>
              <w:rPr>
                <w:rFonts w:eastAsia="Calibri"/>
                <w:color w:val="FF0000"/>
              </w:rPr>
            </w:pPr>
            <w:r w:rsidRPr="00E0193B">
              <w:rPr>
                <w:rFonts w:eastAsia="Calibri"/>
                <w:color w:val="FF0000"/>
              </w:rPr>
              <w:t>Termin realizacji: II kw. 2026 r.</w:t>
            </w:r>
          </w:p>
          <w:p w14:paraId="029C15A6" w14:textId="77777777" w:rsidR="00D66E37" w:rsidRPr="00E0193B" w:rsidRDefault="00D66E37" w:rsidP="00D66E37">
            <w:pPr>
              <w:spacing w:after="120" w:line="240" w:lineRule="auto"/>
              <w:jc w:val="left"/>
              <w:rPr>
                <w:rFonts w:eastAsia="Calibri"/>
                <w:color w:val="FF0000"/>
              </w:rPr>
            </w:pPr>
            <w:r w:rsidRPr="00E0193B">
              <w:rPr>
                <w:rFonts w:eastAsia="Calibri"/>
                <w:color w:val="FF0000"/>
              </w:rPr>
              <w:t xml:space="preserve">Opis: </w:t>
            </w:r>
          </w:p>
          <w:p w14:paraId="38F72CEA" w14:textId="77777777" w:rsidR="00D66E37" w:rsidRPr="00E0193B" w:rsidRDefault="00D66E37" w:rsidP="00D66E37">
            <w:pPr>
              <w:spacing w:after="120" w:line="240" w:lineRule="auto"/>
              <w:jc w:val="left"/>
              <w:rPr>
                <w:rFonts w:eastAsia="Calibri"/>
              </w:rPr>
            </w:pPr>
            <w:r w:rsidRPr="00E0193B">
              <w:rPr>
                <w:rFonts w:eastAsia="Calibri"/>
                <w:color w:val="FF0000"/>
              </w:rPr>
              <w:t>Rozpoczęcie eksploatacji systemu ma na w celu wprowadzenie jednolitych ram cyfrowych związanych z wystawianiem i udostępnianiem faktur ustrukturyzowanych, spełniających wymogi określone w kamieniu milowym C8G</w:t>
            </w:r>
          </w:p>
        </w:tc>
      </w:tr>
      <w:tr w:rsidR="00D66E37" w:rsidRPr="00935797" w14:paraId="550F64C1" w14:textId="77777777" w:rsidTr="00F72BD7">
        <w:tc>
          <w:tcPr>
            <w:tcW w:w="1179" w:type="pct"/>
          </w:tcPr>
          <w:p w14:paraId="203B4E64" w14:textId="77777777" w:rsidR="00D66E37" w:rsidRPr="00E0193B" w:rsidRDefault="00D66E37" w:rsidP="00D66E37">
            <w:pPr>
              <w:spacing w:after="120" w:line="240" w:lineRule="auto"/>
            </w:pPr>
          </w:p>
        </w:tc>
        <w:tc>
          <w:tcPr>
            <w:tcW w:w="1840" w:type="pct"/>
          </w:tcPr>
          <w:p w14:paraId="1E3B1697" w14:textId="77777777" w:rsidR="00D66E37" w:rsidRPr="00E0193B" w:rsidRDefault="00D66E37" w:rsidP="00D66E37">
            <w:pPr>
              <w:spacing w:after="120" w:line="240" w:lineRule="auto"/>
              <w:jc w:val="left"/>
            </w:pPr>
          </w:p>
        </w:tc>
        <w:tc>
          <w:tcPr>
            <w:tcW w:w="1981" w:type="pct"/>
          </w:tcPr>
          <w:p w14:paraId="5BDE648A" w14:textId="77777777" w:rsidR="00D66E37" w:rsidRPr="00E0193B" w:rsidRDefault="00D66E37" w:rsidP="00D66E37">
            <w:pPr>
              <w:spacing w:after="120" w:line="240" w:lineRule="auto"/>
              <w:jc w:val="left"/>
              <w:rPr>
                <w:rFonts w:eastAsia="Calibri"/>
                <w:lang w:val="en-GB"/>
              </w:rPr>
            </w:pPr>
            <w:r w:rsidRPr="00E0193B">
              <w:rPr>
                <w:rFonts w:eastAsia="Calibri"/>
                <w:lang w:val="en-GB"/>
              </w:rPr>
              <w:t>New Target:</w:t>
            </w:r>
          </w:p>
          <w:p w14:paraId="7DC3D91F" w14:textId="77777777" w:rsidR="00D66E37" w:rsidRPr="00E0193B" w:rsidRDefault="00D66E37" w:rsidP="00D66E37">
            <w:pPr>
              <w:spacing w:after="120" w:line="240" w:lineRule="auto"/>
              <w:jc w:val="left"/>
              <w:rPr>
                <w:rFonts w:eastAsia="Calibri"/>
                <w:color w:val="FF0000"/>
                <w:lang w:val="en-GB"/>
              </w:rPr>
            </w:pPr>
            <w:r w:rsidRPr="00E0193B">
              <w:rPr>
                <w:rFonts w:eastAsia="Calibri"/>
                <w:color w:val="FF0000"/>
                <w:lang w:val="en-GB"/>
              </w:rPr>
              <w:t>C…G - Commencement of operation of the system covering the assumptions resulting from the amendment of the Law on Value Added Tax of March 11, 2004 meeting the requirements of milestone C8G.</w:t>
            </w:r>
          </w:p>
          <w:p w14:paraId="5D6D760B" w14:textId="77777777" w:rsidR="00D66E37" w:rsidRPr="00E0193B" w:rsidRDefault="00D66E37" w:rsidP="00D66E37">
            <w:pPr>
              <w:spacing w:after="120" w:line="240" w:lineRule="auto"/>
              <w:jc w:val="left"/>
              <w:rPr>
                <w:rFonts w:eastAsia="Calibri"/>
                <w:color w:val="FF0000"/>
                <w:lang w:val="en-GB"/>
              </w:rPr>
            </w:pPr>
            <w:r w:rsidRPr="00E0193B">
              <w:rPr>
                <w:rFonts w:eastAsia="Calibri"/>
                <w:color w:val="FF0000"/>
                <w:lang w:val="en-GB"/>
              </w:rPr>
              <w:t>Unit of measurement: number</w:t>
            </w:r>
          </w:p>
          <w:p w14:paraId="4B566088" w14:textId="77777777" w:rsidR="00D66E37" w:rsidRPr="00E0193B" w:rsidRDefault="00D66E37" w:rsidP="00D66E37">
            <w:pPr>
              <w:spacing w:after="120" w:line="240" w:lineRule="auto"/>
              <w:jc w:val="left"/>
              <w:rPr>
                <w:rFonts w:eastAsia="Calibri"/>
                <w:color w:val="FF0000"/>
                <w:lang w:val="en-GB"/>
              </w:rPr>
            </w:pPr>
            <w:r w:rsidRPr="00E0193B">
              <w:rPr>
                <w:rFonts w:eastAsia="Calibri"/>
                <w:color w:val="FF0000"/>
                <w:lang w:val="en-GB"/>
              </w:rPr>
              <w:t>Baseline: 0</w:t>
            </w:r>
          </w:p>
          <w:p w14:paraId="4BC227C2" w14:textId="77777777" w:rsidR="00D66E37" w:rsidRPr="00E0193B" w:rsidRDefault="00D66E37" w:rsidP="00D66E37">
            <w:pPr>
              <w:spacing w:after="120" w:line="240" w:lineRule="auto"/>
              <w:jc w:val="left"/>
              <w:rPr>
                <w:rFonts w:eastAsia="Calibri"/>
                <w:color w:val="FF0000"/>
                <w:lang w:val="en-GB"/>
              </w:rPr>
            </w:pPr>
            <w:r w:rsidRPr="00E0193B">
              <w:rPr>
                <w:rFonts w:eastAsia="Calibri"/>
                <w:color w:val="FF0000"/>
                <w:lang w:val="en-GB"/>
              </w:rPr>
              <w:t>Target: 1</w:t>
            </w:r>
          </w:p>
          <w:p w14:paraId="727C1BF5" w14:textId="77777777" w:rsidR="00D66E37" w:rsidRPr="00E0193B" w:rsidRDefault="00D66E37" w:rsidP="00D66E37">
            <w:pPr>
              <w:spacing w:after="120" w:line="240" w:lineRule="auto"/>
              <w:jc w:val="left"/>
              <w:rPr>
                <w:rFonts w:eastAsia="Calibri"/>
                <w:color w:val="FF0000"/>
                <w:lang w:val="en-GB"/>
              </w:rPr>
            </w:pPr>
            <w:r w:rsidRPr="00E0193B">
              <w:rPr>
                <w:rFonts w:eastAsia="Calibri"/>
                <w:color w:val="FF0000"/>
                <w:lang w:val="en-GB"/>
              </w:rPr>
              <w:t>Indicative timeline for completion: Q2 2026.</w:t>
            </w:r>
          </w:p>
          <w:p w14:paraId="1E498815" w14:textId="77777777" w:rsidR="00D66E37" w:rsidRPr="00E0193B" w:rsidRDefault="00D66E37" w:rsidP="00D66E37">
            <w:pPr>
              <w:spacing w:after="120" w:line="240" w:lineRule="auto"/>
              <w:jc w:val="left"/>
              <w:rPr>
                <w:rFonts w:eastAsia="Calibri"/>
                <w:color w:val="FF0000"/>
                <w:lang w:val="en-GB"/>
              </w:rPr>
            </w:pPr>
            <w:r w:rsidRPr="00E0193B">
              <w:rPr>
                <w:rFonts w:eastAsia="Calibri"/>
                <w:color w:val="FF0000"/>
                <w:lang w:val="en-GB"/>
              </w:rPr>
              <w:t>Description:</w:t>
            </w:r>
          </w:p>
          <w:p w14:paraId="05F64DB2" w14:textId="77777777" w:rsidR="00D66E37" w:rsidRPr="00E0193B" w:rsidRDefault="00D66E37" w:rsidP="00D66E37">
            <w:pPr>
              <w:spacing w:after="120" w:line="240" w:lineRule="auto"/>
              <w:jc w:val="left"/>
              <w:rPr>
                <w:rFonts w:eastAsia="Calibri"/>
                <w:lang w:val="en-GB"/>
              </w:rPr>
            </w:pPr>
            <w:r w:rsidRPr="00E0193B">
              <w:rPr>
                <w:rFonts w:eastAsia="Calibri"/>
                <w:color w:val="FF0000"/>
                <w:lang w:val="en-GB"/>
              </w:rPr>
              <w:t>The commencement of the system's operation is aimed at introducing a unified digital framework related to the issuance and sharing of structured invoices that meet the requirements of the C8G milestone</w:t>
            </w:r>
          </w:p>
        </w:tc>
      </w:tr>
      <w:tr w:rsidR="00D66E37" w:rsidRPr="00E0193B" w14:paraId="36585E67" w14:textId="77777777" w:rsidTr="00F72BD7">
        <w:tc>
          <w:tcPr>
            <w:tcW w:w="1179" w:type="pct"/>
          </w:tcPr>
          <w:p w14:paraId="4A9917B4" w14:textId="77777777" w:rsidR="00D66E37" w:rsidRPr="00E0193B" w:rsidRDefault="00D66E37" w:rsidP="00D66E37">
            <w:pPr>
              <w:spacing w:after="120" w:line="240" w:lineRule="auto"/>
            </w:pPr>
            <w:r w:rsidRPr="00E0193B">
              <w:t xml:space="preserve">Uzasadnienie </w:t>
            </w:r>
          </w:p>
        </w:tc>
        <w:tc>
          <w:tcPr>
            <w:tcW w:w="3821" w:type="pct"/>
            <w:gridSpan w:val="2"/>
          </w:tcPr>
          <w:p w14:paraId="6E2F3B31" w14:textId="77777777" w:rsidR="00D66E37" w:rsidRPr="00E0193B" w:rsidRDefault="00D66E37" w:rsidP="00D66E37">
            <w:pPr>
              <w:spacing w:after="120" w:line="240" w:lineRule="auto"/>
              <w:jc w:val="left"/>
            </w:pPr>
            <w:r w:rsidRPr="00E0193B">
              <w:t xml:space="preserve">Zmiana zakłada dodanie dwóch nowych subinwestycji: jednej dotyczącej rozwoju systemu EZD oraz drugiej obejmującej rozwój e-usług w ramach e-Urzedu Skarbowego oraz wdrożenie systemu wprowadzającego jednolite ramy cyfrowych związanych z wystawianiem i udostępnianiem faktur ustrukturyzowanych </w:t>
            </w:r>
          </w:p>
          <w:p w14:paraId="24FEA8BC" w14:textId="77777777" w:rsidR="00D66E37" w:rsidRPr="00E0193B" w:rsidRDefault="00D66E37" w:rsidP="00D66E37">
            <w:pPr>
              <w:spacing w:after="120" w:line="240" w:lineRule="auto"/>
              <w:jc w:val="left"/>
            </w:pPr>
            <w:r w:rsidRPr="00E0193B">
              <w:t>Rozwój publicznego systemu informatycznego Elektronicznego Zarządzania Dokumentacją (EZD) jest ukierunkowany na wsparcie wdrażania reformy C7G (zmiana ustawy z dnia 17 lutego 2005 r. o informatyzacji działalności podmiotów realizujących zadania publiczne) poprzez: (i) udostępnienie nieodpłatnego systemu klasy EZD utrzymywanego i rozwijanego przez rząd, (ii) likwidację bariery w postaci braku wiedzy i doświadczenia w transformacji podmiotu z papieru do zarządzania dokumentacją elektroniczną (wsparcie we wdrożeniu systemu EZD RP) oraz (iii) likwidację bariery w postaci niedostatecznych kompetencji w zakresie technologii informacyjno-komunikacyjnych poprzez udostępnienie możliwości skorzystania z usługi chmurowej (outsourcing utrzymania systemu).</w:t>
            </w:r>
          </w:p>
          <w:p w14:paraId="589BF75B" w14:textId="77777777" w:rsidR="00D66E37" w:rsidRPr="00E0193B" w:rsidRDefault="00D66E37" w:rsidP="00D66E37">
            <w:pPr>
              <w:spacing w:after="120" w:line="240" w:lineRule="auto"/>
              <w:jc w:val="left"/>
            </w:pPr>
            <w:r w:rsidRPr="00E0193B">
              <w:t>Według badań NASK PIB i danych pochodzących z Katalogu Podmiotów Publicznych, ok. 4 000 podmiotów administracji rządowej oraz samorządowej (głównego szczebla) nie korzysta z elektronicznego zarządzania dokumentacją. W ramach przedsięwzięcia dla 2 000 podmiotów realizujących zadania publiczne zostanie udostępniony system EZD oraz wsparcie polegające na przeprowadzeniu szkoleń, doradztwa indywidualnego oraz asysty technicznej i merytorycznej na potrzeby wdrożeń systemu w ww. podmiotach. Działanie takie jest niezbędne, aby można było przeprowadzić cały, skomplikowany proces przejścia podmiotu z zarządzania dokumentacją w postaci papierowej na elektroniczną.</w:t>
            </w:r>
          </w:p>
          <w:p w14:paraId="726D4DB3" w14:textId="77777777" w:rsidR="00D66E37" w:rsidRPr="00E0193B" w:rsidRDefault="00D66E37" w:rsidP="00D66E37">
            <w:pPr>
              <w:spacing w:after="120" w:line="240" w:lineRule="auto"/>
              <w:jc w:val="left"/>
            </w:pPr>
            <w:r w:rsidRPr="00E0193B">
              <w:t xml:space="preserve">Ponadto zostanie udostępniona usługa chmurowa SaaS2 EZD RP celem możliwości udostępnienia systemu EZD RP  ok. 300 000 pracownikom administracji publicznej, podmiotom, które nie mają możliwości technicznych, zasobów ludzkich i finansowych na zainstalowanie i utrzymanie systemu EZD RP w warstwie technicznej. </w:t>
            </w:r>
          </w:p>
          <w:p w14:paraId="664ABE97" w14:textId="77777777" w:rsidR="00D66E37" w:rsidRPr="00E0193B" w:rsidRDefault="00D66E37" w:rsidP="00D66E37">
            <w:pPr>
              <w:spacing w:after="120" w:line="240" w:lineRule="auto"/>
              <w:jc w:val="left"/>
            </w:pPr>
            <w:r w:rsidRPr="00E0193B">
              <w:t xml:space="preserve">Dla pozostałej grupy podmiotów udostępnione zostaną materiały informacyjno-edukacyjne, stworzona zostanie sieć ekspertów zdolnych do ich wspierania oraz wydane zostaną minimalne wymagania dla chmur publicznych udostępniających EZD RP. </w:t>
            </w:r>
          </w:p>
          <w:p w14:paraId="5C7E9CB7" w14:textId="77777777" w:rsidR="00D66E37" w:rsidRPr="00E0193B" w:rsidRDefault="00D66E37" w:rsidP="00D66E37">
            <w:pPr>
              <w:spacing w:after="120" w:line="240" w:lineRule="auto"/>
              <w:jc w:val="left"/>
            </w:pPr>
            <w:r w:rsidRPr="00E0193B">
              <w:t>W ramach szkoleń realizowanych w formule stacjonarnej i on-line przeszkolonych zostanie 75 000 uczestników.</w:t>
            </w:r>
          </w:p>
          <w:p w14:paraId="004F0DF9" w14:textId="77777777" w:rsidR="00D66E37" w:rsidRPr="00E0193B" w:rsidRDefault="00D66E37" w:rsidP="00D66E37">
            <w:pPr>
              <w:spacing w:after="120" w:line="240" w:lineRule="auto"/>
              <w:jc w:val="left"/>
            </w:pPr>
            <w:r w:rsidRPr="00E0193B">
              <w:t>Wdrażanie reformy C8G (zmiana ustawy z dnia 11 marca 2004 r. o podatku od towarów i usług) powiązane jest bezpośrednio z budową i wdrożeniem Krajowego Systemu e-Faktur. W oparciu o zmiany legislacyjne zaplanowane przedsięwzięcie umożliwi wprowadzenie do obrotu gospodarczego faktur ustrukturyzowanych realizując obowiązek ich wystawiania i udostępniania za pośrednictwem KSeF.</w:t>
            </w:r>
          </w:p>
          <w:p w14:paraId="3563FAEA" w14:textId="60232822" w:rsidR="00D66E37" w:rsidRPr="00E0193B" w:rsidRDefault="00D66E37" w:rsidP="00D66E37">
            <w:pPr>
              <w:spacing w:after="120" w:line="240" w:lineRule="auto"/>
              <w:jc w:val="left"/>
            </w:pPr>
            <w:r w:rsidRPr="00E0193B">
              <w:t xml:space="preserve">Podczas selekcji e-usług </w:t>
            </w:r>
            <w:r w:rsidR="00935797">
              <w:t xml:space="preserve">w ramach e-Urzędu Skarbowego </w:t>
            </w:r>
            <w:r w:rsidRPr="00E0193B">
              <w:t xml:space="preserve">wybrane zostały usługi o największej skali (liczbie transakcji), najbardziej oczekiwane przez klienta, maksymalizując skalę korzyści po jego stronie. </w:t>
            </w:r>
          </w:p>
          <w:p w14:paraId="579DB068" w14:textId="77777777" w:rsidR="00D66E37" w:rsidRPr="00E0193B" w:rsidRDefault="00D66E37" w:rsidP="00D66E37">
            <w:pPr>
              <w:spacing w:after="120" w:line="240" w:lineRule="auto"/>
              <w:jc w:val="left"/>
            </w:pPr>
            <w:r w:rsidRPr="00E0193B">
              <w:t>Korzyści wynikające z projektu pozwolą na uzyskanie oszczędności po stronie państwa i obywatela, elastyczności, szybkości i gotowości na zmiany prawne, poprawę efektywności egzekwowania podatków przez KAS.</w:t>
            </w:r>
          </w:p>
          <w:p w14:paraId="578577F9" w14:textId="77777777" w:rsidR="00D66E37" w:rsidRPr="00E0193B" w:rsidRDefault="00D66E37" w:rsidP="00D66E37">
            <w:pPr>
              <w:spacing w:after="120" w:line="240" w:lineRule="auto"/>
              <w:jc w:val="left"/>
            </w:pPr>
            <w:r w:rsidRPr="00E0193B">
              <w:t>Serwis e-Urząd Skarbowy ma znaczenie strategiczne dla Krajowej Administracji Skarbowej, w obszarach klientocentryczność i digitalizacja. Implementacja nowoczesnych rozwiązań technologicznych w serwisie e-Urząd Skarbowy  poprawia bezpieczeństwo danych podatkowych,  a także znacząco poprawia jakość obsługi podatników, zwiększając ich satysfakcję oraz zaufanie do systemu podatkowego.</w:t>
            </w:r>
          </w:p>
        </w:tc>
      </w:tr>
      <w:tr w:rsidR="00D66E37" w:rsidRPr="00E0193B" w14:paraId="5341C381" w14:textId="77777777" w:rsidTr="00F72BD7">
        <w:tc>
          <w:tcPr>
            <w:tcW w:w="1179" w:type="pct"/>
          </w:tcPr>
          <w:p w14:paraId="772A722D" w14:textId="77777777" w:rsidR="00D66E37" w:rsidRPr="00E0193B" w:rsidRDefault="00D66E37" w:rsidP="00D66E37">
            <w:pPr>
              <w:spacing w:after="120" w:line="240" w:lineRule="auto"/>
            </w:pPr>
            <w:r w:rsidRPr="00E0193B">
              <w:lastRenderedPageBreak/>
              <w:t>Szacowany Koszt</w:t>
            </w:r>
          </w:p>
        </w:tc>
        <w:tc>
          <w:tcPr>
            <w:tcW w:w="3821" w:type="pct"/>
            <w:gridSpan w:val="2"/>
          </w:tcPr>
          <w:p w14:paraId="326B239B" w14:textId="77777777" w:rsidR="00D66E37" w:rsidRPr="00E0193B" w:rsidRDefault="00D66E37" w:rsidP="00D66E37">
            <w:pPr>
              <w:spacing w:after="120" w:line="240" w:lineRule="auto"/>
            </w:pPr>
            <w:r w:rsidRPr="00E0193B">
              <w:t>Alokacja zostanie zwiększona ze 100 mln euro do 227 mln euro (dodane zostanie 127 mln euro z inwestycji C1.1.1), w tym 45 mln euro obejmujące system EZD oraz 82 mln dotyczące e-Urzędu Skarbowego oraz KSeF</w:t>
            </w:r>
          </w:p>
        </w:tc>
      </w:tr>
      <w:tr w:rsidR="00D66E37" w:rsidRPr="00E0193B" w14:paraId="4515EEA9" w14:textId="77777777" w:rsidTr="00F72BD7">
        <w:tc>
          <w:tcPr>
            <w:tcW w:w="1179" w:type="pct"/>
          </w:tcPr>
          <w:p w14:paraId="1CF60FAC" w14:textId="77777777" w:rsidR="00D66E37" w:rsidRPr="00E0193B" w:rsidRDefault="00D66E37" w:rsidP="00D66E37">
            <w:pPr>
              <w:spacing w:after="120" w:line="240" w:lineRule="auto"/>
            </w:pPr>
            <w:r w:rsidRPr="00E0193B">
              <w:t>Klimatyczny i cyfrowy tagging</w:t>
            </w:r>
          </w:p>
        </w:tc>
        <w:tc>
          <w:tcPr>
            <w:tcW w:w="3821" w:type="pct"/>
            <w:gridSpan w:val="2"/>
          </w:tcPr>
          <w:p w14:paraId="26C3EADD" w14:textId="77777777" w:rsidR="00D66E37" w:rsidRPr="00E0193B" w:rsidRDefault="00D66E37" w:rsidP="00D66E37">
            <w:pPr>
              <w:spacing w:after="120" w:line="240" w:lineRule="auto"/>
            </w:pPr>
            <w:r w:rsidRPr="00E0193B">
              <w:t>Zmiana nie ma wpływu na tagging klimatyczny i  tagging cyfrowy</w:t>
            </w:r>
          </w:p>
        </w:tc>
      </w:tr>
      <w:tr w:rsidR="00D66E37" w:rsidRPr="00E0193B" w14:paraId="0AC82F35" w14:textId="77777777" w:rsidTr="00F72BD7">
        <w:tc>
          <w:tcPr>
            <w:tcW w:w="1179" w:type="pct"/>
          </w:tcPr>
          <w:p w14:paraId="7571A315" w14:textId="77777777" w:rsidR="00D66E37" w:rsidRPr="00E0193B" w:rsidRDefault="00D66E37" w:rsidP="00D66E37">
            <w:pPr>
              <w:spacing w:after="120" w:line="240" w:lineRule="auto"/>
            </w:pPr>
            <w:r w:rsidRPr="00E0193B">
              <w:t xml:space="preserve">Ocena DNSH </w:t>
            </w:r>
          </w:p>
        </w:tc>
        <w:tc>
          <w:tcPr>
            <w:tcW w:w="3821" w:type="pct"/>
            <w:gridSpan w:val="2"/>
          </w:tcPr>
          <w:p w14:paraId="238A46BB" w14:textId="77777777" w:rsidR="00D66E37" w:rsidRPr="00E0193B" w:rsidRDefault="00D66E37" w:rsidP="00D66E37">
            <w:pPr>
              <w:spacing w:after="120" w:line="240" w:lineRule="auto"/>
            </w:pPr>
            <w:r w:rsidRPr="00E0193B">
              <w:t>Zmiana nie ma wpływu na DNSH</w:t>
            </w:r>
          </w:p>
        </w:tc>
      </w:tr>
      <w:tr w:rsidR="00D66E37" w:rsidRPr="00E0193B" w14:paraId="296B9DBE" w14:textId="77777777" w:rsidTr="00F72BD7">
        <w:tc>
          <w:tcPr>
            <w:tcW w:w="1179" w:type="pct"/>
          </w:tcPr>
          <w:p w14:paraId="3CC7AB5E" w14:textId="77777777" w:rsidR="00D66E37" w:rsidRPr="00E0193B" w:rsidRDefault="00D66E37" w:rsidP="00D66E37">
            <w:pPr>
              <w:spacing w:after="120" w:line="240" w:lineRule="auto"/>
            </w:pPr>
            <w:r w:rsidRPr="00E0193B">
              <w:t>Pomoc publiczna</w:t>
            </w:r>
          </w:p>
        </w:tc>
        <w:tc>
          <w:tcPr>
            <w:tcW w:w="3821" w:type="pct"/>
            <w:gridSpan w:val="2"/>
          </w:tcPr>
          <w:p w14:paraId="530607F2" w14:textId="77777777" w:rsidR="00D66E37" w:rsidRPr="00E0193B" w:rsidRDefault="00D66E37" w:rsidP="00D66E37">
            <w:pPr>
              <w:spacing w:after="120" w:line="240" w:lineRule="auto"/>
            </w:pPr>
            <w:r w:rsidRPr="00E0193B">
              <w:t>Zmiana nie ma wpływu na pomoc publiczną</w:t>
            </w:r>
          </w:p>
        </w:tc>
      </w:tr>
    </w:tbl>
    <w:p w14:paraId="78430952" w14:textId="3EC97D26" w:rsidR="00C94719" w:rsidRDefault="00C94719" w:rsidP="00973E7F">
      <w:pPr>
        <w:spacing w:line="259" w:lineRule="auto"/>
        <w:jc w:val="left"/>
        <w:rPr>
          <w:rFonts w:ascii="Calibri" w:eastAsia="Calibri" w:hAnsi="Calibri"/>
          <w:kern w:val="2"/>
          <w:sz w:val="22"/>
          <w:szCs w:val="22"/>
          <w14:ligatures w14:val="standardContextu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3456"/>
        <w:gridCol w:w="3434"/>
      </w:tblGrid>
      <w:tr w:rsidR="00C94719" w:rsidRPr="00C94719" w14:paraId="7DC6BBE2" w14:textId="77777777" w:rsidTr="00F72BD7">
        <w:tc>
          <w:tcPr>
            <w:tcW w:w="1173" w:type="pct"/>
          </w:tcPr>
          <w:p w14:paraId="57AB8462" w14:textId="77777777" w:rsidR="00C94719" w:rsidRPr="00C94719" w:rsidRDefault="00C94719" w:rsidP="00C94719">
            <w:pPr>
              <w:spacing w:after="120" w:line="240" w:lineRule="auto"/>
              <w:jc w:val="left"/>
              <w:rPr>
                <w:rFonts w:eastAsia="Calibri"/>
                <w:b/>
                <w:bCs/>
                <w:kern w:val="2"/>
                <w14:ligatures w14:val="standardContextual"/>
              </w:rPr>
            </w:pPr>
            <w:r w:rsidRPr="00C94719">
              <w:rPr>
                <w:rFonts w:eastAsia="Calibri"/>
                <w:b/>
                <w:bCs/>
                <w:kern w:val="2"/>
                <w14:ligatures w14:val="standardContextual"/>
              </w:rPr>
              <w:t>Numer inwestycji</w:t>
            </w:r>
          </w:p>
        </w:tc>
        <w:tc>
          <w:tcPr>
            <w:tcW w:w="3827" w:type="pct"/>
            <w:gridSpan w:val="2"/>
          </w:tcPr>
          <w:p w14:paraId="6A028575" w14:textId="77777777" w:rsidR="00C94719" w:rsidRPr="00C94719" w:rsidRDefault="00C94719" w:rsidP="00C94719">
            <w:pPr>
              <w:spacing w:after="120" w:line="240" w:lineRule="auto"/>
              <w:jc w:val="left"/>
              <w:rPr>
                <w:rFonts w:eastAsia="Calibri"/>
                <w:b/>
                <w:bCs/>
                <w:kern w:val="2"/>
                <w14:ligatures w14:val="standardContextual"/>
              </w:rPr>
            </w:pPr>
            <w:r w:rsidRPr="00C94719">
              <w:rPr>
                <w:rFonts w:eastAsia="Calibri"/>
                <w:b/>
                <w:bCs/>
                <w:kern w:val="2"/>
                <w14:ligatures w14:val="standardContextual"/>
              </w:rPr>
              <w:t>C2.1.2</w:t>
            </w:r>
          </w:p>
        </w:tc>
      </w:tr>
      <w:tr w:rsidR="00C94719" w:rsidRPr="00C94719" w14:paraId="70AF336E" w14:textId="77777777" w:rsidTr="00F72BD7">
        <w:tc>
          <w:tcPr>
            <w:tcW w:w="1173" w:type="pct"/>
          </w:tcPr>
          <w:p w14:paraId="4C22B9E6" w14:textId="77777777" w:rsidR="00C94719" w:rsidRPr="00C94719" w:rsidRDefault="00C94719" w:rsidP="00C94719">
            <w:pPr>
              <w:spacing w:after="120" w:line="240" w:lineRule="auto"/>
              <w:jc w:val="left"/>
              <w:rPr>
                <w:rFonts w:eastAsia="Calibri"/>
                <w:b/>
                <w:bCs/>
                <w:kern w:val="2"/>
                <w14:ligatures w14:val="standardContextual"/>
              </w:rPr>
            </w:pPr>
            <w:r w:rsidRPr="00C94719">
              <w:rPr>
                <w:rFonts w:eastAsia="Calibri"/>
                <w:b/>
                <w:bCs/>
                <w:kern w:val="2"/>
                <w14:ligatures w14:val="standardContextual"/>
              </w:rPr>
              <w:t>Nazwa inwestycji</w:t>
            </w:r>
          </w:p>
        </w:tc>
        <w:tc>
          <w:tcPr>
            <w:tcW w:w="3827" w:type="pct"/>
            <w:gridSpan w:val="2"/>
          </w:tcPr>
          <w:p w14:paraId="6B427C80" w14:textId="77777777" w:rsidR="00C94719" w:rsidRPr="00C94719" w:rsidRDefault="00C94719" w:rsidP="00C94719">
            <w:pPr>
              <w:spacing w:after="120" w:line="240" w:lineRule="auto"/>
              <w:jc w:val="left"/>
              <w:rPr>
                <w:rFonts w:eastAsia="Calibri"/>
                <w:b/>
                <w:bCs/>
                <w:kern w:val="2"/>
                <w14:ligatures w14:val="standardContextual"/>
              </w:rPr>
            </w:pPr>
            <w:r w:rsidRPr="00C94719">
              <w:rPr>
                <w:rFonts w:eastAsia="Calibri"/>
                <w:b/>
                <w:bCs/>
                <w:kern w:val="2"/>
                <w14:ligatures w14:val="standardContextual"/>
              </w:rPr>
              <w:t>Wyrównanie poziomu wyposażenia szkół w przenośne urządzenia multimedialne - inwestycje związane ze spełnieniem minimalnych standardów sprzętowych</w:t>
            </w:r>
          </w:p>
        </w:tc>
      </w:tr>
      <w:tr w:rsidR="00C94719" w:rsidRPr="00C94719" w14:paraId="5E775119" w14:textId="77777777" w:rsidTr="00F72BD7">
        <w:tc>
          <w:tcPr>
            <w:tcW w:w="1173" w:type="pct"/>
            <w:shd w:val="clear" w:color="auto" w:fill="auto"/>
          </w:tcPr>
          <w:p w14:paraId="0C5509C3"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Rodzaj wprowadzonej zmiany w odniesieniu do CID</w:t>
            </w:r>
          </w:p>
        </w:tc>
        <w:tc>
          <w:tcPr>
            <w:tcW w:w="3827" w:type="pct"/>
            <w:gridSpan w:val="2"/>
            <w:shd w:val="clear" w:color="auto" w:fill="auto"/>
          </w:tcPr>
          <w:p w14:paraId="356428A0"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Modyfikacja w zakresie wartości docelowej wskaźnika dla miernika C14G oraz brzmienia i opisu wskaźnika C15G</w:t>
            </w:r>
          </w:p>
        </w:tc>
      </w:tr>
      <w:tr w:rsidR="00C94719" w:rsidRPr="00C94719" w14:paraId="70B69205" w14:textId="77777777" w:rsidTr="00F72BD7">
        <w:tc>
          <w:tcPr>
            <w:tcW w:w="1173" w:type="pct"/>
            <w:shd w:val="clear" w:color="auto" w:fill="auto"/>
          </w:tcPr>
          <w:p w14:paraId="226F1728"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Podstawa prawna zmiany</w:t>
            </w:r>
          </w:p>
        </w:tc>
        <w:tc>
          <w:tcPr>
            <w:tcW w:w="3827" w:type="pct"/>
            <w:gridSpan w:val="2"/>
            <w:shd w:val="clear" w:color="auto" w:fill="auto"/>
          </w:tcPr>
          <w:p w14:paraId="1AD822AA"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art. 21 rozporządzenia Parlamentu Europejskiego i Rady (UE) 2021/241 z dnia 12 lutego 2021 r. ustanawiającego Instrument na rzecz Odbudowy i Zwiększania Odporności</w:t>
            </w:r>
          </w:p>
        </w:tc>
      </w:tr>
      <w:tr w:rsidR="00C94719" w:rsidRPr="00C94719" w14:paraId="5247D399" w14:textId="77777777" w:rsidTr="00F72BD7">
        <w:tc>
          <w:tcPr>
            <w:tcW w:w="1173" w:type="pct"/>
            <w:shd w:val="clear" w:color="auto" w:fill="D9D9D9"/>
          </w:tcPr>
          <w:p w14:paraId="270CC7D9"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Modyfikowany element</w:t>
            </w:r>
          </w:p>
        </w:tc>
        <w:tc>
          <w:tcPr>
            <w:tcW w:w="1920" w:type="pct"/>
            <w:shd w:val="clear" w:color="auto" w:fill="D9D9D9"/>
          </w:tcPr>
          <w:p w14:paraId="305B9764"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Bieżąca wersja</w:t>
            </w:r>
          </w:p>
        </w:tc>
        <w:tc>
          <w:tcPr>
            <w:tcW w:w="1907" w:type="pct"/>
            <w:shd w:val="clear" w:color="auto" w:fill="D9D9D9"/>
          </w:tcPr>
          <w:p w14:paraId="44CB9CB6"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Wersja zmieniona</w:t>
            </w:r>
          </w:p>
        </w:tc>
      </w:tr>
      <w:tr w:rsidR="00C94719" w:rsidRPr="00C94719" w14:paraId="71E05B5A" w14:textId="77777777" w:rsidTr="00F72BD7">
        <w:tc>
          <w:tcPr>
            <w:tcW w:w="1173" w:type="pct"/>
          </w:tcPr>
          <w:p w14:paraId="288D7A7C"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Opis komponentu oraz/lub działania (inwestycji/reformy)</w:t>
            </w:r>
          </w:p>
        </w:tc>
        <w:tc>
          <w:tcPr>
            <w:tcW w:w="1920" w:type="pct"/>
          </w:tcPr>
          <w:p w14:paraId="56A0C215"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Zgodnie z opracowaniem minimalnych wiążących standardów dotyczących sprzętu ICT dzięki tej inwestycji wszystkie szkoły w Polsce mają zostać wyposażone w najnowocześniejszy sprzęt multimedialny, z którego będą mogli korzystać nauczyciele i uczniowie. Ma to na celu umożliwienie wykorzystania technologii cyfrowych w nauczaniu na równym poziomie w każdej szkole podstawowej i ponadpodstawowej w całej Polsce, a docelowo zapewnienie nauczycielom, za pośrednictwem programu bonów, przenośnych komputerów wraz z oprogramowaniem oraz dostarczenie łącznie co najmniej 1 200 000 laptopów, tak aby co najwyżej sześciu uczniów przypadało na jeden laptop.</w:t>
            </w:r>
          </w:p>
          <w:p w14:paraId="70429411" w14:textId="77777777" w:rsidR="00C94719" w:rsidRPr="00C94719" w:rsidRDefault="00C94719" w:rsidP="00C94719">
            <w:pPr>
              <w:spacing w:after="120" w:line="240" w:lineRule="auto"/>
              <w:jc w:val="left"/>
              <w:rPr>
                <w:rFonts w:eastAsia="Calibri"/>
                <w:kern w:val="2"/>
                <w14:ligatures w14:val="standardContextual"/>
              </w:rPr>
            </w:pPr>
          </w:p>
        </w:tc>
        <w:tc>
          <w:tcPr>
            <w:tcW w:w="1907" w:type="pct"/>
          </w:tcPr>
          <w:p w14:paraId="4537345B" w14:textId="3990D5A3"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 xml:space="preserve">Zgodnie z opracowaniem minimalnych wiążących standardów dotyczących sprzętu ICT dzięki tej inwestycji wszystkie szkoły w Polsce mają zostać wyposażone w najnowocześniejszy sprzęt multimedialny, z którego będą mogli korzystać nauczyciele i uczniowie. Ma to na celu umożliwienie wykorzystania technologii cyfrowych w nauczaniu na równym poziomie w każdej szkole podstawowej i ponadpodstawowej w całej Polsce, a docelowo zapewnienie nauczycielom, za pośrednictwem programu bonów, przenośnych komputerów wraz z oprogramowaniem oraz dostarczenie łącznie co najmniej </w:t>
            </w:r>
            <w:r w:rsidRPr="00C94719">
              <w:rPr>
                <w:rFonts w:eastAsia="Calibri"/>
                <w:strike/>
                <w:color w:val="FF0000"/>
                <w:kern w:val="2"/>
                <w14:ligatures w14:val="standardContextual"/>
              </w:rPr>
              <w:t>1 200 000</w:t>
            </w:r>
            <w:r w:rsidRPr="00C94719">
              <w:rPr>
                <w:rFonts w:eastAsia="Calibri"/>
                <w:color w:val="FF0000"/>
                <w:kern w:val="2"/>
                <w14:ligatures w14:val="standardContextual"/>
              </w:rPr>
              <w:t xml:space="preserve"> 1 288 336 </w:t>
            </w:r>
            <w:r w:rsidRPr="00C94719">
              <w:rPr>
                <w:rFonts w:eastAsia="Calibri"/>
                <w:kern w:val="2"/>
                <w14:ligatures w14:val="standardContextual"/>
              </w:rPr>
              <w:t>laptopów</w:t>
            </w:r>
            <w:r w:rsidR="009E38A5">
              <w:rPr>
                <w:rFonts w:eastAsia="Calibri"/>
                <w:kern w:val="2"/>
                <w14:ligatures w14:val="standardContextual"/>
              </w:rPr>
              <w:t xml:space="preserve">, </w:t>
            </w:r>
            <w:r w:rsidR="009E38A5" w:rsidRPr="009E38A5">
              <w:rPr>
                <w:rFonts w:eastAsia="Calibri"/>
                <w:color w:val="FF0000"/>
                <w:kern w:val="2"/>
                <w14:ligatures w14:val="standardContextual"/>
              </w:rPr>
              <w:t>laptopów przeglądarkowych</w:t>
            </w:r>
            <w:r w:rsidRPr="009E38A5">
              <w:rPr>
                <w:rFonts w:eastAsia="Calibri"/>
                <w:color w:val="FF0000"/>
                <w:kern w:val="2"/>
                <w14:ligatures w14:val="standardContextual"/>
              </w:rPr>
              <w:t xml:space="preserve"> </w:t>
            </w:r>
            <w:r w:rsidRPr="00C94719">
              <w:rPr>
                <w:rFonts w:eastAsia="Calibri"/>
                <w:color w:val="FF0000"/>
                <w:kern w:val="2"/>
                <w14:ligatures w14:val="standardContextual"/>
              </w:rPr>
              <w:t>lub tabletów</w:t>
            </w:r>
            <w:r w:rsidRPr="00C94719">
              <w:rPr>
                <w:rFonts w:eastAsia="Calibri"/>
                <w:kern w:val="2"/>
                <w14:ligatures w14:val="standardContextual"/>
              </w:rPr>
              <w:t>, tak aby co najwyżej sześciu uczniów przypadało na jeden laptop</w:t>
            </w:r>
            <w:r w:rsidR="009E38A5">
              <w:rPr>
                <w:rFonts w:eastAsia="Calibri"/>
                <w:kern w:val="2"/>
                <w14:ligatures w14:val="standardContextual"/>
              </w:rPr>
              <w:t xml:space="preserve">, </w:t>
            </w:r>
            <w:r w:rsidR="009E38A5" w:rsidRPr="009E38A5">
              <w:rPr>
                <w:rFonts w:eastAsia="Calibri"/>
                <w:color w:val="FF0000"/>
                <w:kern w:val="2"/>
                <w14:ligatures w14:val="standardContextual"/>
              </w:rPr>
              <w:t>laptop przeglądarkowy lub tablet</w:t>
            </w:r>
            <w:r w:rsidRPr="009E38A5">
              <w:rPr>
                <w:rFonts w:eastAsia="Calibri"/>
                <w:color w:val="FF0000"/>
                <w:kern w:val="2"/>
                <w14:ligatures w14:val="standardContextual"/>
              </w:rPr>
              <w:t>.</w:t>
            </w:r>
          </w:p>
        </w:tc>
      </w:tr>
      <w:tr w:rsidR="00C94719" w:rsidRPr="00935797" w14:paraId="66033ADB" w14:textId="77777777" w:rsidTr="00F72BD7">
        <w:tc>
          <w:tcPr>
            <w:tcW w:w="1173" w:type="pct"/>
          </w:tcPr>
          <w:p w14:paraId="471D72CC"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Opis komponentu oraz/lub działania (inwestycji/reformy)</w:t>
            </w:r>
          </w:p>
        </w:tc>
        <w:tc>
          <w:tcPr>
            <w:tcW w:w="1920" w:type="pct"/>
          </w:tcPr>
          <w:p w14:paraId="4FC9D38D" w14:textId="77777777" w:rsidR="00C94719" w:rsidRPr="00C94719" w:rsidRDefault="00C94719" w:rsidP="00C94719">
            <w:pPr>
              <w:spacing w:after="120" w:line="240" w:lineRule="auto"/>
              <w:jc w:val="left"/>
              <w:rPr>
                <w:rFonts w:eastAsia="Calibri"/>
                <w:kern w:val="2"/>
                <w:lang w:val="en-GB"/>
                <w14:ligatures w14:val="standardContextual"/>
              </w:rPr>
            </w:pPr>
            <w:r w:rsidRPr="00C94719">
              <w:rPr>
                <w:rFonts w:eastAsia="Calibri"/>
                <w:kern w:val="2"/>
                <w:lang w:val="en-GB"/>
                <w14:ligatures w14:val="standardContextual"/>
              </w:rPr>
              <w:t>In line with the creation of minimum binding standards for ICT equipment, this investment aims to supply all schools in Poland with state-of-the-art multimedia equipment, to be used by teachers and students. The objective is to enable the use of digital technologies in learning on an equal level in each primary and secondary school across Poland, and the goal is to provide portable computers with software to teachers, via a voucher scheme, and to reach maximum six students per one laptop, for a total of at least 1 200 000 laptops.</w:t>
            </w:r>
          </w:p>
          <w:p w14:paraId="0CC5A117" w14:textId="77777777" w:rsidR="00C94719" w:rsidRPr="00C94719" w:rsidRDefault="00C94719" w:rsidP="00C94719">
            <w:pPr>
              <w:spacing w:after="120" w:line="240" w:lineRule="auto"/>
              <w:jc w:val="left"/>
              <w:rPr>
                <w:rFonts w:eastAsia="Calibri"/>
                <w:kern w:val="2"/>
                <w:lang w:val="en-GB"/>
                <w14:ligatures w14:val="standardContextual"/>
              </w:rPr>
            </w:pPr>
          </w:p>
        </w:tc>
        <w:tc>
          <w:tcPr>
            <w:tcW w:w="1907" w:type="pct"/>
          </w:tcPr>
          <w:p w14:paraId="14C1B32B" w14:textId="0BA7F066" w:rsidR="00C94719" w:rsidRPr="00C94719" w:rsidRDefault="00C94719" w:rsidP="00C94719">
            <w:pPr>
              <w:spacing w:after="120" w:line="240" w:lineRule="auto"/>
              <w:jc w:val="left"/>
              <w:rPr>
                <w:rFonts w:eastAsia="Calibri"/>
                <w:kern w:val="2"/>
                <w:lang w:val="en-GB"/>
                <w14:ligatures w14:val="standardContextual"/>
              </w:rPr>
            </w:pPr>
            <w:r w:rsidRPr="00C94719">
              <w:rPr>
                <w:rFonts w:eastAsia="Calibri"/>
                <w:kern w:val="2"/>
                <w:lang w:val="en-GB"/>
                <w14:ligatures w14:val="standardContextual"/>
              </w:rPr>
              <w:t>In line with the creation of minimum binding standards for ICT equipment, this investment aims to supply all schools in Poland with state-of-the-art multimedia equipment, to be used by teachers and students. The objective is to enable the use of digital technologies in learning on an equal level in each primary and secondary school across Poland, and the goal is to provide portable computers with software to teachers, via a voucher scheme, and to reach maximum six students per one laptop</w:t>
            </w:r>
            <w:r w:rsidR="009E38A5">
              <w:rPr>
                <w:rFonts w:eastAsia="Calibri"/>
                <w:kern w:val="2"/>
                <w:lang w:val="en-GB"/>
                <w14:ligatures w14:val="standardContextual"/>
              </w:rPr>
              <w:t>,</w:t>
            </w:r>
            <w:r w:rsidRPr="00C94719">
              <w:rPr>
                <w:rFonts w:eastAsia="Calibri"/>
                <w:kern w:val="2"/>
                <w:lang w:val="en-GB"/>
                <w14:ligatures w14:val="standardContextual"/>
              </w:rPr>
              <w:t xml:space="preserve"> </w:t>
            </w:r>
            <w:r w:rsidR="009E38A5" w:rsidRPr="009E38A5">
              <w:rPr>
                <w:rFonts w:eastAsia="Calibri"/>
                <w:color w:val="FF0000"/>
                <w:kern w:val="2"/>
                <w:lang w:val="en-GB"/>
                <w14:ligatures w14:val="standardContextual"/>
              </w:rPr>
              <w:t>browser laptop</w:t>
            </w:r>
            <w:r w:rsidR="009E38A5" w:rsidRPr="009E38A5">
              <w:rPr>
                <w:rFonts w:eastAsia="Calibri"/>
                <w:kern w:val="2"/>
                <w:lang w:val="en-GB"/>
                <w14:ligatures w14:val="standardContextual"/>
              </w:rPr>
              <w:t xml:space="preserve"> </w:t>
            </w:r>
            <w:r w:rsidRPr="00C94719">
              <w:rPr>
                <w:rFonts w:eastAsia="Calibri"/>
                <w:color w:val="FF0000"/>
                <w:kern w:val="2"/>
                <w:lang w:val="en-GB"/>
                <w14:ligatures w14:val="standardContextual"/>
              </w:rPr>
              <w:t>or tablet</w:t>
            </w:r>
            <w:r w:rsidRPr="00C94719">
              <w:rPr>
                <w:rFonts w:eastAsia="Calibri"/>
                <w:kern w:val="2"/>
                <w:lang w:val="en-GB"/>
                <w14:ligatures w14:val="standardContextual"/>
              </w:rPr>
              <w:t xml:space="preserve">, for a total of at least </w:t>
            </w:r>
            <w:r w:rsidRPr="00C94719">
              <w:rPr>
                <w:rFonts w:eastAsia="Calibri"/>
                <w:strike/>
                <w:color w:val="FF0000"/>
                <w:kern w:val="2"/>
                <w:lang w:val="en-GB"/>
                <w14:ligatures w14:val="standardContextual"/>
              </w:rPr>
              <w:t>1 200 000</w:t>
            </w:r>
            <w:r w:rsidRPr="00C94719">
              <w:rPr>
                <w:rFonts w:eastAsia="Calibri"/>
                <w:kern w:val="2"/>
                <w:lang w:val="en-GB"/>
                <w14:ligatures w14:val="standardContextual"/>
              </w:rPr>
              <w:t xml:space="preserve"> </w:t>
            </w:r>
            <w:r w:rsidRPr="00C94719">
              <w:rPr>
                <w:rFonts w:eastAsia="Calibri"/>
                <w:color w:val="FF0000"/>
                <w:kern w:val="2"/>
                <w:lang w:val="en-GB"/>
                <w14:ligatures w14:val="standardContextual"/>
              </w:rPr>
              <w:t xml:space="preserve">1 288 336 </w:t>
            </w:r>
            <w:r w:rsidRPr="00C94719">
              <w:rPr>
                <w:rFonts w:eastAsia="Calibri"/>
                <w:kern w:val="2"/>
                <w:lang w:val="en-GB"/>
                <w14:ligatures w14:val="standardContextual"/>
              </w:rPr>
              <w:t>laptops</w:t>
            </w:r>
            <w:r w:rsidR="009E38A5">
              <w:rPr>
                <w:rFonts w:eastAsia="Calibri"/>
                <w:kern w:val="2"/>
                <w:lang w:val="en-GB"/>
                <w14:ligatures w14:val="standardContextual"/>
              </w:rPr>
              <w:t>,</w:t>
            </w:r>
            <w:r w:rsidR="009E38A5" w:rsidRPr="009E38A5">
              <w:rPr>
                <w:rFonts w:eastAsia="Calibri"/>
                <w:color w:val="FF0000"/>
                <w:kern w:val="2"/>
                <w:lang w:val="en-GB"/>
                <w14:ligatures w14:val="standardContextual"/>
              </w:rPr>
              <w:t xml:space="preserve"> browser laptop</w:t>
            </w:r>
            <w:r w:rsidR="009E38A5">
              <w:rPr>
                <w:rFonts w:eastAsia="Calibri"/>
                <w:color w:val="FF0000"/>
                <w:kern w:val="2"/>
                <w:lang w:val="en-GB"/>
                <w14:ligatures w14:val="standardContextual"/>
              </w:rPr>
              <w:t>s</w:t>
            </w:r>
            <w:r w:rsidRPr="00C94719">
              <w:rPr>
                <w:rFonts w:eastAsia="Calibri"/>
                <w:kern w:val="2"/>
                <w:lang w:val="en-GB"/>
                <w14:ligatures w14:val="standardContextual"/>
              </w:rPr>
              <w:t xml:space="preserve"> </w:t>
            </w:r>
            <w:r w:rsidRPr="00C94719">
              <w:rPr>
                <w:rFonts w:eastAsia="Calibri"/>
                <w:color w:val="FF0000"/>
                <w:kern w:val="2"/>
                <w:lang w:val="en-GB"/>
                <w14:ligatures w14:val="standardContextual"/>
              </w:rPr>
              <w:t>or tablets</w:t>
            </w:r>
            <w:r w:rsidRPr="00C94719">
              <w:rPr>
                <w:rFonts w:eastAsia="Calibri"/>
                <w:kern w:val="2"/>
                <w:lang w:val="en-GB"/>
                <w14:ligatures w14:val="standardContextual"/>
              </w:rPr>
              <w:t>.</w:t>
            </w:r>
          </w:p>
        </w:tc>
      </w:tr>
      <w:tr w:rsidR="00C94719" w:rsidRPr="00C94719" w14:paraId="31CCE702" w14:textId="77777777" w:rsidTr="00F72BD7">
        <w:tc>
          <w:tcPr>
            <w:tcW w:w="1173" w:type="pct"/>
            <w:vMerge w:val="restart"/>
          </w:tcPr>
          <w:p w14:paraId="24F5D347"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Kamień milowy lub wskaźnik</w:t>
            </w:r>
          </w:p>
          <w:p w14:paraId="05B71DF8" w14:textId="77777777" w:rsidR="00C94719" w:rsidRPr="00C94719" w:rsidRDefault="00C94719" w:rsidP="00C94719">
            <w:pPr>
              <w:spacing w:after="120" w:line="240" w:lineRule="auto"/>
              <w:jc w:val="left"/>
              <w:rPr>
                <w:rFonts w:eastAsia="Calibri"/>
                <w:kern w:val="2"/>
                <w14:ligatures w14:val="standardContextual"/>
              </w:rPr>
            </w:pPr>
          </w:p>
        </w:tc>
        <w:tc>
          <w:tcPr>
            <w:tcW w:w="1920" w:type="pct"/>
          </w:tcPr>
          <w:p w14:paraId="5D055808"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C14G</w:t>
            </w:r>
          </w:p>
          <w:p w14:paraId="310F19CD"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Jednostka miary: Liczba</w:t>
            </w:r>
          </w:p>
          <w:p w14:paraId="2B5DA0B8"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Poziom bazowy: 0</w:t>
            </w:r>
          </w:p>
          <w:p w14:paraId="41EB851D"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Cel: 465 000</w:t>
            </w:r>
          </w:p>
          <w:p w14:paraId="035E9450"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 xml:space="preserve">Kwartał: IV </w:t>
            </w:r>
          </w:p>
          <w:p w14:paraId="5E6C6E51"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 xml:space="preserve">Rok: 2025 </w:t>
            </w:r>
          </w:p>
          <w:p w14:paraId="00D10E8B"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 xml:space="preserve">Nazwa kamienia milowego lub wartości docelowej: </w:t>
            </w:r>
          </w:p>
          <w:p w14:paraId="6F279A4C"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Nowe komputery przenośne do dyspozycji nauczycieli</w:t>
            </w:r>
          </w:p>
          <w:p w14:paraId="5D575177"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Opis kamienia milowego lub wartości docelowej:</w:t>
            </w:r>
          </w:p>
          <w:p w14:paraId="79DD3159"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Co najmniej 465 000 dodatkowych przenośnych komputerów z niezbędnym oprogramowaniem dostarczonych do szkół do użytku nauczycieli za pośrednictwem programu bonów. Wszyscy nauczyciele będą upoważnieni do otrzymania bonu, przy czym bony będą dostępne od dnia 31 grudnia 2023 r. Inwestycja będzie realizowana w pełnej zgodności z wytycznymi technicznymi dotyczącymi stosowania zasady „nie czyń poważnych szkód” (2021/C 58/01), w szczególności w zakresie wymogów dotyczących efektywności energetycznej, efektywności materiałowej oraz recyklingu.</w:t>
            </w:r>
          </w:p>
        </w:tc>
        <w:tc>
          <w:tcPr>
            <w:tcW w:w="1907" w:type="pct"/>
          </w:tcPr>
          <w:p w14:paraId="35BB0B7C"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C14G</w:t>
            </w:r>
          </w:p>
          <w:p w14:paraId="63B45A1A"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Jednostka miary: Liczba</w:t>
            </w:r>
          </w:p>
          <w:p w14:paraId="18F19148"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Poziom bazowy: 0</w:t>
            </w:r>
          </w:p>
          <w:p w14:paraId="065F37F9"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 xml:space="preserve">Cel: </w:t>
            </w:r>
            <w:r w:rsidRPr="00C94719">
              <w:rPr>
                <w:rFonts w:eastAsia="Calibri"/>
                <w:strike/>
                <w:color w:val="FF0000"/>
                <w:kern w:val="2"/>
                <w14:ligatures w14:val="standardContextual"/>
              </w:rPr>
              <w:t>465 000</w:t>
            </w:r>
            <w:r w:rsidRPr="00C94719">
              <w:rPr>
                <w:rFonts w:eastAsia="Calibri"/>
                <w:color w:val="FF0000"/>
                <w:kern w:val="2"/>
                <w14:ligatures w14:val="standardContextual"/>
              </w:rPr>
              <w:t xml:space="preserve"> 553 336</w:t>
            </w:r>
          </w:p>
          <w:p w14:paraId="0DF30382"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 xml:space="preserve">Kwartał: IV </w:t>
            </w:r>
          </w:p>
          <w:p w14:paraId="3EDA409C"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 xml:space="preserve">Rok: 2025 </w:t>
            </w:r>
          </w:p>
          <w:p w14:paraId="55ED64DB"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 xml:space="preserve">Nazwa kamienia milowego lub wartości docelowej: </w:t>
            </w:r>
          </w:p>
          <w:p w14:paraId="0F430AA4"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Nowe komputery przenośne do dyspozycji nauczycieli</w:t>
            </w:r>
          </w:p>
          <w:p w14:paraId="19FBEA55"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Opis kamienia milowego lub wartości docelowej:</w:t>
            </w:r>
          </w:p>
          <w:p w14:paraId="70596D8E"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 xml:space="preserve">Co najmniej </w:t>
            </w:r>
            <w:r w:rsidRPr="00C94719">
              <w:rPr>
                <w:rFonts w:eastAsia="Calibri"/>
                <w:strike/>
                <w:color w:val="FF0000"/>
                <w:kern w:val="2"/>
                <w14:ligatures w14:val="standardContextual"/>
              </w:rPr>
              <w:t>465 000</w:t>
            </w:r>
            <w:r w:rsidRPr="00C94719">
              <w:rPr>
                <w:rFonts w:eastAsia="Calibri"/>
                <w:color w:val="FF0000"/>
                <w:kern w:val="2"/>
                <w14:ligatures w14:val="standardContextual"/>
              </w:rPr>
              <w:t xml:space="preserve"> 553 336 </w:t>
            </w:r>
            <w:r w:rsidRPr="00C94719">
              <w:rPr>
                <w:rFonts w:eastAsia="Calibri"/>
                <w:kern w:val="2"/>
                <w14:ligatures w14:val="standardContextual"/>
              </w:rPr>
              <w:t>dodatkowych przenośnych komputerów z niezbędnym oprogramowaniem dostarczonych do szkół do użytku nauczycieli za pośrednictwem programu bonów. Wszyscy nauczyciele będą upoważnieni do otrzymania bonu, przy czym bony będą dostępne od dnia 31 grudnia 2023 r. Inwestycja będzie realizowana w pełnej zgodności z wytycznymi technicznymi dotyczącymi stosowania zasady „nie czyń poważnych szkód” (2021/C 58/01), w szczególności w zakresie wymogów dotyczących efektywności energetycznej, efektywności materiałowej oraz recyklingu.</w:t>
            </w:r>
          </w:p>
        </w:tc>
      </w:tr>
      <w:tr w:rsidR="00C94719" w:rsidRPr="00935797" w14:paraId="2C49129C" w14:textId="77777777" w:rsidTr="00F72BD7">
        <w:tc>
          <w:tcPr>
            <w:tcW w:w="1173" w:type="pct"/>
            <w:vMerge/>
          </w:tcPr>
          <w:p w14:paraId="1CC70C79" w14:textId="77777777" w:rsidR="00C94719" w:rsidRPr="00C94719" w:rsidRDefault="00C94719" w:rsidP="00C94719">
            <w:pPr>
              <w:spacing w:after="120" w:line="240" w:lineRule="auto"/>
              <w:jc w:val="left"/>
              <w:rPr>
                <w:rFonts w:eastAsia="Calibri"/>
                <w:kern w:val="2"/>
                <w14:ligatures w14:val="standardContextual"/>
              </w:rPr>
            </w:pPr>
          </w:p>
        </w:tc>
        <w:tc>
          <w:tcPr>
            <w:tcW w:w="1920" w:type="pct"/>
          </w:tcPr>
          <w:p w14:paraId="1B364225" w14:textId="77777777" w:rsidR="00C94719" w:rsidRPr="00C94719" w:rsidRDefault="00C94719" w:rsidP="00C94719">
            <w:pPr>
              <w:spacing w:after="120" w:line="240" w:lineRule="auto"/>
              <w:jc w:val="left"/>
              <w:rPr>
                <w:rFonts w:eastAsia="Calibri"/>
                <w:kern w:val="2"/>
                <w:lang w:val="en-GB"/>
                <w14:ligatures w14:val="standardContextual"/>
              </w:rPr>
            </w:pPr>
            <w:r w:rsidRPr="00C94719">
              <w:rPr>
                <w:rFonts w:eastAsia="Calibri"/>
                <w:kern w:val="2"/>
                <w:lang w:val="en-GB"/>
                <w14:ligatures w14:val="standardContextual"/>
              </w:rPr>
              <w:t>C14G</w:t>
            </w:r>
          </w:p>
          <w:p w14:paraId="0B944429" w14:textId="77777777" w:rsidR="00C94719" w:rsidRPr="00C94719" w:rsidRDefault="00C94719" w:rsidP="00C94719">
            <w:pPr>
              <w:spacing w:after="120" w:line="240" w:lineRule="auto"/>
              <w:jc w:val="left"/>
              <w:rPr>
                <w:rFonts w:eastAsia="Calibri"/>
                <w:kern w:val="2"/>
                <w:lang w:val="en-GB"/>
                <w14:ligatures w14:val="standardContextual"/>
              </w:rPr>
            </w:pPr>
            <w:r w:rsidRPr="00C94719">
              <w:rPr>
                <w:rFonts w:eastAsia="Calibri"/>
                <w:kern w:val="2"/>
                <w:lang w:val="en-GB"/>
                <w14:ligatures w14:val="standardContextual"/>
              </w:rPr>
              <w:t>Unit of measure: Number</w:t>
            </w:r>
          </w:p>
          <w:p w14:paraId="52078DA5" w14:textId="77777777" w:rsidR="00C94719" w:rsidRPr="00C94719" w:rsidRDefault="00C94719" w:rsidP="00C94719">
            <w:pPr>
              <w:spacing w:after="120" w:line="240" w:lineRule="auto"/>
              <w:jc w:val="left"/>
              <w:rPr>
                <w:rFonts w:eastAsia="Calibri"/>
                <w:kern w:val="2"/>
                <w:lang w:val="en-GB"/>
                <w14:ligatures w14:val="standardContextual"/>
              </w:rPr>
            </w:pPr>
            <w:r w:rsidRPr="00C94719">
              <w:rPr>
                <w:rFonts w:eastAsia="Calibri"/>
                <w:kern w:val="2"/>
                <w:lang w:val="en-GB"/>
                <w14:ligatures w14:val="standardContextual"/>
              </w:rPr>
              <w:t>Baseline: 0</w:t>
            </w:r>
          </w:p>
          <w:p w14:paraId="06D1C7FD" w14:textId="77777777" w:rsidR="00C94719" w:rsidRPr="00C94719" w:rsidRDefault="00C94719" w:rsidP="00C94719">
            <w:pPr>
              <w:spacing w:after="120" w:line="240" w:lineRule="auto"/>
              <w:jc w:val="left"/>
              <w:rPr>
                <w:rFonts w:eastAsia="Calibri"/>
                <w:kern w:val="2"/>
                <w:lang w:val="en-GB"/>
                <w14:ligatures w14:val="standardContextual"/>
              </w:rPr>
            </w:pPr>
            <w:r w:rsidRPr="00C94719">
              <w:rPr>
                <w:rFonts w:eastAsia="Calibri"/>
                <w:kern w:val="2"/>
                <w:lang w:val="en-GB"/>
                <w14:ligatures w14:val="standardContextual"/>
              </w:rPr>
              <w:t>Goal: 465 000</w:t>
            </w:r>
          </w:p>
          <w:p w14:paraId="38F1EE9B" w14:textId="77777777" w:rsidR="00C94719" w:rsidRPr="00C94719" w:rsidRDefault="00C94719" w:rsidP="00C94719">
            <w:pPr>
              <w:spacing w:after="120" w:line="240" w:lineRule="auto"/>
              <w:jc w:val="left"/>
              <w:rPr>
                <w:rFonts w:eastAsia="Calibri"/>
                <w:kern w:val="2"/>
                <w:lang w:val="en-GB"/>
                <w14:ligatures w14:val="standardContextual"/>
              </w:rPr>
            </w:pPr>
            <w:r w:rsidRPr="00C94719">
              <w:rPr>
                <w:rFonts w:eastAsia="Calibri"/>
                <w:kern w:val="2"/>
                <w:lang w:val="en-GB"/>
                <w14:ligatures w14:val="standardContextual"/>
              </w:rPr>
              <w:lastRenderedPageBreak/>
              <w:t>Quarter: IV</w:t>
            </w:r>
          </w:p>
          <w:p w14:paraId="345B84E7" w14:textId="77777777" w:rsidR="00C94719" w:rsidRPr="00C94719" w:rsidRDefault="00C94719" w:rsidP="00C94719">
            <w:pPr>
              <w:spacing w:after="120" w:line="240" w:lineRule="auto"/>
              <w:jc w:val="left"/>
              <w:rPr>
                <w:rFonts w:eastAsia="Calibri"/>
                <w:kern w:val="2"/>
                <w:lang w:val="en-GB"/>
                <w14:ligatures w14:val="standardContextual"/>
              </w:rPr>
            </w:pPr>
            <w:r w:rsidRPr="00C94719">
              <w:rPr>
                <w:rFonts w:eastAsia="Calibri"/>
                <w:kern w:val="2"/>
                <w:lang w:val="en-GB"/>
                <w14:ligatures w14:val="standardContextual"/>
              </w:rPr>
              <w:t xml:space="preserve">Year: 2025 </w:t>
            </w:r>
          </w:p>
          <w:p w14:paraId="36066E88" w14:textId="77777777" w:rsidR="00C94719" w:rsidRPr="00C94719" w:rsidRDefault="00C94719" w:rsidP="00C94719">
            <w:pPr>
              <w:spacing w:after="120" w:line="240" w:lineRule="auto"/>
              <w:jc w:val="left"/>
              <w:rPr>
                <w:rFonts w:eastAsia="Calibri"/>
                <w:kern w:val="2"/>
                <w:lang w:val="en-GB"/>
                <w14:ligatures w14:val="standardContextual"/>
              </w:rPr>
            </w:pPr>
            <w:r w:rsidRPr="00C94719">
              <w:rPr>
                <w:rFonts w:eastAsia="Calibri"/>
                <w:kern w:val="2"/>
                <w:lang w:val="en-GB"/>
                <w14:ligatures w14:val="standardContextual"/>
              </w:rPr>
              <w:t>Name:</w:t>
            </w:r>
          </w:p>
          <w:p w14:paraId="2FCB1E5D" w14:textId="77777777" w:rsidR="00C94719" w:rsidRPr="00C94719" w:rsidRDefault="00C94719" w:rsidP="00C94719">
            <w:pPr>
              <w:spacing w:after="120" w:line="240" w:lineRule="auto"/>
              <w:jc w:val="left"/>
              <w:rPr>
                <w:rFonts w:eastAsia="Calibri"/>
                <w:kern w:val="2"/>
                <w:lang w:val="en-GB"/>
                <w14:ligatures w14:val="standardContextual"/>
              </w:rPr>
            </w:pPr>
            <w:r w:rsidRPr="00C94719">
              <w:rPr>
                <w:rFonts w:eastAsia="Calibri"/>
                <w:kern w:val="2"/>
                <w:lang w:val="en-GB"/>
                <w14:ligatures w14:val="standardContextual"/>
              </w:rPr>
              <w:t>New portable computers at disposal of teachers</w:t>
            </w:r>
          </w:p>
          <w:p w14:paraId="1E58B027" w14:textId="77777777" w:rsidR="00C94719" w:rsidRPr="00C94719" w:rsidRDefault="00C94719" w:rsidP="00C94719">
            <w:pPr>
              <w:spacing w:after="120" w:line="240" w:lineRule="auto"/>
              <w:jc w:val="left"/>
              <w:rPr>
                <w:rFonts w:eastAsia="Calibri"/>
                <w:kern w:val="2"/>
                <w:lang w:val="en-GB"/>
                <w14:ligatures w14:val="standardContextual"/>
              </w:rPr>
            </w:pPr>
            <w:r w:rsidRPr="00C94719">
              <w:rPr>
                <w:rFonts w:eastAsia="Calibri"/>
                <w:kern w:val="2"/>
                <w:lang w:val="en-GB"/>
                <w14:ligatures w14:val="standardContextual"/>
              </w:rPr>
              <w:t>Description of each milestone and target:</w:t>
            </w:r>
          </w:p>
          <w:p w14:paraId="4B6A7DE4" w14:textId="77777777" w:rsidR="00C94719" w:rsidRPr="00C94719" w:rsidRDefault="00C94719" w:rsidP="00C94719">
            <w:pPr>
              <w:spacing w:after="120" w:line="240" w:lineRule="auto"/>
              <w:jc w:val="left"/>
              <w:rPr>
                <w:rFonts w:eastAsia="Calibri"/>
                <w:kern w:val="2"/>
                <w:lang w:val="en-GB"/>
                <w14:ligatures w14:val="standardContextual"/>
              </w:rPr>
            </w:pPr>
            <w:r w:rsidRPr="00C94719">
              <w:rPr>
                <w:rFonts w:eastAsia="Calibri"/>
                <w:kern w:val="2"/>
                <w:lang w:val="en-GB"/>
                <w14:ligatures w14:val="standardContextual"/>
              </w:rPr>
              <w:t>At least 465 000 additional portable computers with necessary software provided, via a voucher scheme, to schools for teachers to use. All teachers shall be entitled to a voucher and vouchers shall be made available as of 31 December 2023. The investment shall be carried out in full compliance with the DNSH Technical Guidance (2021/C 58/01), in particular with regard to requirements related to energy efficiency, material efficiency and recycling.</w:t>
            </w:r>
          </w:p>
        </w:tc>
        <w:tc>
          <w:tcPr>
            <w:tcW w:w="1907" w:type="pct"/>
          </w:tcPr>
          <w:p w14:paraId="4F6C76BC" w14:textId="77777777" w:rsidR="00C94719" w:rsidRPr="00C94719" w:rsidRDefault="00C94719" w:rsidP="00C94719">
            <w:pPr>
              <w:spacing w:after="120" w:line="240" w:lineRule="auto"/>
              <w:jc w:val="left"/>
              <w:rPr>
                <w:rFonts w:eastAsia="Calibri"/>
                <w:kern w:val="2"/>
                <w:lang w:val="en-GB"/>
                <w14:ligatures w14:val="standardContextual"/>
              </w:rPr>
            </w:pPr>
            <w:r w:rsidRPr="00C94719">
              <w:rPr>
                <w:rFonts w:eastAsia="Calibri"/>
                <w:kern w:val="2"/>
                <w:lang w:val="en-GB"/>
                <w14:ligatures w14:val="standardContextual"/>
              </w:rPr>
              <w:lastRenderedPageBreak/>
              <w:t>C14G</w:t>
            </w:r>
          </w:p>
          <w:p w14:paraId="0F13DB26" w14:textId="77777777" w:rsidR="00C94719" w:rsidRPr="00C94719" w:rsidRDefault="00C94719" w:rsidP="00C94719">
            <w:pPr>
              <w:spacing w:after="120" w:line="240" w:lineRule="auto"/>
              <w:jc w:val="left"/>
              <w:rPr>
                <w:rFonts w:eastAsia="Calibri"/>
                <w:kern w:val="2"/>
                <w:lang w:val="en-GB"/>
                <w14:ligatures w14:val="standardContextual"/>
              </w:rPr>
            </w:pPr>
            <w:r w:rsidRPr="00C94719">
              <w:rPr>
                <w:rFonts w:eastAsia="Calibri"/>
                <w:kern w:val="2"/>
                <w:lang w:val="en-GB"/>
                <w14:ligatures w14:val="standardContextual"/>
              </w:rPr>
              <w:t>Unit of measure: Number</w:t>
            </w:r>
          </w:p>
          <w:p w14:paraId="07CAF3E9" w14:textId="77777777" w:rsidR="00C94719" w:rsidRPr="00C94719" w:rsidRDefault="00C94719" w:rsidP="00C94719">
            <w:pPr>
              <w:spacing w:after="120" w:line="240" w:lineRule="auto"/>
              <w:jc w:val="left"/>
              <w:rPr>
                <w:rFonts w:eastAsia="Calibri"/>
                <w:kern w:val="2"/>
                <w:lang w:val="en-GB"/>
                <w14:ligatures w14:val="standardContextual"/>
              </w:rPr>
            </w:pPr>
            <w:r w:rsidRPr="00C94719">
              <w:rPr>
                <w:rFonts w:eastAsia="Calibri"/>
                <w:kern w:val="2"/>
                <w:lang w:val="en-GB"/>
                <w14:ligatures w14:val="standardContextual"/>
              </w:rPr>
              <w:t>Baseline: 0</w:t>
            </w:r>
          </w:p>
          <w:p w14:paraId="0FFBE07A" w14:textId="77777777" w:rsidR="00C94719" w:rsidRPr="00C94719" w:rsidRDefault="00C94719" w:rsidP="00C94719">
            <w:pPr>
              <w:spacing w:after="120" w:line="240" w:lineRule="auto"/>
              <w:jc w:val="left"/>
              <w:rPr>
                <w:rFonts w:eastAsia="Calibri"/>
                <w:kern w:val="2"/>
                <w:lang w:val="en-GB"/>
                <w14:ligatures w14:val="standardContextual"/>
              </w:rPr>
            </w:pPr>
            <w:r w:rsidRPr="00C94719">
              <w:rPr>
                <w:rFonts w:eastAsia="Calibri"/>
                <w:kern w:val="2"/>
                <w:lang w:val="en-GB"/>
                <w14:ligatures w14:val="standardContextual"/>
              </w:rPr>
              <w:t>Goal: 465 000</w:t>
            </w:r>
          </w:p>
          <w:p w14:paraId="4CDF6FF4" w14:textId="77777777" w:rsidR="00C94719" w:rsidRPr="00C94719" w:rsidRDefault="00C94719" w:rsidP="00C94719">
            <w:pPr>
              <w:spacing w:after="120" w:line="240" w:lineRule="auto"/>
              <w:jc w:val="left"/>
              <w:rPr>
                <w:rFonts w:eastAsia="Calibri"/>
                <w:kern w:val="2"/>
                <w:lang w:val="en-GB"/>
                <w14:ligatures w14:val="standardContextual"/>
              </w:rPr>
            </w:pPr>
            <w:r w:rsidRPr="00C94719">
              <w:rPr>
                <w:rFonts w:eastAsia="Calibri"/>
                <w:kern w:val="2"/>
                <w:lang w:val="en-GB"/>
                <w14:ligatures w14:val="standardContextual"/>
              </w:rPr>
              <w:lastRenderedPageBreak/>
              <w:t>Quarter: IV</w:t>
            </w:r>
          </w:p>
          <w:p w14:paraId="32D6AFFE" w14:textId="77777777" w:rsidR="00C94719" w:rsidRPr="00C94719" w:rsidRDefault="00C94719" w:rsidP="00C94719">
            <w:pPr>
              <w:spacing w:after="120" w:line="240" w:lineRule="auto"/>
              <w:jc w:val="left"/>
              <w:rPr>
                <w:rFonts w:eastAsia="Calibri"/>
                <w:kern w:val="2"/>
                <w:lang w:val="en-GB"/>
                <w14:ligatures w14:val="standardContextual"/>
              </w:rPr>
            </w:pPr>
            <w:r w:rsidRPr="00C94719">
              <w:rPr>
                <w:rFonts w:eastAsia="Calibri"/>
                <w:kern w:val="2"/>
                <w:lang w:val="en-GB"/>
                <w14:ligatures w14:val="standardContextual"/>
              </w:rPr>
              <w:t xml:space="preserve">Year: 2025 </w:t>
            </w:r>
          </w:p>
          <w:p w14:paraId="712A80A2" w14:textId="77777777" w:rsidR="00C94719" w:rsidRPr="00C94719" w:rsidRDefault="00C94719" w:rsidP="00C94719">
            <w:pPr>
              <w:spacing w:after="120" w:line="240" w:lineRule="auto"/>
              <w:jc w:val="left"/>
              <w:rPr>
                <w:rFonts w:eastAsia="Calibri"/>
                <w:kern w:val="2"/>
                <w:lang w:val="en-GB"/>
                <w14:ligatures w14:val="standardContextual"/>
              </w:rPr>
            </w:pPr>
            <w:r w:rsidRPr="00C94719">
              <w:rPr>
                <w:rFonts w:eastAsia="Calibri"/>
                <w:kern w:val="2"/>
                <w:lang w:val="en-GB"/>
                <w14:ligatures w14:val="standardContextual"/>
              </w:rPr>
              <w:t>Name:</w:t>
            </w:r>
          </w:p>
          <w:p w14:paraId="0695AD22" w14:textId="77777777" w:rsidR="00C94719" w:rsidRPr="00C94719" w:rsidRDefault="00C94719" w:rsidP="00C94719">
            <w:pPr>
              <w:spacing w:after="120" w:line="240" w:lineRule="auto"/>
              <w:jc w:val="left"/>
              <w:rPr>
                <w:rFonts w:eastAsia="Calibri"/>
                <w:kern w:val="2"/>
                <w:lang w:val="en-GB"/>
                <w14:ligatures w14:val="standardContextual"/>
              </w:rPr>
            </w:pPr>
            <w:r w:rsidRPr="00C94719">
              <w:rPr>
                <w:rFonts w:eastAsia="Calibri"/>
                <w:kern w:val="2"/>
                <w:lang w:val="en-GB"/>
                <w14:ligatures w14:val="standardContextual"/>
              </w:rPr>
              <w:t>New portable computers at disposal of teachers</w:t>
            </w:r>
          </w:p>
          <w:p w14:paraId="371FA295" w14:textId="77777777" w:rsidR="00C94719" w:rsidRPr="00C94719" w:rsidRDefault="00C94719" w:rsidP="00C94719">
            <w:pPr>
              <w:spacing w:after="120" w:line="240" w:lineRule="auto"/>
              <w:jc w:val="left"/>
              <w:rPr>
                <w:rFonts w:eastAsia="Calibri"/>
                <w:kern w:val="2"/>
                <w:lang w:val="en-GB"/>
                <w14:ligatures w14:val="standardContextual"/>
              </w:rPr>
            </w:pPr>
            <w:r w:rsidRPr="00C94719">
              <w:rPr>
                <w:rFonts w:eastAsia="Calibri"/>
                <w:kern w:val="2"/>
                <w:lang w:val="en-GB"/>
                <w14:ligatures w14:val="standardContextual"/>
              </w:rPr>
              <w:t>Description of each milestone and target:</w:t>
            </w:r>
          </w:p>
          <w:p w14:paraId="53ACEE91" w14:textId="77777777" w:rsidR="00C94719" w:rsidRPr="00C94719" w:rsidRDefault="00C94719" w:rsidP="00C94719">
            <w:pPr>
              <w:spacing w:after="120" w:line="240" w:lineRule="auto"/>
              <w:jc w:val="left"/>
              <w:rPr>
                <w:rFonts w:eastAsia="Calibri"/>
                <w:kern w:val="2"/>
                <w:lang w:val="en-GB"/>
                <w14:ligatures w14:val="standardContextual"/>
              </w:rPr>
            </w:pPr>
            <w:r w:rsidRPr="00C94719">
              <w:rPr>
                <w:rFonts w:eastAsia="Calibri"/>
                <w:kern w:val="2"/>
                <w:lang w:val="en-GB"/>
                <w14:ligatures w14:val="standardContextual"/>
              </w:rPr>
              <w:t xml:space="preserve">At least </w:t>
            </w:r>
            <w:r w:rsidRPr="00C94719">
              <w:rPr>
                <w:rFonts w:eastAsia="Calibri"/>
                <w:strike/>
                <w:color w:val="FF0000"/>
                <w:kern w:val="2"/>
                <w:lang w:val="en-GB"/>
                <w14:ligatures w14:val="standardContextual"/>
              </w:rPr>
              <w:t>465 000</w:t>
            </w:r>
            <w:r w:rsidRPr="00C94719">
              <w:rPr>
                <w:rFonts w:eastAsia="Calibri"/>
                <w:color w:val="FF0000"/>
                <w:kern w:val="2"/>
                <w:lang w:val="en-GB"/>
                <w14:ligatures w14:val="standardContextual"/>
              </w:rPr>
              <w:t xml:space="preserve"> 553 336 </w:t>
            </w:r>
            <w:r w:rsidRPr="00C94719">
              <w:rPr>
                <w:rFonts w:eastAsia="Calibri"/>
                <w:kern w:val="2"/>
                <w:lang w:val="en-GB"/>
                <w14:ligatures w14:val="standardContextual"/>
              </w:rPr>
              <w:t>additional portable computers with necessary software provided, via a voucher scheme, to schools for teachers to use. All teachers shall be entitled to a voucher and vouchers shall be made available as of 31 December 2023. The investment shall be carried out in full compliance with the DNSH Technical Guidance (2021/C 58/01), in particular with regard to requirements related to energy efficiency, material efficiency and recycling.</w:t>
            </w:r>
          </w:p>
        </w:tc>
      </w:tr>
      <w:tr w:rsidR="00C94719" w:rsidRPr="00C94719" w14:paraId="21524952" w14:textId="77777777" w:rsidTr="00F72BD7">
        <w:tc>
          <w:tcPr>
            <w:tcW w:w="1173" w:type="pct"/>
            <w:vMerge w:val="restart"/>
          </w:tcPr>
          <w:p w14:paraId="0A5BADA9"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lastRenderedPageBreak/>
              <w:t>Kamień milowy lub wskaźnik</w:t>
            </w:r>
          </w:p>
          <w:p w14:paraId="7A21EEB4" w14:textId="77777777" w:rsidR="00C94719" w:rsidRPr="00C94719" w:rsidRDefault="00C94719" w:rsidP="00C94719">
            <w:pPr>
              <w:spacing w:after="120" w:line="240" w:lineRule="auto"/>
              <w:jc w:val="left"/>
              <w:rPr>
                <w:rFonts w:eastAsia="Calibri"/>
                <w:kern w:val="2"/>
                <w14:ligatures w14:val="standardContextual"/>
              </w:rPr>
            </w:pPr>
          </w:p>
        </w:tc>
        <w:tc>
          <w:tcPr>
            <w:tcW w:w="1920" w:type="pct"/>
          </w:tcPr>
          <w:p w14:paraId="02CF6615" w14:textId="77777777" w:rsidR="00C94719" w:rsidRPr="00C94719" w:rsidRDefault="00C94719" w:rsidP="00C94719">
            <w:pPr>
              <w:spacing w:after="120" w:line="240" w:lineRule="auto"/>
              <w:jc w:val="left"/>
              <w:rPr>
                <w:kern w:val="2"/>
                <w14:ligatures w14:val="standardContextual"/>
              </w:rPr>
            </w:pPr>
            <w:r w:rsidRPr="00C94719">
              <w:rPr>
                <w:kern w:val="2"/>
                <w14:ligatures w14:val="standardContextual"/>
              </w:rPr>
              <w:t>C15G – Nowe komputery przenośne do dyspozycji uczniów</w:t>
            </w:r>
          </w:p>
          <w:p w14:paraId="698BDC50" w14:textId="77777777" w:rsidR="00C94719" w:rsidRPr="00C94719" w:rsidRDefault="00C94719" w:rsidP="00C94719">
            <w:pPr>
              <w:spacing w:after="120" w:line="240" w:lineRule="auto"/>
              <w:jc w:val="left"/>
              <w:rPr>
                <w:kern w:val="2"/>
                <w14:ligatures w14:val="standardContextual"/>
              </w:rPr>
            </w:pPr>
          </w:p>
          <w:p w14:paraId="358FDB1B" w14:textId="77777777" w:rsidR="00C94719" w:rsidRPr="00C94719" w:rsidRDefault="00C94719" w:rsidP="00C94719">
            <w:pPr>
              <w:spacing w:after="120" w:line="240" w:lineRule="auto"/>
              <w:jc w:val="left"/>
              <w:rPr>
                <w:kern w:val="2"/>
                <w14:ligatures w14:val="standardContextual"/>
              </w:rPr>
            </w:pPr>
            <w:r w:rsidRPr="00C94719">
              <w:rPr>
                <w:kern w:val="2"/>
                <w14:ligatures w14:val="standardContextual"/>
              </w:rPr>
              <w:t xml:space="preserve">Opis wskaźnika: </w:t>
            </w:r>
          </w:p>
          <w:p w14:paraId="6AD576D1" w14:textId="77777777" w:rsidR="00C94719" w:rsidRPr="00C94719" w:rsidRDefault="00C94719" w:rsidP="00C94719">
            <w:pPr>
              <w:spacing w:after="120" w:line="240" w:lineRule="auto"/>
              <w:jc w:val="left"/>
              <w:rPr>
                <w:kern w:val="2"/>
                <w14:ligatures w14:val="standardContextual"/>
              </w:rPr>
            </w:pPr>
            <w:r w:rsidRPr="00C94719">
              <w:rPr>
                <w:kern w:val="2"/>
                <w14:ligatures w14:val="standardContextual"/>
              </w:rPr>
              <w:t>„Co najmniej 735 000 dodatkowych przenośnych komputerów z niezbędnym oprogramowaniem dostarczonych do szkół do użytku uczniów. We współpracy z samorządami terytorialnymi ustanawia się sprawiedliwą i przejrzystą procedurę przydziału przenośnych komputerów z oprogramowaniem, zapewniającą równe traktowanie wszystkich szkół i instytucji edukacyjnych. Inwestycja będzie realizowana w pełnej zgodności z wytycznymi technicznymi dotyczącymi stosowania zasady „nie czyń poważnych szkód” (2021/C 58/01), w szczególności w zakresie wymogów dotyczących efektywności energetycznej, efektywności materiałowej oraz recyklingu.”</w:t>
            </w:r>
          </w:p>
          <w:p w14:paraId="1A3C323B" w14:textId="77777777" w:rsidR="00C94719" w:rsidRPr="00C94719" w:rsidRDefault="00C94719" w:rsidP="00C94719">
            <w:pPr>
              <w:spacing w:after="120" w:line="240" w:lineRule="auto"/>
              <w:jc w:val="left"/>
              <w:rPr>
                <w:kern w:val="2"/>
                <w14:ligatures w14:val="standardContextual"/>
              </w:rPr>
            </w:pPr>
          </w:p>
          <w:p w14:paraId="125FB01E" w14:textId="77777777" w:rsidR="00C94719" w:rsidRPr="00C94719" w:rsidRDefault="00C94719" w:rsidP="00C94719">
            <w:pPr>
              <w:spacing w:after="120" w:line="240" w:lineRule="auto"/>
              <w:jc w:val="left"/>
              <w:rPr>
                <w:rFonts w:eastAsia="Calibri"/>
                <w:kern w:val="2"/>
                <w14:ligatures w14:val="standardContextual"/>
              </w:rPr>
            </w:pPr>
          </w:p>
        </w:tc>
        <w:tc>
          <w:tcPr>
            <w:tcW w:w="1907" w:type="pct"/>
          </w:tcPr>
          <w:p w14:paraId="7BF42897" w14:textId="77777777" w:rsidR="00C94719" w:rsidRPr="00C94719" w:rsidRDefault="00C94719" w:rsidP="00C94719">
            <w:pPr>
              <w:spacing w:after="120" w:line="240" w:lineRule="auto"/>
              <w:jc w:val="left"/>
              <w:rPr>
                <w:kern w:val="2"/>
                <w14:ligatures w14:val="standardContextual"/>
              </w:rPr>
            </w:pPr>
            <w:r w:rsidRPr="00C94719">
              <w:rPr>
                <w:kern w:val="2"/>
                <w14:ligatures w14:val="standardContextual"/>
              </w:rPr>
              <w:t xml:space="preserve">C15G - Nowe komputery przenośne </w:t>
            </w:r>
            <w:r w:rsidRPr="00C94719">
              <w:rPr>
                <w:color w:val="FF0000"/>
                <w:kern w:val="2"/>
                <w14:ligatures w14:val="standardContextual"/>
              </w:rPr>
              <w:t xml:space="preserve">lub tablety </w:t>
            </w:r>
            <w:r w:rsidRPr="00C94719">
              <w:rPr>
                <w:kern w:val="2"/>
                <w14:ligatures w14:val="standardContextual"/>
              </w:rPr>
              <w:t xml:space="preserve">do dyspozycji uczniów  </w:t>
            </w:r>
            <w:r w:rsidRPr="00C94719">
              <w:rPr>
                <w:kern w:val="2"/>
                <w14:ligatures w14:val="standardContextual"/>
              </w:rPr>
              <w:br/>
            </w:r>
          </w:p>
          <w:p w14:paraId="60C623D0" w14:textId="77777777" w:rsidR="00C94719" w:rsidRPr="00C94719" w:rsidRDefault="00C94719" w:rsidP="00C94719">
            <w:pPr>
              <w:spacing w:after="120" w:line="240" w:lineRule="auto"/>
              <w:jc w:val="left"/>
              <w:rPr>
                <w:kern w:val="2"/>
                <w14:ligatures w14:val="standardContextual"/>
              </w:rPr>
            </w:pPr>
            <w:r w:rsidRPr="00C94719">
              <w:rPr>
                <w:kern w:val="2"/>
                <w14:ligatures w14:val="standardContextual"/>
              </w:rPr>
              <w:t xml:space="preserve">Opis wskaźnika: </w:t>
            </w:r>
          </w:p>
          <w:p w14:paraId="2C58BF40" w14:textId="77777777" w:rsidR="00C94719" w:rsidRPr="00C94719" w:rsidRDefault="00C94719" w:rsidP="00C94719">
            <w:pPr>
              <w:spacing w:after="120" w:line="240" w:lineRule="auto"/>
              <w:jc w:val="left"/>
              <w:rPr>
                <w:kern w:val="2"/>
                <w14:ligatures w14:val="standardContextual"/>
              </w:rPr>
            </w:pPr>
            <w:r w:rsidRPr="00C94719">
              <w:rPr>
                <w:kern w:val="2"/>
                <w14:ligatures w14:val="standardContextual"/>
              </w:rPr>
              <w:t xml:space="preserve">„Co najmniej 735 000 dodatkowych przenośnych komputerów </w:t>
            </w:r>
            <w:r w:rsidRPr="00C94719">
              <w:rPr>
                <w:color w:val="FF0000"/>
                <w:kern w:val="2"/>
                <w14:ligatures w14:val="standardContextual"/>
              </w:rPr>
              <w:t xml:space="preserve">lub tabletów </w:t>
            </w:r>
            <w:r w:rsidRPr="00C94719">
              <w:rPr>
                <w:kern w:val="2"/>
                <w14:ligatures w14:val="standardContextual"/>
              </w:rPr>
              <w:t>z niezbędnym oprogramowaniem dostarczonych do szkół do użytku uczniów. We współpracy z samorządami terytorialnymi ustanawia się sprawiedliwą i przejrzystą procedurę przydziału przenośnych komputerów z oprogramowaniem, zapewniającą równe traktowanie wszystkich szkół i instytucji edukacyjnych. Inwestycja będzie realizowana w pełnej zgodności z wytycznymi technicznymi dotyczącymi stosowania zasady „nie czyń poważnych szkód” (2021/C 58/01), w szczególności w zakresie wymogów dotyczących efektywności energetycznej, efektywności materiałowej oraz recyklingu”</w:t>
            </w:r>
          </w:p>
          <w:p w14:paraId="63ADC82C" w14:textId="77777777" w:rsidR="00C94719" w:rsidRPr="00C94719" w:rsidRDefault="00C94719" w:rsidP="00C94719">
            <w:pPr>
              <w:spacing w:after="120" w:line="240" w:lineRule="auto"/>
              <w:jc w:val="left"/>
              <w:rPr>
                <w:kern w:val="2"/>
                <w14:ligatures w14:val="standardContextual"/>
              </w:rPr>
            </w:pPr>
          </w:p>
          <w:p w14:paraId="1CE53C98" w14:textId="77777777" w:rsidR="00C94719" w:rsidRPr="00C94719" w:rsidRDefault="00C94719" w:rsidP="00C94719">
            <w:pPr>
              <w:spacing w:after="120" w:line="240" w:lineRule="auto"/>
              <w:jc w:val="left"/>
              <w:rPr>
                <w:rFonts w:eastAsia="Calibri"/>
                <w:kern w:val="2"/>
                <w14:ligatures w14:val="standardContextual"/>
              </w:rPr>
            </w:pPr>
          </w:p>
        </w:tc>
      </w:tr>
      <w:tr w:rsidR="00C94719" w:rsidRPr="00935797" w14:paraId="0D41FF2F" w14:textId="77777777" w:rsidTr="00F72BD7">
        <w:tc>
          <w:tcPr>
            <w:tcW w:w="1173" w:type="pct"/>
            <w:vMerge/>
          </w:tcPr>
          <w:p w14:paraId="6CD387CF" w14:textId="77777777" w:rsidR="00C94719" w:rsidRPr="00C94719" w:rsidRDefault="00C94719" w:rsidP="00C94719">
            <w:pPr>
              <w:spacing w:after="120" w:line="240" w:lineRule="auto"/>
              <w:jc w:val="left"/>
              <w:rPr>
                <w:rFonts w:eastAsia="Calibri"/>
                <w:kern w:val="2"/>
                <w14:ligatures w14:val="standardContextual"/>
              </w:rPr>
            </w:pPr>
          </w:p>
        </w:tc>
        <w:tc>
          <w:tcPr>
            <w:tcW w:w="1920" w:type="pct"/>
          </w:tcPr>
          <w:p w14:paraId="5428A42C" w14:textId="46D06810" w:rsidR="00C94719" w:rsidRPr="00C94719" w:rsidRDefault="00C94719" w:rsidP="00C94719">
            <w:pPr>
              <w:spacing w:after="120" w:line="240" w:lineRule="auto"/>
              <w:jc w:val="left"/>
              <w:rPr>
                <w:kern w:val="2"/>
                <w:lang w:val="en-GB"/>
                <w14:ligatures w14:val="standardContextual"/>
              </w:rPr>
            </w:pPr>
            <w:r w:rsidRPr="00C94719">
              <w:rPr>
                <w:kern w:val="2"/>
                <w:lang w:val="en-GB"/>
                <w14:ligatures w14:val="standardContextual"/>
              </w:rPr>
              <w:t>C15G - New portable computers at disposal of students</w:t>
            </w:r>
          </w:p>
          <w:p w14:paraId="47694585" w14:textId="43F46680" w:rsidR="00C94719" w:rsidRPr="00A501D9" w:rsidRDefault="00C94719" w:rsidP="00C94719">
            <w:pPr>
              <w:spacing w:after="120" w:line="240" w:lineRule="auto"/>
              <w:jc w:val="left"/>
              <w:rPr>
                <w:kern w:val="2"/>
                <w:lang w:val="en-GB"/>
                <w14:ligatures w14:val="standardContextual"/>
              </w:rPr>
            </w:pPr>
            <w:r w:rsidRPr="00C94719">
              <w:rPr>
                <w:kern w:val="2"/>
                <w:lang w:val="en-GB"/>
                <w14:ligatures w14:val="standardContextual"/>
              </w:rPr>
              <w:t>Description of target: „At least 735 000 additional portable computers with necessary software provided to schools for students to use. Fair and transparent procedure for the allocation of portable computers with software ensuring equal treatment to all schools and educational institutions shall be established in cooperation with local governments. The investment shall be carried out in full compliance with the DNSH Technical Guidance (2021/C 58/01), in particular with regard to requirements related to energy efficiency, material efficiency and recycling.”</w:t>
            </w:r>
          </w:p>
        </w:tc>
        <w:tc>
          <w:tcPr>
            <w:tcW w:w="1907" w:type="pct"/>
          </w:tcPr>
          <w:p w14:paraId="17A58C52" w14:textId="4435185C" w:rsidR="00C94719" w:rsidRPr="00C94719" w:rsidRDefault="00C94719" w:rsidP="00C94719">
            <w:pPr>
              <w:spacing w:after="120" w:line="240" w:lineRule="auto"/>
              <w:jc w:val="left"/>
              <w:rPr>
                <w:kern w:val="2"/>
                <w:lang w:val="en-GB"/>
                <w14:ligatures w14:val="standardContextual"/>
              </w:rPr>
            </w:pPr>
            <w:r w:rsidRPr="00C94719">
              <w:rPr>
                <w:kern w:val="2"/>
                <w:lang w:val="en-GB"/>
                <w14:ligatures w14:val="standardContextual"/>
              </w:rPr>
              <w:t xml:space="preserve">C15G - New portable computers </w:t>
            </w:r>
            <w:r w:rsidRPr="00C94719">
              <w:rPr>
                <w:color w:val="FF0000"/>
                <w:kern w:val="2"/>
                <w:lang w:val="en-GB"/>
                <w14:ligatures w14:val="standardContextual"/>
              </w:rPr>
              <w:t xml:space="preserve">or tablets </w:t>
            </w:r>
            <w:r w:rsidRPr="00C94719">
              <w:rPr>
                <w:kern w:val="2"/>
                <w:lang w:val="en-GB"/>
                <w14:ligatures w14:val="standardContextual"/>
              </w:rPr>
              <w:t>at disposal of students</w:t>
            </w:r>
          </w:p>
          <w:p w14:paraId="34326B0F" w14:textId="120D179E" w:rsidR="00C94719" w:rsidRPr="00A501D9" w:rsidRDefault="00C94719" w:rsidP="00C94719">
            <w:pPr>
              <w:spacing w:after="120" w:line="240" w:lineRule="auto"/>
              <w:jc w:val="left"/>
              <w:rPr>
                <w:kern w:val="2"/>
                <w:lang w:val="en-GB"/>
                <w14:ligatures w14:val="standardContextual"/>
              </w:rPr>
            </w:pPr>
            <w:r w:rsidRPr="00C94719">
              <w:rPr>
                <w:kern w:val="2"/>
                <w:lang w:val="en-GB"/>
                <w14:ligatures w14:val="standardContextual"/>
              </w:rPr>
              <w:t xml:space="preserve">Description of target: „At least 735 000 additional portable computers </w:t>
            </w:r>
            <w:r w:rsidRPr="00C94719">
              <w:rPr>
                <w:color w:val="FF0000"/>
                <w:kern w:val="2"/>
                <w:lang w:val="en-GB"/>
                <w14:ligatures w14:val="standardContextual"/>
              </w:rPr>
              <w:t xml:space="preserve">or tablets </w:t>
            </w:r>
            <w:r w:rsidRPr="00C94719">
              <w:rPr>
                <w:kern w:val="2"/>
                <w:lang w:val="en-GB"/>
                <w14:ligatures w14:val="standardContextual"/>
              </w:rPr>
              <w:t>with necessary software provided to schools for students to use. Fair and transparent procedure for the allocation of portable computers with software ensuring equal treatment to all schools and educational institutions shall be established in cooperation with local governments. The investment shall be carried out in full compliance with the DNSH Technical Guidance (2021/C 58/01), in particular with regard to requirements related to energy efficiency, material efficiency and recycling.”</w:t>
            </w:r>
          </w:p>
        </w:tc>
      </w:tr>
      <w:tr w:rsidR="00C94719" w:rsidRPr="00C94719" w14:paraId="05D7DC83" w14:textId="77777777" w:rsidTr="00F72BD7">
        <w:tc>
          <w:tcPr>
            <w:tcW w:w="1173" w:type="pct"/>
          </w:tcPr>
          <w:p w14:paraId="37E774A8"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 xml:space="preserve">Uzasadnienie </w:t>
            </w:r>
          </w:p>
        </w:tc>
        <w:tc>
          <w:tcPr>
            <w:tcW w:w="3827" w:type="pct"/>
            <w:gridSpan w:val="2"/>
          </w:tcPr>
          <w:p w14:paraId="45732EEB"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C14G</w:t>
            </w:r>
          </w:p>
          <w:p w14:paraId="6EDBB7B3"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Zmiana ma charakter techniczny.</w:t>
            </w:r>
          </w:p>
          <w:p w14:paraId="7E232F0E"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 xml:space="preserve">Stosownie do pierwotnych założeń, zawartych w Załączniku do wniosku dotyczącego decyzji wykonawczej Rady w sprawie zatwierdzenia oceny planu odbudowy i zwiększania odporności Polski z dnia 1 czerwca 2022 r., po opracowaniu minimalnych wiążących standardów dotyczących sprzętu ICT wszystkie szkoły w Polsce zostaną wyposażone w najnowocześniejszy sprzęt multimedialny, z którego będą mogli korzystać nauczyciele i uczniowie. Miało to umożliwić wykorzystanie technologii cyfrowych w nauczaniu na równym poziomie w każdej szkole podstawowej i ponadpodstawowej w całej Polsce, </w:t>
            </w:r>
            <w:r w:rsidRPr="00C94719">
              <w:rPr>
                <w:rFonts w:eastAsia="Calibri"/>
                <w:b/>
                <w:bCs/>
                <w:kern w:val="2"/>
                <w14:ligatures w14:val="standardContextual"/>
              </w:rPr>
              <w:t>a docelowo zapewnić przenośne komputery wraz z oprogramowaniem co najmniej 90% nauczycieli</w:t>
            </w:r>
            <w:r w:rsidRPr="00C94719">
              <w:rPr>
                <w:rFonts w:eastAsia="Calibri"/>
                <w:kern w:val="2"/>
                <w14:ligatures w14:val="standardContextual"/>
              </w:rPr>
              <w:t xml:space="preserve"> (nauczyciele objęci wsparciem w ramach KPO oraz nauczyciele, którzy już posiadali wtedy sprzęt służbowy) oraz dostarczyć do szkół łącznie 1 200 000 laptopów, tak aby co najwyżej sześciu uczniów przypadało na jeden laptop.</w:t>
            </w:r>
          </w:p>
          <w:p w14:paraId="26D134FB"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 xml:space="preserve">Według przeprowadzonych wtedy wyliczeń (2020 r.), zakładano, że wsparcia w postaci sprzętu służbowego wymaga ok. 80% nauczycieli szkół podstawowych i ponadpodstawowych – czyli 465 tys. z ok. 580 tys. ówczesnych nauczycieli. </w:t>
            </w:r>
          </w:p>
          <w:p w14:paraId="42EA55A1"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 xml:space="preserve">W wyniku zmiany, dokonanej w 2023 r. (Załącznik do decyzji wykonawczej Rady zmieniającej decyzję wykonawczą z dnia 17 czerwca 2022 r. w sprawie zatwierdzenia oceny planu odbudowy i zwiększania odporności Polski z 24 listopada 2023 r. zapisano, że po opracowaniu minimalnych wiążących standardów dotyczących sprzętu ICT dzięki inwestycji C2.1.2 wszystkie szkoły w Polsce będą wyposażone w najnowocześniejszy sprzęt multimedialny, z którego będą mogli korzystać nauczyciele i uczniowie. Ma to na celu umożliwienie wykorzystania technologii cyfrowych w nauczaniu na równym poziomie w każdej szkole podstawowej i ponadpodstawowej w całej Polsce, </w:t>
            </w:r>
            <w:r w:rsidRPr="00A501D9">
              <w:rPr>
                <w:rFonts w:eastAsia="Calibri"/>
                <w:kern w:val="2"/>
                <w14:ligatures w14:val="standardContextual"/>
              </w:rPr>
              <w:t>a docelowo zapewnić nauczycielom, za pośrednictwem programu bonów, przenośnych komputerów wraz z oprogramowaniem oraz dostarczyć łącznie co najmniej 1 200 000 laptopów, tak aby co najwyżej</w:t>
            </w:r>
            <w:r w:rsidRPr="00C94719">
              <w:rPr>
                <w:rFonts w:eastAsia="Calibri"/>
                <w:kern w:val="2"/>
                <w14:ligatures w14:val="standardContextual"/>
              </w:rPr>
              <w:t xml:space="preserve"> sześciu uczniów przypadało na jeden laptop. </w:t>
            </w:r>
          </w:p>
          <w:p w14:paraId="32E3D02A"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lastRenderedPageBreak/>
              <w:t>Zmiana zapisu, dokonana w 2023 r., spowodowała, że literalnie wszyscy nauczyciele w szkołach podstawowych i ponadpodstawowych powinni zostać objęci wsparciem w postaci bonów, jednak w trakcie prac nie zaktualizowano innych zapisów i wyliczeń z tym związanych – czyli pozostawiono łączną sumę 1 200 000 laptopów dla uczniów i nauczycieli oraz liczbę 465 000 nowych komputerów dla nauczycieli.</w:t>
            </w:r>
          </w:p>
          <w:p w14:paraId="68B5AA74"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Obecna aktualizacja naprawia ten błąd i pozwoli objąć wsparciem w postaci bonów wszystkich nauczycieli w szkołach podstawowych i ponadpodstawowych, na I, II i III etapie edukacyjnym – czyli, według danych z Systemu Informacji Oświatowej na 24.04.2024, 553 336 nauczycieli.</w:t>
            </w:r>
          </w:p>
          <w:p w14:paraId="1C59241F"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Dodatkowo, zmiana ta jest spójna z zapisami, znajdującymi się w projekcie Polityki Cyfrowej Transformacji Edukacji, w szczególności w zakresie rozdziału 6 - Wyposażenie uczniów, nauczycieli i szkół.</w:t>
            </w:r>
          </w:p>
          <w:p w14:paraId="22CB7608"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C15G</w:t>
            </w:r>
          </w:p>
          <w:p w14:paraId="727BD04B"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Uwzględnienie tabletów w inwestycji C2.1.2 ma charakter techniczny i doprecyzowujący. Zmiana ta stanowi realizację zapisów Polityki Cyfrowej Transformacji Edukacji, gdzie laptopy i tablety jako uczniów traktowane są wymiennie. Tablety są także uwzględnione w nowelizacji rozporządzenia dot. podstawowych warunków niezbędnych do realizacji przez szkoły i nauczycieli zadań dydaktycznych, wychowawczych i opiekuńczych oraz programów nauczania. Rozporządzenie to określa minimalne standardy wyposażenia szkół. Należy także zaznaczyć, że postulat traktowania zamiennie laptopów i tabletów był także wielokrotnie zgłaszany przez różne podmioty w trakcie konsultacji publicznych propozycji rewizji KPO. Ponadto uwzględnienie tabletów zapewni efektywne wdrażanie wskaźnika w sytuacji kiedy nastąpił wyraźny wzrostu cen laptopów, na co wpłynęła utrzymująca się przez długi czas wysoka inflacja. Oprócz tego wzięto pod uwagę informacje przekazywane przez dostawców sprzętu o możliwych problemach z zapewnieniem adekwatnej liczby laptopów w wyniku o zakupów poczynionych w 2023 r.</w:t>
            </w:r>
          </w:p>
          <w:p w14:paraId="12F2C0B7"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Uszczegółowienie zapisów jasno wskazujące na możliwość zakupu zarówno laptopa, jak i tabletu. W przypadku uczniów pozwoli to na dopasowanie sprzętu do indywidualnych wymagań danego ucznia oraz szkoły.</w:t>
            </w:r>
          </w:p>
        </w:tc>
      </w:tr>
      <w:tr w:rsidR="00C94719" w:rsidRPr="00C94719" w14:paraId="15949A10" w14:textId="77777777" w:rsidTr="00F72BD7">
        <w:tc>
          <w:tcPr>
            <w:tcW w:w="1173" w:type="pct"/>
          </w:tcPr>
          <w:p w14:paraId="453351A0"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lastRenderedPageBreak/>
              <w:t>Szacowany Koszt</w:t>
            </w:r>
          </w:p>
        </w:tc>
        <w:tc>
          <w:tcPr>
            <w:tcW w:w="3827" w:type="pct"/>
            <w:gridSpan w:val="2"/>
          </w:tcPr>
          <w:p w14:paraId="5CCF3E44"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Zmiana dot. wskaźnika C14G spowoduje zwiększenie alokacji dla inwestycji C2.1.2 do poziomu 590 190 873 mln EUR. Dodatkowe środki (40 313 476 EUR) zostaną przesunięte z inwestycji C1.1.1.</w:t>
            </w:r>
          </w:p>
        </w:tc>
      </w:tr>
      <w:tr w:rsidR="00C94719" w:rsidRPr="00C94719" w14:paraId="1C6D7012" w14:textId="77777777" w:rsidTr="00F72BD7">
        <w:tc>
          <w:tcPr>
            <w:tcW w:w="1173" w:type="pct"/>
          </w:tcPr>
          <w:p w14:paraId="00E705BF"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Klimatyczny i cyfrowy tagging</w:t>
            </w:r>
          </w:p>
        </w:tc>
        <w:tc>
          <w:tcPr>
            <w:tcW w:w="3827" w:type="pct"/>
            <w:gridSpan w:val="2"/>
          </w:tcPr>
          <w:p w14:paraId="39D43120"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 xml:space="preserve">Zmiana jest neutralna z punktu widzenia utrzymania dotychczasowego taggingu klimatycznego i cyfrowego. </w:t>
            </w:r>
          </w:p>
        </w:tc>
      </w:tr>
      <w:tr w:rsidR="00C94719" w:rsidRPr="00C94719" w14:paraId="505DB2B5" w14:textId="77777777" w:rsidTr="00F72BD7">
        <w:tc>
          <w:tcPr>
            <w:tcW w:w="1173" w:type="pct"/>
          </w:tcPr>
          <w:p w14:paraId="2D712082"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 xml:space="preserve">Ocena DNSH </w:t>
            </w:r>
          </w:p>
        </w:tc>
        <w:tc>
          <w:tcPr>
            <w:tcW w:w="3827" w:type="pct"/>
            <w:gridSpan w:val="2"/>
          </w:tcPr>
          <w:p w14:paraId="67F8D704"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Zmiana jest neutralna z punktu widzenia zasady DNSH.</w:t>
            </w:r>
          </w:p>
        </w:tc>
      </w:tr>
      <w:tr w:rsidR="00C94719" w:rsidRPr="00C94719" w14:paraId="0DDCDD9D" w14:textId="77777777" w:rsidTr="00F72BD7">
        <w:tc>
          <w:tcPr>
            <w:tcW w:w="1173" w:type="pct"/>
          </w:tcPr>
          <w:p w14:paraId="359DA611"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Pomoc publiczna</w:t>
            </w:r>
          </w:p>
        </w:tc>
        <w:tc>
          <w:tcPr>
            <w:tcW w:w="3827" w:type="pct"/>
            <w:gridSpan w:val="2"/>
          </w:tcPr>
          <w:p w14:paraId="7BF8AB9F" w14:textId="77777777" w:rsidR="00C94719" w:rsidRPr="00C94719" w:rsidRDefault="00C94719" w:rsidP="00C94719">
            <w:pPr>
              <w:spacing w:after="120" w:line="240" w:lineRule="auto"/>
              <w:jc w:val="left"/>
              <w:rPr>
                <w:rFonts w:eastAsia="Calibri"/>
                <w:kern w:val="2"/>
                <w14:ligatures w14:val="standardContextual"/>
              </w:rPr>
            </w:pPr>
            <w:r w:rsidRPr="00C94719">
              <w:rPr>
                <w:rFonts w:eastAsia="Calibri"/>
                <w:kern w:val="2"/>
                <w14:ligatures w14:val="standardContextual"/>
              </w:rPr>
              <w:t>Nie dotyczy</w:t>
            </w:r>
          </w:p>
        </w:tc>
      </w:tr>
    </w:tbl>
    <w:p w14:paraId="66C58E1E" w14:textId="77777777" w:rsidR="00973E7F" w:rsidRPr="00C45526" w:rsidRDefault="00973E7F" w:rsidP="00491CB3">
      <w:pPr>
        <w:spacing w:after="120" w:line="240" w:lineRule="auto"/>
        <w:jc w:val="left"/>
        <w:rPr>
          <w:rFonts w:eastAsia="Calibri"/>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3339"/>
        <w:gridCol w:w="3551"/>
      </w:tblGrid>
      <w:tr w:rsidR="00491CB3" w:rsidRPr="00E0193B" w14:paraId="28C9CC01" w14:textId="77777777" w:rsidTr="008C1B0D">
        <w:tc>
          <w:tcPr>
            <w:tcW w:w="1088" w:type="pct"/>
          </w:tcPr>
          <w:p w14:paraId="3BB102A8" w14:textId="77777777" w:rsidR="00491CB3" w:rsidRPr="00E0193B" w:rsidRDefault="00491CB3" w:rsidP="00491CB3">
            <w:pPr>
              <w:spacing w:after="120" w:line="240" w:lineRule="auto"/>
              <w:jc w:val="left"/>
              <w:rPr>
                <w:rFonts w:eastAsia="Calibri"/>
                <w:b/>
                <w:bCs/>
              </w:rPr>
            </w:pPr>
            <w:r w:rsidRPr="00E0193B">
              <w:rPr>
                <w:rFonts w:eastAsia="Calibri"/>
                <w:b/>
                <w:bCs/>
              </w:rPr>
              <w:t>Numer reformy</w:t>
            </w:r>
          </w:p>
        </w:tc>
        <w:tc>
          <w:tcPr>
            <w:tcW w:w="3912" w:type="pct"/>
            <w:gridSpan w:val="2"/>
          </w:tcPr>
          <w:p w14:paraId="10BFCA8A" w14:textId="77777777" w:rsidR="00491CB3" w:rsidRPr="00E0193B" w:rsidRDefault="00491CB3" w:rsidP="00491CB3">
            <w:pPr>
              <w:spacing w:after="120" w:line="240" w:lineRule="auto"/>
              <w:jc w:val="left"/>
              <w:rPr>
                <w:rFonts w:eastAsia="Calibri"/>
                <w:b/>
                <w:bCs/>
              </w:rPr>
            </w:pPr>
            <w:r w:rsidRPr="00E0193B">
              <w:rPr>
                <w:rFonts w:eastAsia="Calibri"/>
                <w:b/>
                <w:bCs/>
              </w:rPr>
              <w:t>C3.1.</w:t>
            </w:r>
          </w:p>
        </w:tc>
      </w:tr>
      <w:tr w:rsidR="00491CB3" w:rsidRPr="00E0193B" w14:paraId="3DE7045B" w14:textId="77777777" w:rsidTr="008C1B0D">
        <w:tc>
          <w:tcPr>
            <w:tcW w:w="1088" w:type="pct"/>
          </w:tcPr>
          <w:p w14:paraId="60A3FADC" w14:textId="77777777" w:rsidR="00491CB3" w:rsidRPr="00E0193B" w:rsidRDefault="00491CB3" w:rsidP="00491CB3">
            <w:pPr>
              <w:spacing w:after="120" w:line="240" w:lineRule="auto"/>
              <w:jc w:val="left"/>
              <w:rPr>
                <w:rFonts w:eastAsia="Calibri"/>
                <w:b/>
                <w:bCs/>
              </w:rPr>
            </w:pPr>
            <w:r w:rsidRPr="00E0193B">
              <w:rPr>
                <w:rFonts w:eastAsia="Calibri"/>
                <w:b/>
                <w:bCs/>
              </w:rPr>
              <w:t>Nazwa reformy</w:t>
            </w:r>
          </w:p>
        </w:tc>
        <w:tc>
          <w:tcPr>
            <w:tcW w:w="3912" w:type="pct"/>
            <w:gridSpan w:val="2"/>
          </w:tcPr>
          <w:p w14:paraId="0DDBA21E" w14:textId="77777777" w:rsidR="00491CB3" w:rsidRPr="00E0193B" w:rsidRDefault="00491CB3" w:rsidP="00491CB3">
            <w:pPr>
              <w:spacing w:after="120" w:line="240" w:lineRule="auto"/>
              <w:jc w:val="left"/>
              <w:rPr>
                <w:rFonts w:eastAsia="Calibri"/>
                <w:b/>
                <w:bCs/>
              </w:rPr>
            </w:pPr>
            <w:r w:rsidRPr="00E0193B">
              <w:rPr>
                <w:rFonts w:eastAsia="Calibri"/>
                <w:b/>
                <w:bCs/>
              </w:rPr>
              <w:t>Zwiększenie cyberbezpieczeństwa systemów informacyjnych, wzmocnienie infrastruktury przetwarzania danych oraz optymalizacja infrastruktury organów ścigania</w:t>
            </w:r>
          </w:p>
        </w:tc>
      </w:tr>
      <w:tr w:rsidR="00491CB3" w:rsidRPr="00E0193B" w14:paraId="5F95F3C7" w14:textId="77777777" w:rsidTr="008C1B0D">
        <w:tc>
          <w:tcPr>
            <w:tcW w:w="1088" w:type="pct"/>
            <w:shd w:val="clear" w:color="auto" w:fill="auto"/>
          </w:tcPr>
          <w:p w14:paraId="629EFE62" w14:textId="77777777" w:rsidR="00491CB3" w:rsidRPr="00E0193B" w:rsidRDefault="00491CB3" w:rsidP="00491CB3">
            <w:pPr>
              <w:spacing w:after="120" w:line="240" w:lineRule="auto"/>
              <w:jc w:val="left"/>
              <w:rPr>
                <w:rFonts w:eastAsia="Calibri"/>
              </w:rPr>
            </w:pPr>
            <w:r w:rsidRPr="00E0193B">
              <w:rPr>
                <w:rFonts w:eastAsia="Calibri"/>
              </w:rPr>
              <w:t>Rodzaj wprowadzonej zmiany w odniesieniu do CID</w:t>
            </w:r>
          </w:p>
        </w:tc>
        <w:tc>
          <w:tcPr>
            <w:tcW w:w="3912" w:type="pct"/>
            <w:gridSpan w:val="2"/>
            <w:shd w:val="clear" w:color="auto" w:fill="auto"/>
          </w:tcPr>
          <w:p w14:paraId="0891E1F4" w14:textId="011579F0" w:rsidR="00491CB3" w:rsidRPr="00E0193B" w:rsidRDefault="00CD28D1" w:rsidP="00491CB3">
            <w:pPr>
              <w:spacing w:after="120" w:line="240" w:lineRule="auto"/>
              <w:jc w:val="left"/>
              <w:rPr>
                <w:rFonts w:eastAsia="Calibri"/>
              </w:rPr>
            </w:pPr>
            <w:r w:rsidRPr="00E0193B">
              <w:rPr>
                <w:rFonts w:eastAsia="Calibri"/>
              </w:rPr>
              <w:t>Zmiana nazwy kamienia milowego C21G oraz p</w:t>
            </w:r>
            <w:r w:rsidR="00491CB3" w:rsidRPr="00E0193B">
              <w:rPr>
                <w:rFonts w:eastAsia="Calibri"/>
              </w:rPr>
              <w:t>rzesunięcie terminu realizacji kamieni milow</w:t>
            </w:r>
            <w:r w:rsidRPr="00E0193B">
              <w:rPr>
                <w:rFonts w:eastAsia="Calibri"/>
              </w:rPr>
              <w:t>ych</w:t>
            </w:r>
            <w:r w:rsidR="00491CB3" w:rsidRPr="00E0193B">
              <w:rPr>
                <w:rFonts w:eastAsia="Calibri"/>
              </w:rPr>
              <w:t xml:space="preserve"> C21G i C22G</w:t>
            </w:r>
          </w:p>
        </w:tc>
      </w:tr>
      <w:tr w:rsidR="00491CB3" w:rsidRPr="00E0193B" w14:paraId="6DA4ED17" w14:textId="77777777" w:rsidTr="008C1B0D">
        <w:tc>
          <w:tcPr>
            <w:tcW w:w="1088" w:type="pct"/>
            <w:shd w:val="clear" w:color="auto" w:fill="auto"/>
          </w:tcPr>
          <w:p w14:paraId="16B60498" w14:textId="77777777" w:rsidR="00491CB3" w:rsidRPr="00E0193B" w:rsidRDefault="00491CB3" w:rsidP="00491CB3">
            <w:pPr>
              <w:spacing w:after="120" w:line="240" w:lineRule="auto"/>
              <w:jc w:val="left"/>
              <w:rPr>
                <w:rFonts w:eastAsia="Calibri"/>
              </w:rPr>
            </w:pPr>
            <w:r w:rsidRPr="00E0193B">
              <w:rPr>
                <w:rFonts w:eastAsia="Calibri"/>
              </w:rPr>
              <w:t>Podstawa prawna zmiany</w:t>
            </w:r>
          </w:p>
        </w:tc>
        <w:tc>
          <w:tcPr>
            <w:tcW w:w="3912" w:type="pct"/>
            <w:gridSpan w:val="2"/>
            <w:shd w:val="clear" w:color="auto" w:fill="auto"/>
          </w:tcPr>
          <w:p w14:paraId="5FDAF2E4" w14:textId="77777777" w:rsidR="00491CB3" w:rsidRPr="00E0193B" w:rsidRDefault="00491CB3" w:rsidP="00491CB3">
            <w:pPr>
              <w:spacing w:after="0" w:line="240" w:lineRule="auto"/>
              <w:jc w:val="left"/>
              <w:rPr>
                <w:rFonts w:eastAsia="Calibri"/>
                <w:lang w:eastAsia="pl-PL"/>
              </w:rPr>
            </w:pPr>
            <w:r w:rsidRPr="00E0193B">
              <w:rPr>
                <w:rFonts w:eastAsia="Calibri"/>
              </w:rPr>
              <w:t>art. 21 rozporządzenia Parlamentu Europejskiego i Rady (UE) 2021/241 z dnia 12 lutego 2021 r. ustanawiające Instrument na rzecz Odbudowy i Zwiększania Odporności</w:t>
            </w:r>
            <w:r w:rsidRPr="00E0193B" w:rsidDel="00AB48CE">
              <w:rPr>
                <w:rFonts w:eastAsia="Calibri"/>
                <w:lang w:eastAsia="pl-PL"/>
              </w:rPr>
              <w:t xml:space="preserve"> </w:t>
            </w:r>
          </w:p>
        </w:tc>
      </w:tr>
      <w:tr w:rsidR="00E71AA6" w:rsidRPr="00E0193B" w14:paraId="15F99452" w14:textId="77777777" w:rsidTr="00491CB3">
        <w:tc>
          <w:tcPr>
            <w:tcW w:w="1088" w:type="pct"/>
            <w:shd w:val="clear" w:color="auto" w:fill="D9D9D9"/>
          </w:tcPr>
          <w:p w14:paraId="6B288A82" w14:textId="77777777" w:rsidR="00491CB3" w:rsidRPr="00E0193B" w:rsidRDefault="00491CB3" w:rsidP="00491CB3">
            <w:pPr>
              <w:spacing w:after="120" w:line="240" w:lineRule="auto"/>
              <w:jc w:val="left"/>
              <w:rPr>
                <w:rFonts w:eastAsia="Calibri"/>
                <w:highlight w:val="lightGray"/>
              </w:rPr>
            </w:pPr>
            <w:r w:rsidRPr="00E0193B">
              <w:rPr>
                <w:rFonts w:eastAsia="Calibri"/>
                <w:highlight w:val="lightGray"/>
              </w:rPr>
              <w:t>Modyfikowany element</w:t>
            </w:r>
          </w:p>
        </w:tc>
        <w:tc>
          <w:tcPr>
            <w:tcW w:w="1897" w:type="pct"/>
            <w:shd w:val="clear" w:color="auto" w:fill="D9D9D9"/>
          </w:tcPr>
          <w:p w14:paraId="0D568083" w14:textId="77777777" w:rsidR="00491CB3" w:rsidRPr="00E0193B" w:rsidRDefault="00491CB3" w:rsidP="00491CB3">
            <w:pPr>
              <w:spacing w:after="120" w:line="240" w:lineRule="auto"/>
              <w:jc w:val="left"/>
              <w:rPr>
                <w:rFonts w:eastAsia="Calibri"/>
                <w:highlight w:val="lightGray"/>
              </w:rPr>
            </w:pPr>
            <w:r w:rsidRPr="00E0193B">
              <w:rPr>
                <w:rFonts w:eastAsia="Calibri"/>
                <w:highlight w:val="lightGray"/>
              </w:rPr>
              <w:t>Bieżąca wersja</w:t>
            </w:r>
          </w:p>
        </w:tc>
        <w:tc>
          <w:tcPr>
            <w:tcW w:w="2015" w:type="pct"/>
            <w:shd w:val="clear" w:color="auto" w:fill="D9D9D9"/>
          </w:tcPr>
          <w:p w14:paraId="4A8CC8A1" w14:textId="77777777" w:rsidR="00491CB3" w:rsidRPr="00E0193B" w:rsidRDefault="00491CB3" w:rsidP="00491CB3">
            <w:pPr>
              <w:spacing w:after="120" w:line="240" w:lineRule="auto"/>
              <w:jc w:val="left"/>
              <w:rPr>
                <w:rFonts w:eastAsia="Calibri"/>
                <w:highlight w:val="lightGray"/>
              </w:rPr>
            </w:pPr>
            <w:r w:rsidRPr="00E0193B">
              <w:rPr>
                <w:rFonts w:eastAsia="Calibri"/>
                <w:highlight w:val="lightGray"/>
              </w:rPr>
              <w:t>Wersja zmieniona</w:t>
            </w:r>
          </w:p>
        </w:tc>
      </w:tr>
      <w:tr w:rsidR="00491CB3" w:rsidRPr="00E0193B" w14:paraId="0293C5A5" w14:textId="77777777" w:rsidTr="008C1B0D">
        <w:tc>
          <w:tcPr>
            <w:tcW w:w="1088" w:type="pct"/>
            <w:vMerge w:val="restart"/>
          </w:tcPr>
          <w:p w14:paraId="22BBBA60" w14:textId="77777777" w:rsidR="00491CB3" w:rsidRPr="00E0193B" w:rsidRDefault="00491CB3" w:rsidP="00491CB3">
            <w:pPr>
              <w:spacing w:after="120" w:line="240" w:lineRule="auto"/>
              <w:jc w:val="left"/>
              <w:rPr>
                <w:rFonts w:eastAsia="Calibri"/>
              </w:rPr>
            </w:pPr>
            <w:r w:rsidRPr="00E0193B">
              <w:rPr>
                <w:rFonts w:eastAsia="Calibri"/>
              </w:rPr>
              <w:t>Opis komponentu oraz/lub działania (inwestycji/reformy)</w:t>
            </w:r>
          </w:p>
        </w:tc>
        <w:tc>
          <w:tcPr>
            <w:tcW w:w="1897" w:type="pct"/>
          </w:tcPr>
          <w:p w14:paraId="16E9AB47" w14:textId="77777777" w:rsidR="00491CB3" w:rsidRPr="00E0193B" w:rsidRDefault="00491CB3" w:rsidP="00491CB3">
            <w:pPr>
              <w:spacing w:after="120" w:line="240" w:lineRule="auto"/>
              <w:jc w:val="left"/>
              <w:rPr>
                <w:rFonts w:eastAsia="Calibri"/>
              </w:rPr>
            </w:pPr>
            <w:r w:rsidRPr="00E0193B">
              <w:rPr>
                <w:rFonts w:eastAsia="Calibri"/>
              </w:rPr>
              <w:t>C21G Zmiana ustawy z dnia 5 lipca 2018 r. o krajowym systemie cyberbezpieczeństwa służąca wdrożeniu dyrektywy w sprawie bezpieczeństwa sieci i informacji oraz ustanowieniu kompleksowych podstaw prawnych i organizacyjnych cyberbezpieczeństwa dla krajowego systemu cyberbezpieczeństwa</w:t>
            </w:r>
          </w:p>
          <w:p w14:paraId="1D5C7153" w14:textId="77777777" w:rsidR="00491CB3" w:rsidRPr="00E0193B" w:rsidRDefault="00491CB3" w:rsidP="00491CB3">
            <w:pPr>
              <w:spacing w:after="120" w:line="240" w:lineRule="auto"/>
              <w:jc w:val="left"/>
              <w:rPr>
                <w:rFonts w:eastAsia="Calibri"/>
              </w:rPr>
            </w:pPr>
            <w:r w:rsidRPr="00E0193B">
              <w:rPr>
                <w:rFonts w:eastAsia="Calibri"/>
              </w:rPr>
              <w:t>Termin realizacji: IV kwartał 2022 r.</w:t>
            </w:r>
          </w:p>
        </w:tc>
        <w:tc>
          <w:tcPr>
            <w:tcW w:w="2015" w:type="pct"/>
          </w:tcPr>
          <w:p w14:paraId="1A2555FE" w14:textId="5E297C02" w:rsidR="00CD28D1" w:rsidRPr="00E0193B" w:rsidRDefault="00491CB3" w:rsidP="00CD28D1">
            <w:pPr>
              <w:spacing w:after="120" w:line="240" w:lineRule="auto"/>
              <w:rPr>
                <w:rFonts w:eastAsia="Calibri"/>
              </w:rPr>
            </w:pPr>
            <w:r w:rsidRPr="00E0193B">
              <w:rPr>
                <w:rFonts w:eastAsia="Calibri"/>
              </w:rPr>
              <w:t xml:space="preserve">C21G </w:t>
            </w:r>
            <w:r w:rsidR="00CD28D1" w:rsidRPr="00E0193B">
              <w:rPr>
                <w:rFonts w:eastAsia="Calibri"/>
              </w:rPr>
              <w:t xml:space="preserve">Zmiana ustawy z dnia 5 lipca 2018 r. o krajowym systemie cyberbezpieczeństwa mająca na celu m.in. wdrożenie </w:t>
            </w:r>
            <w:r w:rsidR="00CD28D1" w:rsidRPr="00E0193B">
              <w:rPr>
                <w:rFonts w:eastAsia="Calibri"/>
                <w:color w:val="FF0000"/>
              </w:rPr>
              <w:t>dyrektywy Parlamentu Europejskiego i Rady (UE) 2022/2555 z dnia 14 grudnia 2022 r. w sprawie środków na rzecz wysokiego wspólnego poziomu cyberbezpieczeństwa na terytorium Unii, zmieniająca rozporządzenie (UE) nr 910/2014 i dyrektywę (UE) 2018/1972 oraz uchylająca dyrektywę (UE) 2016/1148 (dyrektywa NIS 2)</w:t>
            </w:r>
          </w:p>
          <w:p w14:paraId="4F120D44" w14:textId="77777777" w:rsidR="00491CB3" w:rsidRPr="00E0193B" w:rsidRDefault="00491CB3" w:rsidP="00491CB3">
            <w:pPr>
              <w:spacing w:after="120" w:line="240" w:lineRule="auto"/>
              <w:jc w:val="left"/>
              <w:rPr>
                <w:rFonts w:eastAsia="Calibri"/>
              </w:rPr>
            </w:pPr>
            <w:r w:rsidRPr="00E0193B">
              <w:rPr>
                <w:rFonts w:eastAsia="Calibri"/>
              </w:rPr>
              <w:t xml:space="preserve">Termin realizacji: </w:t>
            </w:r>
            <w:r w:rsidRPr="00E0193B">
              <w:rPr>
                <w:rFonts w:eastAsia="Calibri"/>
                <w:color w:val="FF0000"/>
              </w:rPr>
              <w:t>IV kwartał 2024 r.</w:t>
            </w:r>
            <w:r w:rsidRPr="00E0193B">
              <w:rPr>
                <w:rFonts w:eastAsia="Calibri"/>
              </w:rPr>
              <w:t xml:space="preserve"> </w:t>
            </w:r>
          </w:p>
        </w:tc>
      </w:tr>
      <w:tr w:rsidR="00491CB3" w:rsidRPr="00935797" w14:paraId="41224365" w14:textId="77777777" w:rsidTr="008C1B0D">
        <w:tc>
          <w:tcPr>
            <w:tcW w:w="1088" w:type="pct"/>
            <w:vMerge/>
          </w:tcPr>
          <w:p w14:paraId="7A11F98B" w14:textId="77777777" w:rsidR="00491CB3" w:rsidRPr="00E0193B" w:rsidRDefault="00491CB3" w:rsidP="00491CB3">
            <w:pPr>
              <w:spacing w:after="120" w:line="240" w:lineRule="auto"/>
              <w:jc w:val="left"/>
              <w:rPr>
                <w:rFonts w:eastAsia="Calibri"/>
              </w:rPr>
            </w:pPr>
          </w:p>
        </w:tc>
        <w:tc>
          <w:tcPr>
            <w:tcW w:w="1897" w:type="pct"/>
          </w:tcPr>
          <w:p w14:paraId="1E9F48F4" w14:textId="77777777" w:rsidR="00491CB3" w:rsidRPr="00E0193B" w:rsidRDefault="00491CB3" w:rsidP="00491CB3">
            <w:pPr>
              <w:spacing w:after="120" w:line="240" w:lineRule="auto"/>
              <w:jc w:val="left"/>
              <w:rPr>
                <w:rFonts w:eastAsia="Calibri"/>
                <w:lang w:val="en-GB"/>
              </w:rPr>
            </w:pPr>
            <w:r w:rsidRPr="00E0193B">
              <w:rPr>
                <w:rFonts w:eastAsia="Calibri"/>
                <w:lang w:val="en-GB"/>
              </w:rPr>
              <w:t>C21G Amendment of the Act of 5 July 2018 on the National Cybersecurity System, implementing the NIS Directive and establishing a comprehensive cybersecurity legal and organisational basis for a national cybersecurity system</w:t>
            </w:r>
          </w:p>
          <w:p w14:paraId="5FBE81FE" w14:textId="77777777" w:rsidR="00491CB3" w:rsidRPr="00E0193B" w:rsidRDefault="00491CB3" w:rsidP="00491CB3">
            <w:pPr>
              <w:spacing w:after="120" w:line="240" w:lineRule="auto"/>
              <w:jc w:val="left"/>
              <w:rPr>
                <w:rFonts w:eastAsia="Calibri"/>
                <w:lang w:val="en-GB"/>
              </w:rPr>
            </w:pPr>
            <w:r w:rsidRPr="00E0193B">
              <w:rPr>
                <w:rFonts w:eastAsia="Calibri"/>
                <w:lang w:val="en-GB"/>
              </w:rPr>
              <w:t>Indicative timeline for completion: Q4 2022</w:t>
            </w:r>
          </w:p>
        </w:tc>
        <w:tc>
          <w:tcPr>
            <w:tcW w:w="2015" w:type="pct"/>
          </w:tcPr>
          <w:p w14:paraId="23852FCE" w14:textId="78873868" w:rsidR="00724315" w:rsidRPr="00E0193B" w:rsidRDefault="00491CB3" w:rsidP="00724315">
            <w:pPr>
              <w:spacing w:after="120" w:line="240" w:lineRule="auto"/>
              <w:rPr>
                <w:lang w:val="en-GB"/>
              </w:rPr>
            </w:pPr>
            <w:r w:rsidRPr="00E0193B">
              <w:rPr>
                <w:rFonts w:eastAsia="Calibri"/>
                <w:lang w:val="en-GB"/>
              </w:rPr>
              <w:t xml:space="preserve">C21G </w:t>
            </w:r>
            <w:r w:rsidR="00724315" w:rsidRPr="00E0193B">
              <w:rPr>
                <w:lang w:val="en-GB"/>
              </w:rPr>
              <w:t xml:space="preserve">Amendment of the Act of 5 July 2018 on the National Cybersecurity System, </w:t>
            </w:r>
            <w:r w:rsidR="00724315" w:rsidRPr="00E0193B">
              <w:rPr>
                <w:color w:val="FF0000"/>
                <w:lang w:val="en-GB"/>
              </w:rPr>
              <w:t>aimed at, among others, implementing the NIS 2 Directive (EU) 2022/2555 of the European Parliament and of the Council of 14 December 2022 on measures for a high common level of cybersecurity across the Union, amending Regulation (EU) No 910/2014 and Directive (EU) 2018/1972, and repealing Directive (EU) 2016/1148 (NIS 2 Directive)</w:t>
            </w:r>
          </w:p>
          <w:p w14:paraId="20DC5E81" w14:textId="1459761A" w:rsidR="00491CB3" w:rsidRPr="00E0193B" w:rsidRDefault="00491CB3" w:rsidP="00491CB3">
            <w:pPr>
              <w:spacing w:after="120" w:line="240" w:lineRule="auto"/>
              <w:jc w:val="left"/>
              <w:rPr>
                <w:rFonts w:eastAsia="Calibri"/>
                <w:lang w:val="en-GB"/>
              </w:rPr>
            </w:pPr>
            <w:r w:rsidRPr="00E0193B">
              <w:rPr>
                <w:rFonts w:eastAsia="Calibri"/>
                <w:lang w:val="en-GB"/>
              </w:rPr>
              <w:t xml:space="preserve">Indicative timeline for completion: </w:t>
            </w:r>
            <w:r w:rsidRPr="00E0193B">
              <w:rPr>
                <w:rFonts w:eastAsia="Calibri"/>
                <w:color w:val="FF0000"/>
                <w:lang w:val="en-GB"/>
              </w:rPr>
              <w:t>Q4 2024</w:t>
            </w:r>
          </w:p>
        </w:tc>
      </w:tr>
      <w:tr w:rsidR="00491CB3" w:rsidRPr="00E0193B" w14:paraId="4ECA2A38" w14:textId="77777777" w:rsidTr="008C1B0D">
        <w:tc>
          <w:tcPr>
            <w:tcW w:w="1088" w:type="pct"/>
            <w:vMerge w:val="restart"/>
          </w:tcPr>
          <w:p w14:paraId="5A804CEF" w14:textId="77777777" w:rsidR="00491CB3" w:rsidRPr="00E0193B" w:rsidRDefault="00491CB3" w:rsidP="00491CB3">
            <w:pPr>
              <w:spacing w:after="120" w:line="240" w:lineRule="auto"/>
              <w:jc w:val="left"/>
              <w:rPr>
                <w:rFonts w:eastAsia="Calibri"/>
              </w:rPr>
            </w:pPr>
            <w:r w:rsidRPr="00E0193B">
              <w:rPr>
                <w:rFonts w:eastAsia="Calibri"/>
              </w:rPr>
              <w:t>Opis komponentu oraz/lub działania (inwestycji/reformy)</w:t>
            </w:r>
          </w:p>
        </w:tc>
        <w:tc>
          <w:tcPr>
            <w:tcW w:w="1897" w:type="pct"/>
          </w:tcPr>
          <w:p w14:paraId="07146576" w14:textId="77777777" w:rsidR="00491CB3" w:rsidRPr="00E0193B" w:rsidRDefault="00491CB3" w:rsidP="00491CB3">
            <w:pPr>
              <w:spacing w:after="120" w:line="240" w:lineRule="auto"/>
              <w:jc w:val="left"/>
              <w:rPr>
                <w:rFonts w:eastAsia="Calibri"/>
              </w:rPr>
            </w:pPr>
            <w:r w:rsidRPr="00E0193B">
              <w:rPr>
                <w:rFonts w:eastAsia="Calibri"/>
              </w:rPr>
              <w:t>C22G Zmiany w rozporządzeniu Rady Ministrów z dnia 11 września 2018 r. w sprawie wykazu usług kluczowych oraz progów istotności skutku zakłócającego incydentu dla świadczenia usług kluczowych</w:t>
            </w:r>
          </w:p>
          <w:p w14:paraId="34852447" w14:textId="77777777" w:rsidR="00491CB3" w:rsidRPr="00E0193B" w:rsidRDefault="00491CB3" w:rsidP="00491CB3">
            <w:pPr>
              <w:spacing w:after="120" w:line="240" w:lineRule="auto"/>
              <w:jc w:val="left"/>
              <w:rPr>
                <w:rFonts w:eastAsia="Calibri"/>
              </w:rPr>
            </w:pPr>
            <w:r w:rsidRPr="00E0193B">
              <w:rPr>
                <w:rFonts w:eastAsia="Calibri"/>
              </w:rPr>
              <w:t>Termin realizacji: IV kwartał 2023 r.</w:t>
            </w:r>
          </w:p>
        </w:tc>
        <w:tc>
          <w:tcPr>
            <w:tcW w:w="2015" w:type="pct"/>
          </w:tcPr>
          <w:p w14:paraId="72CD8B69" w14:textId="77777777" w:rsidR="00491CB3" w:rsidRPr="00E0193B" w:rsidRDefault="00491CB3" w:rsidP="00491CB3">
            <w:pPr>
              <w:spacing w:after="120" w:line="240" w:lineRule="auto"/>
              <w:jc w:val="left"/>
              <w:rPr>
                <w:rFonts w:eastAsia="Calibri"/>
              </w:rPr>
            </w:pPr>
            <w:r w:rsidRPr="00E0193B">
              <w:rPr>
                <w:rFonts w:eastAsia="Calibri"/>
              </w:rPr>
              <w:t>C22G Zmiany w rozporządzeniu Rady Ministrów z dnia 11 września 2018 r. w sprawie wykazu usług kluczowych oraz progów istotności skutku zakłócającego incydentu dla świadczenia usług kluczowych</w:t>
            </w:r>
          </w:p>
          <w:p w14:paraId="526A3042" w14:textId="77777777" w:rsidR="00491CB3" w:rsidRPr="00E0193B" w:rsidRDefault="00491CB3" w:rsidP="00491CB3">
            <w:pPr>
              <w:spacing w:after="120" w:line="240" w:lineRule="auto"/>
              <w:jc w:val="left"/>
              <w:rPr>
                <w:rFonts w:eastAsia="Calibri"/>
              </w:rPr>
            </w:pPr>
            <w:r w:rsidRPr="00E0193B">
              <w:rPr>
                <w:rFonts w:eastAsia="Calibri"/>
              </w:rPr>
              <w:t xml:space="preserve">Termin realizacji: </w:t>
            </w:r>
            <w:r w:rsidRPr="00E0193B">
              <w:rPr>
                <w:rFonts w:eastAsia="Calibri"/>
                <w:color w:val="FF0000"/>
              </w:rPr>
              <w:t>II kwartał 2025 r.</w:t>
            </w:r>
          </w:p>
        </w:tc>
      </w:tr>
      <w:tr w:rsidR="00491CB3" w:rsidRPr="00935797" w14:paraId="687C4A3D" w14:textId="77777777" w:rsidTr="008C1B0D">
        <w:tc>
          <w:tcPr>
            <w:tcW w:w="1088" w:type="pct"/>
            <w:vMerge/>
          </w:tcPr>
          <w:p w14:paraId="3CC282CE" w14:textId="77777777" w:rsidR="00491CB3" w:rsidRPr="00E0193B" w:rsidRDefault="00491CB3" w:rsidP="00491CB3">
            <w:pPr>
              <w:spacing w:after="120" w:line="240" w:lineRule="auto"/>
              <w:jc w:val="left"/>
              <w:rPr>
                <w:rFonts w:eastAsia="Calibri"/>
              </w:rPr>
            </w:pPr>
          </w:p>
        </w:tc>
        <w:tc>
          <w:tcPr>
            <w:tcW w:w="1897" w:type="pct"/>
          </w:tcPr>
          <w:p w14:paraId="0D20F839" w14:textId="77777777" w:rsidR="00491CB3" w:rsidRPr="00E0193B" w:rsidRDefault="00491CB3" w:rsidP="00491CB3">
            <w:pPr>
              <w:spacing w:after="120" w:line="240" w:lineRule="auto"/>
              <w:jc w:val="left"/>
              <w:rPr>
                <w:rFonts w:eastAsia="Calibri"/>
                <w:lang w:val="en-GB"/>
              </w:rPr>
            </w:pPr>
            <w:r w:rsidRPr="00E0193B">
              <w:rPr>
                <w:rFonts w:eastAsia="Calibri"/>
                <w:lang w:val="en-GB"/>
              </w:rPr>
              <w:t>C22G Amendment of the Regulation of the Council of Ministers of 11 September 2018 on the list of essential services and the thresholds for the disruptive effect of an incident for the provision of essential services</w:t>
            </w:r>
          </w:p>
          <w:p w14:paraId="44DF5EF3" w14:textId="77777777" w:rsidR="00491CB3" w:rsidRPr="00E0193B" w:rsidRDefault="00491CB3" w:rsidP="00491CB3">
            <w:pPr>
              <w:spacing w:after="120" w:line="240" w:lineRule="auto"/>
              <w:jc w:val="left"/>
              <w:rPr>
                <w:rFonts w:eastAsia="Calibri"/>
                <w:lang w:val="en-GB"/>
              </w:rPr>
            </w:pPr>
            <w:r w:rsidRPr="00E0193B">
              <w:rPr>
                <w:rFonts w:eastAsia="Calibri"/>
                <w:lang w:val="en-GB"/>
              </w:rPr>
              <w:lastRenderedPageBreak/>
              <w:t>Indicative timeline for completion: Q4 2023</w:t>
            </w:r>
          </w:p>
        </w:tc>
        <w:tc>
          <w:tcPr>
            <w:tcW w:w="2015" w:type="pct"/>
          </w:tcPr>
          <w:p w14:paraId="484A6B9D" w14:textId="77777777" w:rsidR="00491CB3" w:rsidRPr="00E0193B" w:rsidRDefault="00491CB3" w:rsidP="00491CB3">
            <w:pPr>
              <w:spacing w:after="120" w:line="240" w:lineRule="auto"/>
              <w:jc w:val="left"/>
              <w:rPr>
                <w:rFonts w:eastAsia="Calibri"/>
                <w:lang w:val="en-GB"/>
              </w:rPr>
            </w:pPr>
            <w:r w:rsidRPr="00E0193B">
              <w:rPr>
                <w:rFonts w:eastAsia="Calibri"/>
                <w:lang w:val="en-GB"/>
              </w:rPr>
              <w:lastRenderedPageBreak/>
              <w:t>C22G Amendment of the Regulation of the Council of Ministers of 11 September 2018 on the list of essential services and the thresholds for the disruptive effect of an incident for the provision of essential services</w:t>
            </w:r>
          </w:p>
          <w:p w14:paraId="6A0F4FFB" w14:textId="77777777" w:rsidR="00491CB3" w:rsidRPr="00E0193B" w:rsidRDefault="00491CB3" w:rsidP="00491CB3">
            <w:pPr>
              <w:spacing w:after="120" w:line="240" w:lineRule="auto"/>
              <w:jc w:val="left"/>
              <w:rPr>
                <w:rFonts w:eastAsia="Calibri"/>
                <w:lang w:val="en-GB"/>
              </w:rPr>
            </w:pPr>
            <w:r w:rsidRPr="00E0193B">
              <w:rPr>
                <w:rFonts w:eastAsia="Calibri"/>
                <w:lang w:val="en-GB"/>
              </w:rPr>
              <w:t xml:space="preserve">Indicative timeline for completion: </w:t>
            </w:r>
            <w:r w:rsidRPr="00E0193B">
              <w:rPr>
                <w:rFonts w:eastAsia="Calibri"/>
                <w:color w:val="FF0000"/>
                <w:lang w:val="en-GB"/>
              </w:rPr>
              <w:t>Q2 2025</w:t>
            </w:r>
          </w:p>
        </w:tc>
      </w:tr>
      <w:tr w:rsidR="00491CB3" w:rsidRPr="00E0193B" w14:paraId="5884DF44" w14:textId="77777777" w:rsidTr="008C1B0D">
        <w:tc>
          <w:tcPr>
            <w:tcW w:w="1088" w:type="pct"/>
          </w:tcPr>
          <w:p w14:paraId="0339023F" w14:textId="77777777" w:rsidR="00491CB3" w:rsidRPr="00E0193B" w:rsidRDefault="00491CB3" w:rsidP="00491CB3">
            <w:pPr>
              <w:spacing w:after="120" w:line="240" w:lineRule="auto"/>
              <w:jc w:val="left"/>
              <w:rPr>
                <w:rFonts w:eastAsia="Calibri"/>
              </w:rPr>
            </w:pPr>
            <w:r w:rsidRPr="00E0193B">
              <w:rPr>
                <w:rFonts w:eastAsia="Calibri"/>
              </w:rPr>
              <w:t>Uzasadnienie</w:t>
            </w:r>
          </w:p>
        </w:tc>
        <w:tc>
          <w:tcPr>
            <w:tcW w:w="3912" w:type="pct"/>
            <w:gridSpan w:val="2"/>
          </w:tcPr>
          <w:p w14:paraId="15140084" w14:textId="77777777" w:rsidR="00935797" w:rsidRDefault="00746554" w:rsidP="00746554">
            <w:pPr>
              <w:spacing w:after="120" w:line="276" w:lineRule="auto"/>
              <w:rPr>
                <w:rFonts w:eastAsia="Calibri"/>
              </w:rPr>
            </w:pPr>
            <w:r w:rsidRPr="00E0193B">
              <w:rPr>
                <w:rFonts w:eastAsia="Calibri"/>
              </w:rPr>
              <w:t xml:space="preserve">Zmiana terminu realizacji nowelizacji ustawy o krajowym systemie cyberbezpieczeństwa wiąże się z faktem, że proces ten przedłużającym się procesem konsultacji projektu, ponieważ dotyczył on szerokiego i skomplikowanego spektrum tematów: rozwoju krajowego systemu cyberbezpieczeństwa, zdolność do skutecznego zapobiegania incydentom i reagowania na nie oraz budowania świadomości społeczeństwa w zakresie cyberbezpieczeństwa. </w:t>
            </w:r>
          </w:p>
          <w:p w14:paraId="18338465" w14:textId="77777777" w:rsidR="00935797" w:rsidRDefault="00746554" w:rsidP="00746554">
            <w:pPr>
              <w:spacing w:after="120" w:line="276" w:lineRule="auto"/>
              <w:rPr>
                <w:rFonts w:eastAsia="Calibri"/>
              </w:rPr>
            </w:pPr>
            <w:r w:rsidRPr="00E0193B">
              <w:rPr>
                <w:rFonts w:eastAsia="Calibri"/>
              </w:rPr>
              <w:t xml:space="preserve">Wymagało to zaangażowania w konsultacje i prace nad projektem nowelizacji ustawy szerokiego grona interesariuszy. Przedłużało to znacząco prace, toczące się od września 2020 r. w których trakcie zgłoszono wiele uwag do projektu, z których znaczna część została uwzględniona przez projektodawcę. To właśnie zgłoszone uwagi, konieczność przeprowadzania dodatkowych uzgodnień oraz potrzeba wypracowania konsensualnych rozwiązań miały wypływ na długość procesowania projektu ustawy. </w:t>
            </w:r>
          </w:p>
          <w:p w14:paraId="5AC1C2D2" w14:textId="4414A9F1" w:rsidR="00746554" w:rsidRPr="00E0193B" w:rsidRDefault="00935797" w:rsidP="00746554">
            <w:pPr>
              <w:spacing w:after="120" w:line="276" w:lineRule="auto"/>
              <w:rPr>
                <w:rFonts w:eastAsia="Calibri"/>
              </w:rPr>
            </w:pPr>
            <w:r w:rsidRPr="00935797">
              <w:rPr>
                <w:rFonts w:eastAsia="Calibri"/>
              </w:rPr>
              <w:t xml:space="preserve">Jednocześnie na poziomie Unii Europejskiej toczyły się prace nad nową dyrektywą Parlamentu Europejskiego i Rady  w sprawie środków na rzecz wysokiego wspólnego poziomu cyberbezpieczeństwa na terytorium Unii (tzw. NIS II). </w:t>
            </w:r>
            <w:r w:rsidR="00746554" w:rsidRPr="00E0193B">
              <w:rPr>
                <w:rFonts w:eastAsia="Calibri"/>
              </w:rPr>
              <w:t xml:space="preserve"> Zarazem pojawiły się wątpliwości czy nowelizacja obejmująca realizację zapisów KPO, w wystarczającym stopniu uwzględnia wymogi nałożone przez dyrektywę NIS II. Spowodowało to, że dopiero w lipcu 2023 r. projekt ustawy trafił do Sejmu. Finalnie proces ten został przerwany poprzez wycofanie z prac rządu poprzedniej kadencji. W roku bieżącym proces ten został rozpoczęty od nowa i projekt nowelizacji ustawy o krajowym systemie cyberbezpieczeństwa został wpisany do wykazu prac legislacyjnych i programowych Rady Ministrów pod nr UC32). </w:t>
            </w:r>
          </w:p>
          <w:p w14:paraId="565BCAC7" w14:textId="77777777" w:rsidR="00746554" w:rsidRPr="00E0193B" w:rsidRDefault="00746554" w:rsidP="00746554">
            <w:pPr>
              <w:spacing w:after="120" w:line="276" w:lineRule="auto"/>
              <w:rPr>
                <w:rFonts w:eastAsia="Calibri"/>
              </w:rPr>
            </w:pPr>
            <w:r w:rsidRPr="00E0193B">
              <w:rPr>
                <w:rFonts w:eastAsia="Calibri"/>
              </w:rPr>
              <w:t>Ponadto należy też podkreślić, że w trakcie konsultacji publicznych propozycji do rewizji KPO zgłaszano wątpliwości co do optymalnego uwzględnienia dyrektywy NIS II w obecnych zapisach KPO oraz w poprzednim projekcie ww. nowelizacji ustawy.</w:t>
            </w:r>
          </w:p>
          <w:p w14:paraId="568F74E8" w14:textId="1A7F21FE" w:rsidR="00E835FC" w:rsidRPr="00E0193B" w:rsidRDefault="00746554" w:rsidP="00F04719">
            <w:pPr>
              <w:spacing w:after="120" w:line="276" w:lineRule="auto"/>
              <w:rPr>
                <w:rFonts w:eastAsia="Calibri"/>
              </w:rPr>
            </w:pPr>
            <w:r w:rsidRPr="00E0193B">
              <w:rPr>
                <w:rFonts w:eastAsia="Calibri"/>
              </w:rPr>
              <w:t>Biorąc pod uwagę powyższe, Ministerstwo Cyfryzacji zgłasza propozycję odpowiedniej modyfikacji nazwy kamienia C21G oraz przesunięcia terminu jego realizacji, a także adekwatną zmianę terminu realizacji bezpośrednio związanego z nim kamienia C22G. Projekt będzie dotyczył bardzo szerokiego grona interesariuszy zarówno po stronie sektora publicznego jak i prywatnego, stąd konieczny będzie czas na jego dokładne przedyskutowanie. Ponadto należy znaczyć, że zmiana terminów realizacji kamieni C21G i C22G nie wpłynie negatywnie na realizację inwestycji C3.1.1.</w:t>
            </w:r>
          </w:p>
        </w:tc>
      </w:tr>
      <w:tr w:rsidR="00491CB3" w:rsidRPr="00E0193B" w14:paraId="3EF01D3B" w14:textId="77777777" w:rsidTr="008C1B0D">
        <w:tc>
          <w:tcPr>
            <w:tcW w:w="1088" w:type="pct"/>
          </w:tcPr>
          <w:p w14:paraId="7C761E9F" w14:textId="77777777" w:rsidR="00491CB3" w:rsidRPr="00E0193B" w:rsidRDefault="00491CB3" w:rsidP="00491CB3">
            <w:pPr>
              <w:spacing w:after="120" w:line="240" w:lineRule="auto"/>
              <w:jc w:val="left"/>
              <w:rPr>
                <w:rFonts w:eastAsia="Calibri"/>
              </w:rPr>
            </w:pPr>
            <w:r w:rsidRPr="00E0193B">
              <w:rPr>
                <w:rFonts w:eastAsia="Calibri"/>
              </w:rPr>
              <w:t>Szacowany koszt</w:t>
            </w:r>
          </w:p>
        </w:tc>
        <w:tc>
          <w:tcPr>
            <w:tcW w:w="3912" w:type="pct"/>
            <w:gridSpan w:val="2"/>
          </w:tcPr>
          <w:p w14:paraId="5A81C1AE" w14:textId="77777777" w:rsidR="00491CB3" w:rsidRPr="00E0193B" w:rsidRDefault="00491CB3" w:rsidP="00491CB3">
            <w:pPr>
              <w:spacing w:after="120" w:line="240" w:lineRule="auto"/>
              <w:jc w:val="left"/>
              <w:rPr>
                <w:rFonts w:eastAsia="Calibri"/>
              </w:rPr>
            </w:pPr>
            <w:r w:rsidRPr="00E0193B">
              <w:rPr>
                <w:rFonts w:eastAsia="Calibri"/>
              </w:rPr>
              <w:t>Zmiana nie ma wpływu na szacowany koszt</w:t>
            </w:r>
          </w:p>
        </w:tc>
      </w:tr>
      <w:tr w:rsidR="00491CB3" w:rsidRPr="00E0193B" w14:paraId="49BEC9C3" w14:textId="77777777" w:rsidTr="008C1B0D">
        <w:tc>
          <w:tcPr>
            <w:tcW w:w="1088" w:type="pct"/>
          </w:tcPr>
          <w:p w14:paraId="1C9E454A" w14:textId="77777777" w:rsidR="00491CB3" w:rsidRPr="00E0193B" w:rsidRDefault="00491CB3" w:rsidP="00491CB3">
            <w:pPr>
              <w:spacing w:after="120" w:line="240" w:lineRule="auto"/>
              <w:jc w:val="left"/>
              <w:rPr>
                <w:rFonts w:eastAsia="Calibri"/>
              </w:rPr>
            </w:pPr>
            <w:r w:rsidRPr="00E0193B">
              <w:rPr>
                <w:rFonts w:eastAsia="Calibri"/>
              </w:rPr>
              <w:t>Klimatyczny i cyfrowy tagging</w:t>
            </w:r>
          </w:p>
        </w:tc>
        <w:tc>
          <w:tcPr>
            <w:tcW w:w="3912" w:type="pct"/>
            <w:gridSpan w:val="2"/>
          </w:tcPr>
          <w:p w14:paraId="7ED4EE16" w14:textId="77777777" w:rsidR="00491CB3" w:rsidRPr="00E0193B" w:rsidRDefault="00491CB3" w:rsidP="00491CB3">
            <w:pPr>
              <w:spacing w:after="120" w:line="240" w:lineRule="auto"/>
              <w:jc w:val="left"/>
              <w:rPr>
                <w:rFonts w:eastAsia="Calibri"/>
              </w:rPr>
            </w:pPr>
            <w:r w:rsidRPr="00E0193B">
              <w:rPr>
                <w:rFonts w:eastAsia="Calibri"/>
              </w:rPr>
              <w:t>Zmiana nie ma wpływu na tagging klimatyczny i cyfrowy</w:t>
            </w:r>
          </w:p>
        </w:tc>
      </w:tr>
      <w:tr w:rsidR="00491CB3" w:rsidRPr="00E0193B" w14:paraId="02EFBB0F" w14:textId="77777777" w:rsidTr="008C1B0D">
        <w:tc>
          <w:tcPr>
            <w:tcW w:w="1088" w:type="pct"/>
          </w:tcPr>
          <w:p w14:paraId="374F1CC6" w14:textId="77777777" w:rsidR="00491CB3" w:rsidRPr="00E0193B" w:rsidRDefault="00491CB3" w:rsidP="00491CB3">
            <w:pPr>
              <w:spacing w:after="120" w:line="240" w:lineRule="auto"/>
              <w:jc w:val="left"/>
              <w:rPr>
                <w:rFonts w:eastAsia="Calibri"/>
              </w:rPr>
            </w:pPr>
            <w:r w:rsidRPr="00E0193B">
              <w:rPr>
                <w:rFonts w:eastAsia="Calibri"/>
              </w:rPr>
              <w:t xml:space="preserve">Ocena DNSH </w:t>
            </w:r>
          </w:p>
        </w:tc>
        <w:tc>
          <w:tcPr>
            <w:tcW w:w="3912" w:type="pct"/>
            <w:gridSpan w:val="2"/>
          </w:tcPr>
          <w:p w14:paraId="710FB716" w14:textId="77777777" w:rsidR="00491CB3" w:rsidRPr="00E0193B" w:rsidRDefault="00491CB3" w:rsidP="00491CB3">
            <w:pPr>
              <w:spacing w:after="120" w:line="240" w:lineRule="auto"/>
              <w:jc w:val="left"/>
              <w:rPr>
                <w:rFonts w:eastAsia="Calibri"/>
              </w:rPr>
            </w:pPr>
            <w:r w:rsidRPr="00E0193B">
              <w:rPr>
                <w:rFonts w:eastAsia="Calibri"/>
              </w:rPr>
              <w:t>Zmiana nie ma wpływu na DNSH</w:t>
            </w:r>
          </w:p>
        </w:tc>
      </w:tr>
    </w:tbl>
    <w:p w14:paraId="5C2F5A53" w14:textId="77777777" w:rsidR="00A501D9" w:rsidRDefault="00A501D9" w:rsidP="00DB00FD">
      <w:pPr>
        <w:spacing w:line="259" w:lineRule="auto"/>
        <w:jc w:val="left"/>
        <w:rPr>
          <w:rFonts w:eastAsia="Calibri"/>
          <w:b/>
          <w:bCs/>
        </w:rPr>
      </w:pPr>
    </w:p>
    <w:p w14:paraId="3D81B8A6" w14:textId="1B4FB715" w:rsidR="00DB00FD" w:rsidRPr="00E0193B" w:rsidRDefault="00DB00FD" w:rsidP="00DB00FD">
      <w:pPr>
        <w:spacing w:line="259" w:lineRule="auto"/>
        <w:jc w:val="left"/>
        <w:rPr>
          <w:rFonts w:eastAsia="Calibri"/>
          <w:b/>
          <w:bCs/>
        </w:rPr>
      </w:pPr>
      <w:r w:rsidRPr="00E0193B">
        <w:rPr>
          <w:rFonts w:eastAsia="Calibri"/>
          <w:b/>
          <w:bCs/>
        </w:rPr>
        <w:t>Komponent D Efektywność, dostępność i jakość systemu ochrony zdrowia</w:t>
      </w:r>
    </w:p>
    <w:tbl>
      <w:tblPr>
        <w:tblW w:w="47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
        <w:gridCol w:w="1936"/>
        <w:gridCol w:w="3322"/>
        <w:gridCol w:w="3255"/>
      </w:tblGrid>
      <w:tr w:rsidR="00DB00FD" w:rsidRPr="00AF3A31" w14:paraId="00047A06" w14:textId="77777777" w:rsidTr="001E2158">
        <w:tc>
          <w:tcPr>
            <w:tcW w:w="1175" w:type="pct"/>
            <w:gridSpan w:val="2"/>
            <w:tcBorders>
              <w:top w:val="single" w:sz="4" w:space="0" w:color="auto"/>
              <w:left w:val="single" w:sz="4" w:space="0" w:color="auto"/>
              <w:bottom w:val="single" w:sz="4" w:space="0" w:color="auto"/>
              <w:right w:val="single" w:sz="4" w:space="0" w:color="auto"/>
            </w:tcBorders>
            <w:hideMark/>
          </w:tcPr>
          <w:p w14:paraId="34959165" w14:textId="77777777" w:rsidR="00DB00FD" w:rsidRPr="008F19AE" w:rsidRDefault="00DB00FD" w:rsidP="001E2158">
            <w:pPr>
              <w:spacing w:after="120" w:line="240" w:lineRule="auto"/>
              <w:jc w:val="left"/>
              <w:rPr>
                <w:rFonts w:eastAsia="Calibri"/>
                <w:b/>
                <w:bCs/>
              </w:rPr>
            </w:pPr>
            <w:r w:rsidRPr="008F19AE">
              <w:rPr>
                <w:rFonts w:eastAsia="Calibri"/>
                <w:b/>
                <w:bCs/>
              </w:rPr>
              <w:t>Numer reformy</w:t>
            </w:r>
          </w:p>
        </w:tc>
        <w:tc>
          <w:tcPr>
            <w:tcW w:w="3825" w:type="pct"/>
            <w:gridSpan w:val="2"/>
            <w:tcBorders>
              <w:top w:val="single" w:sz="4" w:space="0" w:color="auto"/>
              <w:left w:val="single" w:sz="4" w:space="0" w:color="auto"/>
              <w:bottom w:val="single" w:sz="4" w:space="0" w:color="auto"/>
              <w:right w:val="single" w:sz="4" w:space="0" w:color="auto"/>
            </w:tcBorders>
            <w:hideMark/>
          </w:tcPr>
          <w:p w14:paraId="68F7A868" w14:textId="77777777" w:rsidR="00DB00FD" w:rsidRPr="008F19AE" w:rsidRDefault="00DB00FD" w:rsidP="001E2158">
            <w:pPr>
              <w:spacing w:after="120" w:line="240" w:lineRule="auto"/>
              <w:jc w:val="left"/>
              <w:rPr>
                <w:rFonts w:eastAsia="Calibri"/>
                <w:b/>
                <w:bCs/>
              </w:rPr>
            </w:pPr>
            <w:r w:rsidRPr="008F19AE">
              <w:rPr>
                <w:rFonts w:eastAsia="Calibri"/>
                <w:b/>
                <w:bCs/>
              </w:rPr>
              <w:t>D1.1.</w:t>
            </w:r>
          </w:p>
        </w:tc>
      </w:tr>
      <w:tr w:rsidR="00DB00FD" w:rsidRPr="00935797" w14:paraId="71A9A463" w14:textId="77777777" w:rsidTr="001E2158">
        <w:tc>
          <w:tcPr>
            <w:tcW w:w="1175" w:type="pct"/>
            <w:gridSpan w:val="2"/>
            <w:tcBorders>
              <w:top w:val="single" w:sz="4" w:space="0" w:color="auto"/>
              <w:left w:val="single" w:sz="4" w:space="0" w:color="auto"/>
              <w:bottom w:val="single" w:sz="4" w:space="0" w:color="auto"/>
              <w:right w:val="single" w:sz="4" w:space="0" w:color="auto"/>
            </w:tcBorders>
            <w:hideMark/>
          </w:tcPr>
          <w:p w14:paraId="46C9DC4C" w14:textId="77777777" w:rsidR="00DB00FD" w:rsidRPr="008F19AE" w:rsidRDefault="00DB00FD" w:rsidP="001E2158">
            <w:pPr>
              <w:spacing w:after="120" w:line="240" w:lineRule="auto"/>
              <w:jc w:val="left"/>
              <w:rPr>
                <w:rFonts w:eastAsia="Calibri"/>
                <w:b/>
                <w:bCs/>
              </w:rPr>
            </w:pPr>
            <w:r w:rsidRPr="008F19AE">
              <w:rPr>
                <w:rFonts w:eastAsia="Calibri"/>
                <w:b/>
                <w:bCs/>
              </w:rPr>
              <w:t>Nazwa reformy</w:t>
            </w:r>
          </w:p>
        </w:tc>
        <w:tc>
          <w:tcPr>
            <w:tcW w:w="3825" w:type="pct"/>
            <w:gridSpan w:val="2"/>
            <w:tcBorders>
              <w:top w:val="single" w:sz="4" w:space="0" w:color="auto"/>
              <w:left w:val="single" w:sz="4" w:space="0" w:color="auto"/>
              <w:bottom w:val="single" w:sz="4" w:space="0" w:color="auto"/>
              <w:right w:val="single" w:sz="4" w:space="0" w:color="auto"/>
            </w:tcBorders>
            <w:hideMark/>
          </w:tcPr>
          <w:p w14:paraId="49151837" w14:textId="77777777" w:rsidR="00DB00FD" w:rsidRPr="008F19AE" w:rsidRDefault="00DB00FD" w:rsidP="001E2158">
            <w:pPr>
              <w:spacing w:after="120" w:line="240" w:lineRule="auto"/>
              <w:jc w:val="left"/>
              <w:rPr>
                <w:rFonts w:eastAsia="Calibri"/>
                <w:b/>
                <w:bCs/>
              </w:rPr>
            </w:pPr>
            <w:r w:rsidRPr="008F19AE">
              <w:rPr>
                <w:rFonts w:eastAsia="Calibri"/>
                <w:b/>
                <w:bCs/>
              </w:rPr>
              <w:t>Zwiększenie efektywności, dostępności i jakości świadczeń zdrowotnych</w:t>
            </w:r>
          </w:p>
          <w:p w14:paraId="494EDE0E" w14:textId="77777777" w:rsidR="00DB00FD" w:rsidRPr="008F19AE" w:rsidRDefault="00DB00FD" w:rsidP="001E2158">
            <w:pPr>
              <w:spacing w:after="120" w:line="240" w:lineRule="auto"/>
              <w:jc w:val="left"/>
              <w:rPr>
                <w:rFonts w:eastAsia="Calibri"/>
                <w:b/>
                <w:bCs/>
                <w:lang w:val="en-GB"/>
              </w:rPr>
            </w:pPr>
            <w:r w:rsidRPr="00BA56C9">
              <w:rPr>
                <w:b/>
                <w:bCs/>
                <w:lang w:val="en-GB"/>
              </w:rPr>
              <w:t>Improving the effectiveness, accessibility and quality of health services</w:t>
            </w:r>
          </w:p>
        </w:tc>
      </w:tr>
      <w:tr w:rsidR="00DB00FD" w:rsidRPr="00935797" w14:paraId="77FCAF6F" w14:textId="77777777" w:rsidTr="001E2158">
        <w:tc>
          <w:tcPr>
            <w:tcW w:w="1175" w:type="pct"/>
            <w:gridSpan w:val="2"/>
            <w:tcBorders>
              <w:top w:val="single" w:sz="4" w:space="0" w:color="auto"/>
              <w:left w:val="single" w:sz="4" w:space="0" w:color="auto"/>
              <w:bottom w:val="single" w:sz="4" w:space="0" w:color="auto"/>
              <w:right w:val="single" w:sz="4" w:space="0" w:color="auto"/>
            </w:tcBorders>
            <w:hideMark/>
          </w:tcPr>
          <w:p w14:paraId="141459FC" w14:textId="77777777" w:rsidR="00DB00FD" w:rsidRPr="00AF3A31" w:rsidRDefault="00DB00FD" w:rsidP="001E2158">
            <w:pPr>
              <w:spacing w:after="120" w:line="240" w:lineRule="auto"/>
              <w:jc w:val="left"/>
              <w:rPr>
                <w:rFonts w:eastAsia="Calibri"/>
              </w:rPr>
            </w:pPr>
            <w:r w:rsidRPr="00AF3A31">
              <w:rPr>
                <w:rFonts w:eastAsia="Calibri"/>
              </w:rPr>
              <w:t>Rodzaj wprowadzonej zmiany w odniesieniu do CID</w:t>
            </w:r>
          </w:p>
        </w:tc>
        <w:tc>
          <w:tcPr>
            <w:tcW w:w="3825" w:type="pct"/>
            <w:gridSpan w:val="2"/>
            <w:tcBorders>
              <w:top w:val="single" w:sz="4" w:space="0" w:color="auto"/>
              <w:left w:val="single" w:sz="4" w:space="0" w:color="auto"/>
              <w:bottom w:val="single" w:sz="4" w:space="0" w:color="auto"/>
              <w:right w:val="single" w:sz="4" w:space="0" w:color="auto"/>
            </w:tcBorders>
          </w:tcPr>
          <w:p w14:paraId="2DEC2F20" w14:textId="77777777" w:rsidR="00DB00FD" w:rsidRDefault="00DB00FD" w:rsidP="001E2158">
            <w:pPr>
              <w:spacing w:after="120" w:line="240" w:lineRule="auto"/>
              <w:jc w:val="left"/>
              <w:rPr>
                <w:rFonts w:eastAsia="Calibri"/>
              </w:rPr>
            </w:pPr>
            <w:r w:rsidRPr="00AF3A31">
              <w:rPr>
                <w:rFonts w:eastAsia="Calibri"/>
              </w:rPr>
              <w:t>D1G</w:t>
            </w:r>
            <w:r>
              <w:rPr>
                <w:rFonts w:eastAsia="Calibri"/>
              </w:rPr>
              <w:t xml:space="preserve">: Zmiana nazwy i </w:t>
            </w:r>
            <w:r w:rsidRPr="00AF3A31">
              <w:rPr>
                <w:rFonts w:eastAsia="Calibri"/>
              </w:rPr>
              <w:t xml:space="preserve">opisu  kamienia milowego. </w:t>
            </w:r>
          </w:p>
          <w:p w14:paraId="58D8A4AF" w14:textId="77777777" w:rsidR="00DB00FD" w:rsidRDefault="00DB00FD" w:rsidP="001E2158">
            <w:pPr>
              <w:spacing w:after="120" w:line="240" w:lineRule="auto"/>
              <w:jc w:val="left"/>
              <w:rPr>
                <w:rFonts w:eastAsia="Calibri"/>
              </w:rPr>
            </w:pPr>
            <w:r w:rsidRPr="00AF3A31">
              <w:rPr>
                <w:rFonts w:eastAsia="Calibri"/>
              </w:rPr>
              <w:t>D1G, D5G</w:t>
            </w:r>
            <w:r>
              <w:rPr>
                <w:rFonts w:eastAsia="Calibri"/>
              </w:rPr>
              <w:t>,</w:t>
            </w:r>
            <w:r w:rsidRPr="00AF3A31">
              <w:rPr>
                <w:rFonts w:eastAsia="Calibri"/>
              </w:rPr>
              <w:t xml:space="preserve"> D8G</w:t>
            </w:r>
            <w:r>
              <w:rPr>
                <w:rFonts w:eastAsia="Calibri"/>
              </w:rPr>
              <w:t>:</w:t>
            </w:r>
            <w:r w:rsidRPr="00AF3A31">
              <w:rPr>
                <w:rFonts w:eastAsia="Calibri"/>
              </w:rPr>
              <w:t xml:space="preserve"> </w:t>
            </w:r>
            <w:r>
              <w:rPr>
                <w:rFonts w:eastAsia="Calibri"/>
              </w:rPr>
              <w:t>p</w:t>
            </w:r>
            <w:r w:rsidRPr="00AF3A31">
              <w:rPr>
                <w:rFonts w:eastAsia="Calibri"/>
              </w:rPr>
              <w:t>rzesunięcie terminu realizacji kamienia milowego</w:t>
            </w:r>
            <w:r>
              <w:rPr>
                <w:rFonts w:eastAsia="Calibri"/>
              </w:rPr>
              <w:t>.</w:t>
            </w:r>
            <w:r w:rsidRPr="00AF3A31">
              <w:rPr>
                <w:rFonts w:eastAsia="Calibri"/>
              </w:rPr>
              <w:t xml:space="preserve"> </w:t>
            </w:r>
          </w:p>
          <w:p w14:paraId="0A32A10C" w14:textId="77777777" w:rsidR="00DB00FD" w:rsidRPr="008F19AE" w:rsidRDefault="00DB00FD" w:rsidP="001E2158">
            <w:pPr>
              <w:spacing w:after="120" w:line="240" w:lineRule="auto"/>
              <w:jc w:val="left"/>
              <w:rPr>
                <w:rFonts w:eastAsia="Calibri"/>
                <w:lang w:val="en-GB"/>
              </w:rPr>
            </w:pPr>
            <w:r w:rsidRPr="008F19AE">
              <w:rPr>
                <w:rFonts w:eastAsia="Calibri"/>
                <w:lang w:val="en-GB"/>
              </w:rPr>
              <w:t>D1G: change of</w:t>
            </w:r>
            <w:r>
              <w:rPr>
                <w:rFonts w:eastAsia="Calibri"/>
                <w:lang w:val="en-GB"/>
              </w:rPr>
              <w:t xml:space="preserve"> name and description of the milestone.</w:t>
            </w:r>
          </w:p>
          <w:p w14:paraId="19E81866" w14:textId="1FA8F6C0" w:rsidR="00DB00FD" w:rsidRPr="00A501D9" w:rsidRDefault="00DB00FD" w:rsidP="00A501D9">
            <w:pPr>
              <w:pStyle w:val="HTML-wstpniesformatowany"/>
              <w:rPr>
                <w:rFonts w:ascii="Times New Roman" w:hAnsi="Times New Roman" w:cs="Times New Roman"/>
                <w:sz w:val="24"/>
                <w:szCs w:val="24"/>
                <w:lang w:val="en-GB"/>
              </w:rPr>
            </w:pPr>
            <w:r w:rsidRPr="008F19AE">
              <w:rPr>
                <w:rStyle w:val="y2iqfc"/>
                <w:rFonts w:ascii="Times New Roman" w:hAnsi="Times New Roman" w:cs="Times New Roman"/>
                <w:sz w:val="24"/>
                <w:szCs w:val="24"/>
                <w:lang w:val="en"/>
              </w:rPr>
              <w:t xml:space="preserve">D1G, D5G, D8G: Change of the milestone completion date. </w:t>
            </w:r>
          </w:p>
        </w:tc>
      </w:tr>
      <w:tr w:rsidR="00DB00FD" w:rsidRPr="00935797" w14:paraId="711A086B" w14:textId="77777777" w:rsidTr="001E2158">
        <w:trPr>
          <w:trHeight w:val="964"/>
        </w:trPr>
        <w:tc>
          <w:tcPr>
            <w:tcW w:w="1175" w:type="pct"/>
            <w:gridSpan w:val="2"/>
            <w:tcBorders>
              <w:top w:val="single" w:sz="4" w:space="0" w:color="auto"/>
              <w:left w:val="single" w:sz="4" w:space="0" w:color="auto"/>
              <w:bottom w:val="single" w:sz="4" w:space="0" w:color="auto"/>
              <w:right w:val="single" w:sz="4" w:space="0" w:color="auto"/>
            </w:tcBorders>
            <w:hideMark/>
          </w:tcPr>
          <w:p w14:paraId="33E31FE0" w14:textId="77777777" w:rsidR="00DB00FD" w:rsidRPr="00AF3A31" w:rsidRDefault="00DB00FD" w:rsidP="001E2158">
            <w:pPr>
              <w:spacing w:after="120" w:line="240" w:lineRule="auto"/>
              <w:jc w:val="left"/>
              <w:rPr>
                <w:rFonts w:eastAsia="Calibri"/>
              </w:rPr>
            </w:pPr>
            <w:r w:rsidRPr="00AF3A31">
              <w:rPr>
                <w:rFonts w:eastAsia="Calibri"/>
              </w:rPr>
              <w:t>Podstawa prawna zmiany</w:t>
            </w:r>
          </w:p>
        </w:tc>
        <w:tc>
          <w:tcPr>
            <w:tcW w:w="3825" w:type="pct"/>
            <w:gridSpan w:val="2"/>
            <w:tcBorders>
              <w:top w:val="single" w:sz="4" w:space="0" w:color="auto"/>
              <w:left w:val="single" w:sz="4" w:space="0" w:color="auto"/>
              <w:bottom w:val="single" w:sz="4" w:space="0" w:color="auto"/>
              <w:right w:val="single" w:sz="4" w:space="0" w:color="auto"/>
            </w:tcBorders>
            <w:hideMark/>
          </w:tcPr>
          <w:p w14:paraId="2B4A933E" w14:textId="77777777" w:rsidR="00DB00FD" w:rsidRDefault="00DB00FD" w:rsidP="001E2158">
            <w:pPr>
              <w:spacing w:after="120" w:line="240" w:lineRule="auto"/>
              <w:jc w:val="left"/>
              <w:rPr>
                <w:rFonts w:eastAsia="Calibri"/>
              </w:rPr>
            </w:pPr>
            <w:r w:rsidRPr="00AF3A31">
              <w:rPr>
                <w:rFonts w:eastAsia="Calibri"/>
              </w:rPr>
              <w:t>art. 21 rozporządzenia Parlamentu Europejskiego i Rady (UE) 2021/241 z dnia 12 lutego 2021 r. ustanawiające Instrument na rzecz Odbudowy i Zwiększania Odporności</w:t>
            </w:r>
          </w:p>
          <w:p w14:paraId="66FF7435" w14:textId="77777777" w:rsidR="00DB00FD" w:rsidRPr="008F19AE" w:rsidRDefault="00DB00FD" w:rsidP="001E2158">
            <w:pPr>
              <w:spacing w:after="120" w:line="240" w:lineRule="auto"/>
              <w:jc w:val="left"/>
              <w:rPr>
                <w:rFonts w:eastAsia="Calibri"/>
                <w:lang w:val="en-GB"/>
              </w:rPr>
            </w:pPr>
            <w:r>
              <w:rPr>
                <w:rFonts w:eastAsia="Calibri"/>
                <w:color w:val="000000"/>
                <w:lang w:val="en-GB" w:eastAsia="en-GB"/>
              </w:rPr>
              <w:t>article 21 of Regulation (EU) 2021/241 of the European Parliament and of the Council of 12 February 2021 establishing an Instrument for Reconstruction and Increasing Resilience</w:t>
            </w:r>
          </w:p>
        </w:tc>
      </w:tr>
      <w:tr w:rsidR="00DB00FD" w:rsidRPr="00AF3A31" w14:paraId="550F8403" w14:textId="77777777" w:rsidTr="001E2158">
        <w:tc>
          <w:tcPr>
            <w:tcW w:w="1175" w:type="pct"/>
            <w:gridSpan w:val="2"/>
            <w:tcBorders>
              <w:top w:val="single" w:sz="4" w:space="0" w:color="auto"/>
              <w:left w:val="single" w:sz="4" w:space="0" w:color="auto"/>
              <w:bottom w:val="single" w:sz="4" w:space="0" w:color="auto"/>
              <w:right w:val="single" w:sz="4" w:space="0" w:color="auto"/>
            </w:tcBorders>
            <w:shd w:val="clear" w:color="auto" w:fill="D9D9D9"/>
            <w:hideMark/>
          </w:tcPr>
          <w:p w14:paraId="0EC1D1AF" w14:textId="77777777" w:rsidR="00DB00FD" w:rsidRPr="00AF3A31" w:rsidRDefault="00DB00FD" w:rsidP="001E2158">
            <w:pPr>
              <w:spacing w:after="120" w:line="240" w:lineRule="auto"/>
              <w:jc w:val="left"/>
              <w:rPr>
                <w:rFonts w:eastAsia="Calibri"/>
                <w:highlight w:val="lightGray"/>
              </w:rPr>
            </w:pPr>
            <w:r w:rsidRPr="00AF3A31">
              <w:rPr>
                <w:rFonts w:eastAsia="Calibri"/>
                <w:highlight w:val="lightGray"/>
              </w:rPr>
              <w:t>Modyfikowany element</w:t>
            </w:r>
          </w:p>
        </w:tc>
        <w:tc>
          <w:tcPr>
            <w:tcW w:w="1932" w:type="pct"/>
            <w:tcBorders>
              <w:top w:val="single" w:sz="4" w:space="0" w:color="auto"/>
              <w:left w:val="single" w:sz="4" w:space="0" w:color="auto"/>
              <w:bottom w:val="single" w:sz="4" w:space="0" w:color="auto"/>
              <w:right w:val="single" w:sz="4" w:space="0" w:color="auto"/>
            </w:tcBorders>
            <w:shd w:val="clear" w:color="auto" w:fill="D9D9D9"/>
            <w:hideMark/>
          </w:tcPr>
          <w:p w14:paraId="3C95CDC3" w14:textId="77777777" w:rsidR="00DB00FD" w:rsidRPr="00AF3A31" w:rsidRDefault="00DB00FD" w:rsidP="001E2158">
            <w:pPr>
              <w:spacing w:after="120" w:line="240" w:lineRule="auto"/>
              <w:jc w:val="left"/>
              <w:rPr>
                <w:rFonts w:eastAsia="Calibri"/>
                <w:highlight w:val="lightGray"/>
              </w:rPr>
            </w:pPr>
            <w:r w:rsidRPr="00AF3A31">
              <w:rPr>
                <w:rFonts w:eastAsia="Calibri"/>
                <w:highlight w:val="lightGray"/>
              </w:rPr>
              <w:t>Bieżąca wersja</w:t>
            </w:r>
          </w:p>
        </w:tc>
        <w:tc>
          <w:tcPr>
            <w:tcW w:w="1893" w:type="pct"/>
            <w:tcBorders>
              <w:top w:val="single" w:sz="4" w:space="0" w:color="auto"/>
              <w:left w:val="single" w:sz="4" w:space="0" w:color="auto"/>
              <w:bottom w:val="single" w:sz="4" w:space="0" w:color="auto"/>
              <w:right w:val="single" w:sz="4" w:space="0" w:color="auto"/>
            </w:tcBorders>
            <w:shd w:val="clear" w:color="auto" w:fill="D9D9D9"/>
            <w:hideMark/>
          </w:tcPr>
          <w:p w14:paraId="5A038B9A" w14:textId="77777777" w:rsidR="00DB00FD" w:rsidRPr="00AF3A31" w:rsidRDefault="00DB00FD" w:rsidP="001E2158">
            <w:pPr>
              <w:spacing w:after="120" w:line="240" w:lineRule="auto"/>
              <w:jc w:val="left"/>
              <w:rPr>
                <w:rFonts w:eastAsia="Calibri"/>
                <w:highlight w:val="lightGray"/>
              </w:rPr>
            </w:pPr>
            <w:r w:rsidRPr="00AF3A31">
              <w:rPr>
                <w:rFonts w:eastAsia="Calibri"/>
                <w:highlight w:val="lightGray"/>
              </w:rPr>
              <w:t>Wersja zmieniona</w:t>
            </w:r>
          </w:p>
        </w:tc>
      </w:tr>
      <w:tr w:rsidR="00DB00FD" w14:paraId="227C95CC" w14:textId="77777777" w:rsidTr="001E2158">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9" w:type="pct"/>
          <w:trHeight w:val="100"/>
        </w:trPr>
        <w:tc>
          <w:tcPr>
            <w:tcW w:w="4951" w:type="pct"/>
            <w:gridSpan w:val="3"/>
          </w:tcPr>
          <w:p w14:paraId="4F48449A" w14:textId="77777777" w:rsidR="00DB00FD" w:rsidRDefault="00DB00FD" w:rsidP="001E2158">
            <w:pPr>
              <w:spacing w:after="0" w:line="240" w:lineRule="auto"/>
              <w:jc w:val="left"/>
              <w:rPr>
                <w:rFonts w:eastAsia="Calibri"/>
              </w:rPr>
            </w:pPr>
          </w:p>
        </w:tc>
      </w:tr>
      <w:tr w:rsidR="00DB00FD" w:rsidRPr="00AF3A31" w14:paraId="12C309E8" w14:textId="77777777" w:rsidTr="001E2158">
        <w:trPr>
          <w:trHeight w:val="5802"/>
        </w:trPr>
        <w:tc>
          <w:tcPr>
            <w:tcW w:w="1175" w:type="pct"/>
            <w:gridSpan w:val="2"/>
            <w:vMerge w:val="restart"/>
            <w:tcBorders>
              <w:top w:val="single" w:sz="4" w:space="0" w:color="auto"/>
              <w:left w:val="single" w:sz="4" w:space="0" w:color="auto"/>
              <w:bottom w:val="single" w:sz="4" w:space="0" w:color="auto"/>
              <w:right w:val="single" w:sz="4" w:space="0" w:color="auto"/>
            </w:tcBorders>
            <w:hideMark/>
          </w:tcPr>
          <w:p w14:paraId="208B8263" w14:textId="77777777" w:rsidR="00DB00FD" w:rsidRPr="00AF3A31" w:rsidRDefault="00DB00FD" w:rsidP="001E2158">
            <w:pPr>
              <w:spacing w:after="0" w:line="240" w:lineRule="auto"/>
              <w:jc w:val="left"/>
              <w:rPr>
                <w:rFonts w:eastAsia="Calibri"/>
              </w:rPr>
            </w:pPr>
            <w:r w:rsidRPr="00AF3A31">
              <w:rPr>
                <w:rFonts w:eastAsia="Calibri"/>
              </w:rPr>
              <w:t xml:space="preserve">Opis reformy/mierników </w:t>
            </w:r>
          </w:p>
        </w:tc>
        <w:tc>
          <w:tcPr>
            <w:tcW w:w="1932" w:type="pct"/>
            <w:tcBorders>
              <w:top w:val="single" w:sz="4" w:space="0" w:color="auto"/>
              <w:left w:val="single" w:sz="4" w:space="0" w:color="auto"/>
              <w:bottom w:val="single" w:sz="4" w:space="0" w:color="auto"/>
              <w:right w:val="single" w:sz="4" w:space="0" w:color="auto"/>
            </w:tcBorders>
            <w:hideMark/>
          </w:tcPr>
          <w:p w14:paraId="2315CA30" w14:textId="77777777" w:rsidR="00DB00FD" w:rsidRDefault="00DB00FD" w:rsidP="001E2158">
            <w:pPr>
              <w:tabs>
                <w:tab w:val="left" w:pos="1750"/>
              </w:tabs>
              <w:spacing w:after="120" w:line="240" w:lineRule="auto"/>
              <w:jc w:val="left"/>
              <w:rPr>
                <w:rFonts w:eastAsia="Calibri"/>
              </w:rPr>
            </w:pPr>
            <w:r>
              <w:rPr>
                <w:rFonts w:eastAsia="Calibri"/>
              </w:rPr>
              <w:t>Opis reformy D1.1</w:t>
            </w:r>
          </w:p>
          <w:p w14:paraId="15FA4C16" w14:textId="77777777" w:rsidR="00DB00FD" w:rsidRDefault="00DB00FD" w:rsidP="001E2158">
            <w:pPr>
              <w:autoSpaceDE w:val="0"/>
              <w:autoSpaceDN w:val="0"/>
              <w:adjustRightInd w:val="0"/>
              <w:spacing w:after="0" w:line="240" w:lineRule="auto"/>
              <w:jc w:val="left"/>
              <w:rPr>
                <w:sz w:val="23"/>
                <w:szCs w:val="23"/>
              </w:rPr>
            </w:pPr>
            <w:r>
              <w:rPr>
                <w:sz w:val="23"/>
                <w:szCs w:val="23"/>
              </w:rPr>
              <w:t xml:space="preserve">Celem reformy jest wprowadzenie kompleksowych działań polegających na restrukturyzacji szpitali publicznych. Reforma ma zapewnić trwałą poprawę odporności, skuteczności, jakości i dostępności opieki zdrowotnej i opieki długoterminowej, poprawę sytuacji finansowej szpitali publicznych oraz procesów nadzorowania i zarządzania tymi jednostkami. Reforma dotyczy całego sektora szpitali, w ramach którego świadczone są usługi opieki zdrowotnej finansowane ze środków publicznych. </w:t>
            </w:r>
          </w:p>
          <w:p w14:paraId="3E45A7C2" w14:textId="77777777" w:rsidR="00DB00FD" w:rsidRPr="005619FE" w:rsidRDefault="00DB00FD" w:rsidP="001E2158">
            <w:pPr>
              <w:autoSpaceDE w:val="0"/>
              <w:autoSpaceDN w:val="0"/>
              <w:adjustRightInd w:val="0"/>
              <w:spacing w:after="0" w:line="240" w:lineRule="auto"/>
              <w:jc w:val="left"/>
              <w:rPr>
                <w:rFonts w:ascii="TimesNewRomanPSMT" w:eastAsiaTheme="minorHAnsi" w:hAnsi="TimesNewRomanPSMT" w:cs="TimesNewRomanPSMT"/>
                <w:color w:val="000000"/>
                <w:sz w:val="23"/>
                <w:szCs w:val="23"/>
              </w:rPr>
            </w:pPr>
            <w:r w:rsidRPr="005619FE">
              <w:rPr>
                <w:rFonts w:ascii="TimesNewRomanPSMT" w:eastAsiaTheme="minorHAnsi" w:hAnsi="TimesNewRomanPSMT" w:cs="TimesNewRomanPSMT"/>
                <w:color w:val="000000"/>
                <w:sz w:val="23"/>
                <w:szCs w:val="23"/>
              </w:rPr>
              <w:t xml:space="preserve">Reforma ma również zapewnić podstawy do działań prowadzących do racjonalizacji piramidy </w:t>
            </w:r>
            <w:r w:rsidRPr="005619FE">
              <w:rPr>
                <w:rFonts w:eastAsiaTheme="minorHAnsi"/>
                <w:color w:val="000000"/>
                <w:sz w:val="23"/>
                <w:szCs w:val="23"/>
              </w:rPr>
              <w:t xml:space="preserve">opieki zdrowotnej, m.in. poprzez wprowadzenie nowych przepisów ustawy o podstawowej opiece zdrowotnej. </w:t>
            </w:r>
          </w:p>
          <w:p w14:paraId="1141870F" w14:textId="77777777" w:rsidR="00DB00FD" w:rsidRPr="005619FE" w:rsidRDefault="00DB00FD" w:rsidP="001E2158">
            <w:pPr>
              <w:autoSpaceDE w:val="0"/>
              <w:autoSpaceDN w:val="0"/>
              <w:adjustRightInd w:val="0"/>
              <w:spacing w:after="0" w:line="240" w:lineRule="auto"/>
              <w:jc w:val="left"/>
              <w:rPr>
                <w:rFonts w:ascii="TimesNewRomanPSMT" w:eastAsiaTheme="minorHAnsi" w:hAnsi="TimesNewRomanPSMT" w:cs="TimesNewRomanPSMT"/>
                <w:color w:val="000000"/>
                <w:sz w:val="23"/>
                <w:szCs w:val="23"/>
              </w:rPr>
            </w:pPr>
            <w:r w:rsidRPr="005619FE">
              <w:rPr>
                <w:rFonts w:eastAsiaTheme="minorHAnsi"/>
                <w:color w:val="000000"/>
                <w:sz w:val="23"/>
                <w:szCs w:val="23"/>
              </w:rPr>
              <w:t xml:space="preserve">Reforma </w:t>
            </w:r>
            <w:r w:rsidRPr="005619FE">
              <w:rPr>
                <w:rFonts w:ascii="TimesNewRomanPSMT" w:eastAsiaTheme="minorHAnsi" w:hAnsi="TimesNewRomanPSMT" w:cs="TimesNewRomanPSMT"/>
                <w:color w:val="000000"/>
                <w:sz w:val="23"/>
                <w:szCs w:val="23"/>
              </w:rPr>
              <w:t xml:space="preserve">sektora szpitali zostanie wprowadzona jedną nową ustawą, która będzie mogła jednak wprowadzać zmiany do już istniejących ustaw, takich jak: ustawa o działalności leczniczej czy </w:t>
            </w:r>
            <w:r w:rsidRPr="005619FE">
              <w:rPr>
                <w:rFonts w:eastAsiaTheme="minorHAnsi"/>
                <w:color w:val="000000"/>
                <w:sz w:val="23"/>
                <w:szCs w:val="23"/>
              </w:rPr>
              <w:t xml:space="preserve">ustawa o </w:t>
            </w:r>
            <w:r w:rsidRPr="005619FE">
              <w:rPr>
                <w:rFonts w:ascii="TimesNewRomanPSMT" w:eastAsiaTheme="minorHAnsi" w:hAnsi="TimesNewRomanPSMT" w:cs="TimesNewRomanPSMT"/>
                <w:color w:val="000000"/>
                <w:sz w:val="23"/>
                <w:szCs w:val="23"/>
              </w:rPr>
              <w:t xml:space="preserve">świadczeniach opieki zdrowotnej finansowanych ze środków publicznych. </w:t>
            </w:r>
            <w:r w:rsidRPr="005619FE">
              <w:rPr>
                <w:rFonts w:ascii="TimesNewRomanPSMT" w:eastAsiaTheme="minorHAnsi" w:hAnsi="TimesNewRomanPSMT" w:cs="TimesNewRomanPSMT"/>
                <w:color w:val="000000"/>
                <w:sz w:val="23"/>
                <w:szCs w:val="23"/>
              </w:rPr>
              <w:lastRenderedPageBreak/>
              <w:t xml:space="preserve">Najważniejsze postanowienia reformy są następujące: </w:t>
            </w:r>
          </w:p>
          <w:p w14:paraId="19E70C2A" w14:textId="77777777" w:rsidR="00DB00FD" w:rsidRPr="005619FE" w:rsidRDefault="00DB00FD" w:rsidP="001E2158">
            <w:pPr>
              <w:autoSpaceDE w:val="0"/>
              <w:autoSpaceDN w:val="0"/>
              <w:adjustRightInd w:val="0"/>
              <w:spacing w:after="0" w:line="240" w:lineRule="auto"/>
              <w:jc w:val="left"/>
              <w:rPr>
                <w:rFonts w:ascii="TimesNewRomanPSMT" w:eastAsiaTheme="minorHAnsi" w:hAnsi="TimesNewRomanPSMT" w:cs="TimesNewRomanPSMT"/>
                <w:color w:val="000000"/>
                <w:sz w:val="23"/>
                <w:szCs w:val="23"/>
              </w:rPr>
            </w:pPr>
            <w:r w:rsidRPr="005619FE">
              <w:rPr>
                <w:rFonts w:ascii="TimesNewRomanPSMT" w:eastAsiaTheme="minorHAnsi" w:hAnsi="TimesNewRomanPSMT" w:cs="TimesNewRomanPSMT"/>
                <w:color w:val="000000"/>
                <w:sz w:val="23"/>
                <w:szCs w:val="23"/>
              </w:rPr>
              <w:t xml:space="preserve">– restrukturyzacja sektora szpitali poprzez konsolidację, przeprofilowanie oraz zmianę zakresu </w:t>
            </w:r>
            <w:r w:rsidRPr="005619FE">
              <w:rPr>
                <w:rFonts w:eastAsiaTheme="minorHAnsi"/>
                <w:color w:val="000000"/>
                <w:sz w:val="23"/>
                <w:szCs w:val="23"/>
              </w:rPr>
              <w:t xml:space="preserve">i </w:t>
            </w:r>
            <w:r w:rsidRPr="005619FE">
              <w:rPr>
                <w:rFonts w:ascii="TimesNewRomanPSMT" w:eastAsiaTheme="minorHAnsi" w:hAnsi="TimesNewRomanPSMT" w:cs="TimesNewRomanPSMT"/>
                <w:color w:val="000000"/>
                <w:sz w:val="23"/>
                <w:szCs w:val="23"/>
              </w:rPr>
              <w:t xml:space="preserve">struktury usług opieki zdrowotnej świadczonych przez szpitale, na podstawie krajowych </w:t>
            </w:r>
            <w:r w:rsidRPr="005619FE">
              <w:rPr>
                <w:rFonts w:eastAsiaTheme="minorHAnsi"/>
                <w:color w:val="000000"/>
                <w:sz w:val="23"/>
                <w:szCs w:val="23"/>
              </w:rPr>
              <w:t>i regionalnych planó</w:t>
            </w:r>
            <w:r w:rsidRPr="005619FE">
              <w:rPr>
                <w:rFonts w:ascii="TimesNewRomanPSMT" w:eastAsiaTheme="minorHAnsi" w:hAnsi="TimesNewRomanPSMT" w:cs="TimesNewRomanPSMT"/>
                <w:color w:val="000000"/>
                <w:sz w:val="23"/>
                <w:szCs w:val="23"/>
              </w:rPr>
              <w:t xml:space="preserve">w przekształceń oraz mapy potrzeb zdrowotnych, a także odpowiednią aktualizację sieci szpitali. W ramach procesu restrukturyzacji uwzględnia się potrzeby szpitali objętych nadzorem Ministra Obrony Narodowej lub Ministra Spraw Wewnętrznych związane </w:t>
            </w:r>
            <w:r w:rsidRPr="005619FE">
              <w:rPr>
                <w:rFonts w:eastAsiaTheme="minorHAnsi"/>
                <w:color w:val="000000"/>
                <w:sz w:val="23"/>
                <w:szCs w:val="23"/>
              </w:rPr>
              <w:t xml:space="preserve">z </w:t>
            </w:r>
            <w:r w:rsidRPr="005619FE">
              <w:rPr>
                <w:rFonts w:ascii="TimesNewRomanPSMT" w:eastAsiaTheme="minorHAnsi" w:hAnsi="TimesNewRomanPSMT" w:cs="TimesNewRomanPSMT"/>
                <w:color w:val="000000"/>
                <w:sz w:val="23"/>
                <w:szCs w:val="23"/>
              </w:rPr>
              <w:t>wpływe</w:t>
            </w:r>
            <w:r w:rsidRPr="005619FE">
              <w:rPr>
                <w:rFonts w:eastAsiaTheme="minorHAnsi"/>
                <w:color w:val="000000"/>
                <w:sz w:val="23"/>
                <w:szCs w:val="23"/>
              </w:rPr>
              <w:t xml:space="preserve">m wojny w Ukrainie; </w:t>
            </w:r>
          </w:p>
          <w:p w14:paraId="4FCA6632" w14:textId="77777777" w:rsidR="00DB00FD" w:rsidRPr="005619FE" w:rsidRDefault="00DB00FD" w:rsidP="001E2158">
            <w:pPr>
              <w:autoSpaceDE w:val="0"/>
              <w:autoSpaceDN w:val="0"/>
              <w:adjustRightInd w:val="0"/>
              <w:spacing w:after="0" w:line="240" w:lineRule="auto"/>
              <w:jc w:val="left"/>
              <w:rPr>
                <w:rFonts w:ascii="TimesNewRomanPSMT" w:eastAsiaTheme="minorHAnsi" w:hAnsi="TimesNewRomanPSMT" w:cs="TimesNewRomanPSMT"/>
                <w:color w:val="000000"/>
                <w:sz w:val="23"/>
                <w:szCs w:val="23"/>
              </w:rPr>
            </w:pPr>
            <w:r w:rsidRPr="005619FE">
              <w:rPr>
                <w:rFonts w:ascii="TimesNewRomanPSMT" w:eastAsiaTheme="minorHAnsi" w:hAnsi="TimesNewRomanPSMT" w:cs="TimesNewRomanPSMT"/>
                <w:color w:val="000000"/>
                <w:sz w:val="23"/>
                <w:szCs w:val="23"/>
              </w:rPr>
              <w:t xml:space="preserve">– podstawy do działań na rzecz racjonalizacji piramidy opieki zdrowotnej poprzez przesunięcie niektórych świadczeń zdrowotnych ze szpitali na niższe poziomy opieki (podstawowa opieka </w:t>
            </w:r>
            <w:r w:rsidRPr="005619FE">
              <w:rPr>
                <w:rFonts w:eastAsiaTheme="minorHAnsi"/>
                <w:color w:val="000000"/>
                <w:sz w:val="23"/>
                <w:szCs w:val="23"/>
              </w:rPr>
              <w:t xml:space="preserve">zdrowotna, opieka ambulatoryjna) z odpowiednio zmienionymi zapisami w rocznych planach finansowych NFZ (Narodowego Funduszu Zdrowia) oraz </w:t>
            </w:r>
          </w:p>
          <w:p w14:paraId="22BF7C2F" w14:textId="77777777" w:rsidR="00DB00FD" w:rsidRPr="005619FE" w:rsidRDefault="00DB00FD" w:rsidP="001E2158">
            <w:pPr>
              <w:autoSpaceDE w:val="0"/>
              <w:autoSpaceDN w:val="0"/>
              <w:adjustRightInd w:val="0"/>
              <w:spacing w:after="0" w:line="240" w:lineRule="auto"/>
              <w:jc w:val="left"/>
              <w:rPr>
                <w:rFonts w:ascii="TimesNewRomanPSMT" w:eastAsiaTheme="minorHAnsi" w:hAnsi="TimesNewRomanPSMT" w:cs="TimesNewRomanPSMT"/>
                <w:color w:val="000000"/>
                <w:sz w:val="23"/>
                <w:szCs w:val="23"/>
              </w:rPr>
            </w:pPr>
            <w:r w:rsidRPr="005619FE">
              <w:rPr>
                <w:rFonts w:ascii="TimesNewRomanPSMT" w:eastAsiaTheme="minorHAnsi" w:hAnsi="TimesNewRomanPSMT" w:cs="TimesNewRomanPSMT"/>
                <w:color w:val="000000"/>
                <w:sz w:val="23"/>
                <w:szCs w:val="23"/>
              </w:rPr>
              <w:t xml:space="preserve">– </w:t>
            </w:r>
            <w:r w:rsidRPr="005619FE">
              <w:rPr>
                <w:rFonts w:eastAsiaTheme="minorHAnsi"/>
                <w:color w:val="000000"/>
                <w:sz w:val="23"/>
                <w:szCs w:val="23"/>
              </w:rPr>
              <w:t xml:space="preserve">zmiany w </w:t>
            </w:r>
            <w:r w:rsidRPr="005619FE">
              <w:rPr>
                <w:rFonts w:ascii="TimesNewRomanPSMT" w:eastAsiaTheme="minorHAnsi" w:hAnsi="TimesNewRomanPSMT" w:cs="TimesNewRomanPSMT"/>
                <w:color w:val="000000"/>
                <w:sz w:val="23"/>
                <w:szCs w:val="23"/>
              </w:rPr>
              <w:t xml:space="preserve">systemie finansowania szpitali, zapewniające skuteczną i trwałą restrukturyzację, </w:t>
            </w:r>
            <w:r w:rsidRPr="005619FE">
              <w:rPr>
                <w:rFonts w:eastAsiaTheme="minorHAnsi"/>
                <w:color w:val="000000"/>
                <w:sz w:val="23"/>
                <w:szCs w:val="23"/>
              </w:rPr>
              <w:t xml:space="preserve">w </w:t>
            </w:r>
            <w:r w:rsidRPr="005619FE">
              <w:rPr>
                <w:rFonts w:ascii="TimesNewRomanPSMT" w:eastAsiaTheme="minorHAnsi" w:hAnsi="TimesNewRomanPSMT" w:cs="TimesNewRomanPSMT"/>
                <w:color w:val="000000"/>
                <w:sz w:val="23"/>
                <w:szCs w:val="23"/>
              </w:rPr>
              <w:t xml:space="preserve">tym rozwiązanie kwestii umarzania długów szpitali w sposób zrównoważony, na </w:t>
            </w:r>
            <w:r w:rsidRPr="005619FE">
              <w:rPr>
                <w:rFonts w:eastAsiaTheme="minorHAnsi"/>
                <w:color w:val="000000"/>
                <w:sz w:val="23"/>
                <w:szCs w:val="23"/>
              </w:rPr>
              <w:t xml:space="preserve">podstawie przejrzystych i opartych na dowodach kryteriów oraz solidnego systemu finansowania szpitali, </w:t>
            </w:r>
            <w:r w:rsidRPr="005619FE">
              <w:rPr>
                <w:rFonts w:ascii="TimesNewRomanPSMT" w:eastAsiaTheme="minorHAnsi" w:hAnsi="TimesNewRomanPSMT" w:cs="TimesNewRomanPSMT"/>
                <w:color w:val="000000"/>
                <w:sz w:val="23"/>
                <w:szCs w:val="23"/>
              </w:rPr>
              <w:t xml:space="preserve">motywującego do właściwego świadczenia opieki oraz zwiększania efektywności i jakości </w:t>
            </w:r>
            <w:r w:rsidRPr="005619FE">
              <w:rPr>
                <w:rFonts w:eastAsiaTheme="minorHAnsi"/>
                <w:color w:val="000000"/>
                <w:sz w:val="23"/>
                <w:szCs w:val="23"/>
              </w:rPr>
              <w:t xml:space="preserve">opieki, a </w:t>
            </w:r>
            <w:r w:rsidRPr="005619FE">
              <w:rPr>
                <w:rFonts w:ascii="TimesNewRomanPSMT" w:eastAsiaTheme="minorHAnsi" w:hAnsi="TimesNewRomanPSMT" w:cs="TimesNewRomanPSMT"/>
                <w:color w:val="000000"/>
                <w:sz w:val="23"/>
                <w:szCs w:val="23"/>
              </w:rPr>
              <w:t>także stworzenie profesjonalnego systemu nadzoru nad szpi</w:t>
            </w:r>
            <w:r w:rsidRPr="005619FE">
              <w:rPr>
                <w:rFonts w:eastAsiaTheme="minorHAnsi"/>
                <w:color w:val="000000"/>
                <w:sz w:val="23"/>
                <w:szCs w:val="23"/>
              </w:rPr>
              <w:t xml:space="preserve">talami, wzmocnienie </w:t>
            </w:r>
            <w:r w:rsidRPr="005619FE">
              <w:rPr>
                <w:rFonts w:ascii="TimesNewRomanPSMT" w:eastAsiaTheme="minorHAnsi" w:hAnsi="TimesNewRomanPSMT" w:cs="TimesNewRomanPSMT"/>
                <w:color w:val="000000"/>
                <w:sz w:val="23"/>
                <w:szCs w:val="23"/>
              </w:rPr>
              <w:t xml:space="preserve">kadry zarządzającej oraz zachęcanie do stosowania nowoczesnych systemów, narzędzi i </w:t>
            </w:r>
            <w:r w:rsidRPr="005619FE">
              <w:rPr>
                <w:rFonts w:eastAsiaTheme="minorHAnsi"/>
                <w:color w:val="000000"/>
                <w:sz w:val="23"/>
                <w:szCs w:val="23"/>
              </w:rPr>
              <w:t xml:space="preserve">metod </w:t>
            </w:r>
            <w:r w:rsidRPr="005619FE">
              <w:rPr>
                <w:rFonts w:ascii="TimesNewRomanPSMT" w:eastAsiaTheme="minorHAnsi" w:hAnsi="TimesNewRomanPSMT" w:cs="TimesNewRomanPSMT"/>
                <w:color w:val="000000"/>
                <w:sz w:val="23"/>
                <w:szCs w:val="23"/>
              </w:rPr>
              <w:t xml:space="preserve">zarządzania w </w:t>
            </w:r>
            <w:r w:rsidRPr="005619FE">
              <w:rPr>
                <w:rFonts w:eastAsiaTheme="minorHAnsi"/>
                <w:color w:val="000000"/>
                <w:sz w:val="23"/>
                <w:szCs w:val="23"/>
              </w:rPr>
              <w:t xml:space="preserve">opiece zdrowotnej. </w:t>
            </w:r>
          </w:p>
          <w:p w14:paraId="270BDFC2" w14:textId="77777777" w:rsidR="00DB00FD" w:rsidRPr="005619FE" w:rsidRDefault="00DB00FD" w:rsidP="001E2158">
            <w:pPr>
              <w:autoSpaceDE w:val="0"/>
              <w:autoSpaceDN w:val="0"/>
              <w:adjustRightInd w:val="0"/>
              <w:spacing w:after="0" w:line="240" w:lineRule="auto"/>
              <w:jc w:val="left"/>
              <w:rPr>
                <w:rFonts w:ascii="TimesNewRomanPSMT" w:eastAsiaTheme="minorHAnsi" w:hAnsi="TimesNewRomanPSMT" w:cs="TimesNewRomanPSMT"/>
                <w:color w:val="000000"/>
                <w:sz w:val="23"/>
                <w:szCs w:val="23"/>
              </w:rPr>
            </w:pPr>
            <w:r w:rsidRPr="005619FE">
              <w:rPr>
                <w:rFonts w:ascii="TimesNewRomanPSMT" w:eastAsiaTheme="minorHAnsi" w:hAnsi="TimesNewRomanPSMT" w:cs="TimesNewRomanPSMT"/>
                <w:color w:val="000000"/>
                <w:sz w:val="23"/>
                <w:szCs w:val="23"/>
              </w:rPr>
              <w:t xml:space="preserve">Reformę sektora szpitali należy uzupełnić o </w:t>
            </w:r>
            <w:r w:rsidRPr="005619FE">
              <w:rPr>
                <w:rFonts w:eastAsiaTheme="minorHAnsi"/>
                <w:color w:val="000000"/>
                <w:sz w:val="23"/>
                <w:szCs w:val="23"/>
              </w:rPr>
              <w:t xml:space="preserve">reformy Krajowej Sieci Onkologicznej i Krajowej Sieci Kardiologicznej </w:t>
            </w:r>
            <w:r w:rsidRPr="005619FE">
              <w:rPr>
                <w:rFonts w:ascii="TimesNewRomanPSMT" w:eastAsiaTheme="minorHAnsi" w:hAnsi="TimesNewRomanPSMT" w:cs="TimesNewRomanPSMT"/>
                <w:color w:val="000000"/>
                <w:sz w:val="23"/>
                <w:szCs w:val="23"/>
              </w:rPr>
              <w:t xml:space="preserve">oraz jakości opieki zdrowotnej i bezpieczeństwa pacjentów. Celem tych reform jest poprawa dostępu do usług w </w:t>
            </w:r>
            <w:r w:rsidRPr="005619FE">
              <w:rPr>
                <w:rFonts w:eastAsiaTheme="minorHAnsi"/>
                <w:color w:val="000000"/>
                <w:sz w:val="23"/>
                <w:szCs w:val="23"/>
              </w:rPr>
              <w:t xml:space="preserve">zakresie opieki onkologicznej i kardiologicznej oraz </w:t>
            </w:r>
            <w:r w:rsidRPr="005619FE">
              <w:rPr>
                <w:rFonts w:ascii="TimesNewRomanPSMT" w:eastAsiaTheme="minorHAnsi" w:hAnsi="TimesNewRomanPSMT" w:cs="TimesNewRomanPSMT"/>
                <w:color w:val="000000"/>
                <w:sz w:val="23"/>
                <w:szCs w:val="23"/>
              </w:rPr>
              <w:t xml:space="preserve">poprawa jakości tych usług. Reforma dotycząca jakości opieki zdrowotnej i bezpieczeństwa </w:t>
            </w:r>
            <w:r w:rsidRPr="005619FE">
              <w:rPr>
                <w:rFonts w:eastAsiaTheme="minorHAnsi"/>
                <w:color w:val="000000"/>
                <w:sz w:val="23"/>
                <w:szCs w:val="23"/>
              </w:rPr>
              <w:t>pacj</w:t>
            </w:r>
            <w:r w:rsidRPr="005619FE">
              <w:rPr>
                <w:rFonts w:ascii="TimesNewRomanPSMT" w:eastAsiaTheme="minorHAnsi" w:hAnsi="TimesNewRomanPSMT" w:cs="TimesNewRomanPSMT"/>
                <w:color w:val="000000"/>
                <w:sz w:val="23"/>
                <w:szCs w:val="23"/>
              </w:rPr>
              <w:t xml:space="preserve">entów ma na celu wprowadzenie rozwiązań systemowych w zakresie norm jakości </w:t>
            </w:r>
            <w:r w:rsidRPr="005619FE">
              <w:rPr>
                <w:rFonts w:eastAsiaTheme="minorHAnsi"/>
                <w:color w:val="000000"/>
                <w:sz w:val="23"/>
                <w:szCs w:val="23"/>
              </w:rPr>
              <w:t xml:space="preserve">przepisów ochrony zdrowia oraz ich monitorowanie w </w:t>
            </w:r>
            <w:r w:rsidRPr="005619FE">
              <w:rPr>
                <w:rFonts w:ascii="TimesNewRomanPSMT" w:eastAsiaTheme="minorHAnsi" w:hAnsi="TimesNewRomanPSMT" w:cs="TimesNewRomanPSMT"/>
                <w:color w:val="000000"/>
                <w:sz w:val="23"/>
                <w:szCs w:val="23"/>
              </w:rPr>
              <w:t xml:space="preserve">celu uzyskania trwałych efektów </w:t>
            </w:r>
            <w:r w:rsidRPr="005619FE">
              <w:rPr>
                <w:rFonts w:eastAsiaTheme="minorHAnsi"/>
                <w:color w:val="000000"/>
                <w:sz w:val="23"/>
                <w:szCs w:val="23"/>
              </w:rPr>
              <w:t xml:space="preserve">reformy. </w:t>
            </w:r>
          </w:p>
          <w:p w14:paraId="0D93D04C" w14:textId="77777777" w:rsidR="00DB00FD" w:rsidRPr="005619FE" w:rsidRDefault="00DB00FD" w:rsidP="001E2158">
            <w:pPr>
              <w:autoSpaceDE w:val="0"/>
              <w:autoSpaceDN w:val="0"/>
              <w:adjustRightInd w:val="0"/>
              <w:spacing w:after="0" w:line="240" w:lineRule="auto"/>
              <w:jc w:val="left"/>
              <w:rPr>
                <w:rFonts w:ascii="TimesNewRomanPSMT" w:eastAsiaTheme="minorHAnsi" w:hAnsi="TimesNewRomanPSMT" w:cs="TimesNewRomanPSMT"/>
                <w:color w:val="000000"/>
                <w:sz w:val="23"/>
                <w:szCs w:val="23"/>
              </w:rPr>
            </w:pPr>
            <w:r w:rsidRPr="005619FE">
              <w:rPr>
                <w:rFonts w:ascii="TimesNewRomanPSMT" w:eastAsiaTheme="minorHAnsi" w:hAnsi="TimesNewRomanPSMT" w:cs="TimesNewRomanPSMT"/>
                <w:color w:val="000000"/>
                <w:sz w:val="23"/>
                <w:szCs w:val="23"/>
              </w:rPr>
              <w:t xml:space="preserve">Reforma obejmie również pakiet legislacyjny dotyczący uruchomienia krajowych usług </w:t>
            </w:r>
            <w:r w:rsidRPr="005619FE">
              <w:rPr>
                <w:rFonts w:eastAsiaTheme="minorHAnsi"/>
                <w:color w:val="000000"/>
                <w:sz w:val="23"/>
                <w:szCs w:val="23"/>
              </w:rPr>
              <w:t xml:space="preserve">w zakresie e-zdrowia oraz ich integracji z </w:t>
            </w:r>
            <w:r w:rsidRPr="005619FE">
              <w:rPr>
                <w:rFonts w:ascii="TimesNewRomanPSMT" w:eastAsiaTheme="minorHAnsi" w:hAnsi="TimesNewRomanPSMT" w:cs="TimesNewRomanPSMT"/>
                <w:color w:val="000000"/>
                <w:sz w:val="23"/>
                <w:szCs w:val="23"/>
              </w:rPr>
              <w:t>istniejącymi/dostępnymi systemami e</w:t>
            </w:r>
            <w:r w:rsidRPr="005619FE">
              <w:rPr>
                <w:rFonts w:eastAsiaTheme="minorHAnsi"/>
                <w:color w:val="000000"/>
                <w:sz w:val="23"/>
                <w:szCs w:val="23"/>
              </w:rPr>
              <w:t xml:space="preserve">-zdrowia na poziomie krajowym i regionalnym. </w:t>
            </w:r>
          </w:p>
          <w:p w14:paraId="7AAABDA3" w14:textId="77777777" w:rsidR="00DB00FD" w:rsidRDefault="00DB00FD" w:rsidP="001E2158">
            <w:pPr>
              <w:autoSpaceDE w:val="0"/>
              <w:autoSpaceDN w:val="0"/>
              <w:adjustRightInd w:val="0"/>
              <w:spacing w:after="0" w:line="240" w:lineRule="auto"/>
              <w:jc w:val="left"/>
              <w:rPr>
                <w:color w:val="000000"/>
                <w:sz w:val="23"/>
                <w:szCs w:val="23"/>
              </w:rPr>
            </w:pPr>
            <w:r w:rsidRPr="005619FE">
              <w:rPr>
                <w:rFonts w:ascii="TimesNewRomanPSMT" w:eastAsiaTheme="minorHAnsi" w:hAnsi="TimesNewRomanPSMT" w:cs="TimesNewRomanPSMT"/>
                <w:color w:val="000000"/>
                <w:sz w:val="23"/>
                <w:szCs w:val="23"/>
              </w:rPr>
              <w:t>Realizacja reformy zostanie zakończona do dnia 31 marca 2026 r.</w:t>
            </w:r>
          </w:p>
          <w:p w14:paraId="033A01BE" w14:textId="77777777" w:rsidR="00DB00FD" w:rsidRPr="008F19AE" w:rsidRDefault="00DB00FD" w:rsidP="001E2158">
            <w:pPr>
              <w:autoSpaceDE w:val="0"/>
              <w:autoSpaceDN w:val="0"/>
              <w:adjustRightInd w:val="0"/>
              <w:spacing w:after="0" w:line="240" w:lineRule="auto"/>
              <w:jc w:val="left"/>
              <w:rPr>
                <w:color w:val="000000"/>
                <w:sz w:val="23"/>
                <w:szCs w:val="23"/>
              </w:rPr>
            </w:pPr>
          </w:p>
          <w:p w14:paraId="63617C4F" w14:textId="77777777" w:rsidR="00DB00FD" w:rsidRPr="008F19AE" w:rsidRDefault="00DB00FD" w:rsidP="001E2158">
            <w:pPr>
              <w:autoSpaceDE w:val="0"/>
              <w:autoSpaceDN w:val="0"/>
              <w:adjustRightInd w:val="0"/>
              <w:spacing w:after="0" w:line="240" w:lineRule="auto"/>
              <w:jc w:val="left"/>
              <w:rPr>
                <w:color w:val="000000"/>
                <w:sz w:val="23"/>
                <w:szCs w:val="23"/>
              </w:rPr>
            </w:pPr>
          </w:p>
          <w:p w14:paraId="2DEADBF0" w14:textId="77777777" w:rsidR="00DB00FD" w:rsidRDefault="00DB00FD" w:rsidP="001E2158">
            <w:pPr>
              <w:autoSpaceDE w:val="0"/>
              <w:autoSpaceDN w:val="0"/>
              <w:adjustRightInd w:val="0"/>
              <w:spacing w:after="0" w:line="240" w:lineRule="auto"/>
              <w:jc w:val="left"/>
              <w:rPr>
                <w:color w:val="000000"/>
                <w:sz w:val="23"/>
                <w:szCs w:val="23"/>
              </w:rPr>
            </w:pPr>
          </w:p>
          <w:p w14:paraId="26044C9F" w14:textId="77777777" w:rsidR="00DB00FD" w:rsidRDefault="00DB00FD" w:rsidP="001E2158">
            <w:pPr>
              <w:autoSpaceDE w:val="0"/>
              <w:autoSpaceDN w:val="0"/>
              <w:adjustRightInd w:val="0"/>
              <w:spacing w:after="0" w:line="240" w:lineRule="auto"/>
              <w:jc w:val="left"/>
              <w:rPr>
                <w:color w:val="000000"/>
                <w:sz w:val="23"/>
                <w:szCs w:val="23"/>
              </w:rPr>
            </w:pPr>
          </w:p>
          <w:p w14:paraId="0DFC3FB7" w14:textId="2F4201FD" w:rsidR="00DB00FD" w:rsidRDefault="00DB00FD" w:rsidP="001E2158">
            <w:pPr>
              <w:autoSpaceDE w:val="0"/>
              <w:autoSpaceDN w:val="0"/>
              <w:adjustRightInd w:val="0"/>
              <w:spacing w:after="0" w:line="240" w:lineRule="auto"/>
              <w:jc w:val="left"/>
              <w:rPr>
                <w:color w:val="000000"/>
                <w:sz w:val="23"/>
                <w:szCs w:val="23"/>
              </w:rPr>
            </w:pPr>
          </w:p>
          <w:p w14:paraId="12531224" w14:textId="17EBB0A5" w:rsidR="00DB00FD" w:rsidRDefault="00DB00FD" w:rsidP="001E2158">
            <w:pPr>
              <w:autoSpaceDE w:val="0"/>
              <w:autoSpaceDN w:val="0"/>
              <w:adjustRightInd w:val="0"/>
              <w:spacing w:after="0" w:line="240" w:lineRule="auto"/>
              <w:jc w:val="left"/>
              <w:rPr>
                <w:color w:val="000000"/>
                <w:sz w:val="23"/>
                <w:szCs w:val="23"/>
              </w:rPr>
            </w:pPr>
          </w:p>
          <w:p w14:paraId="47E45AF2" w14:textId="1E81C7D0" w:rsidR="00DB00FD" w:rsidRDefault="00DB00FD" w:rsidP="001E2158">
            <w:pPr>
              <w:autoSpaceDE w:val="0"/>
              <w:autoSpaceDN w:val="0"/>
              <w:adjustRightInd w:val="0"/>
              <w:spacing w:after="0" w:line="240" w:lineRule="auto"/>
              <w:jc w:val="left"/>
              <w:rPr>
                <w:color w:val="000000"/>
                <w:sz w:val="23"/>
                <w:szCs w:val="23"/>
              </w:rPr>
            </w:pPr>
          </w:p>
          <w:p w14:paraId="73DB3E7E" w14:textId="3CF95000" w:rsidR="00DB00FD" w:rsidRDefault="00DB00FD" w:rsidP="001E2158">
            <w:pPr>
              <w:autoSpaceDE w:val="0"/>
              <w:autoSpaceDN w:val="0"/>
              <w:adjustRightInd w:val="0"/>
              <w:spacing w:after="0" w:line="240" w:lineRule="auto"/>
              <w:jc w:val="left"/>
              <w:rPr>
                <w:color w:val="000000"/>
                <w:sz w:val="23"/>
                <w:szCs w:val="23"/>
              </w:rPr>
            </w:pPr>
          </w:p>
          <w:p w14:paraId="437EDCF4" w14:textId="74EF4505" w:rsidR="00DB00FD" w:rsidRDefault="00DB00FD" w:rsidP="001E2158">
            <w:pPr>
              <w:autoSpaceDE w:val="0"/>
              <w:autoSpaceDN w:val="0"/>
              <w:adjustRightInd w:val="0"/>
              <w:spacing w:after="0" w:line="240" w:lineRule="auto"/>
              <w:jc w:val="left"/>
              <w:rPr>
                <w:color w:val="000000"/>
                <w:sz w:val="23"/>
                <w:szCs w:val="23"/>
              </w:rPr>
            </w:pPr>
          </w:p>
          <w:p w14:paraId="1A37BC7E" w14:textId="6746E1FF" w:rsidR="00DB00FD" w:rsidRDefault="00DB00FD" w:rsidP="001E2158">
            <w:pPr>
              <w:autoSpaceDE w:val="0"/>
              <w:autoSpaceDN w:val="0"/>
              <w:adjustRightInd w:val="0"/>
              <w:spacing w:after="0" w:line="240" w:lineRule="auto"/>
              <w:jc w:val="left"/>
              <w:rPr>
                <w:color w:val="000000"/>
                <w:sz w:val="23"/>
                <w:szCs w:val="23"/>
              </w:rPr>
            </w:pPr>
          </w:p>
          <w:p w14:paraId="2558E4A1" w14:textId="5E47CB07" w:rsidR="00DB00FD" w:rsidRDefault="00DB00FD" w:rsidP="001E2158">
            <w:pPr>
              <w:autoSpaceDE w:val="0"/>
              <w:autoSpaceDN w:val="0"/>
              <w:adjustRightInd w:val="0"/>
              <w:spacing w:after="0" w:line="240" w:lineRule="auto"/>
              <w:jc w:val="left"/>
              <w:rPr>
                <w:color w:val="000000"/>
                <w:sz w:val="23"/>
                <w:szCs w:val="23"/>
              </w:rPr>
            </w:pPr>
          </w:p>
          <w:p w14:paraId="0344C3E2" w14:textId="001B5DA4" w:rsidR="00DB00FD" w:rsidRDefault="00DB00FD" w:rsidP="001E2158">
            <w:pPr>
              <w:autoSpaceDE w:val="0"/>
              <w:autoSpaceDN w:val="0"/>
              <w:adjustRightInd w:val="0"/>
              <w:spacing w:after="0" w:line="240" w:lineRule="auto"/>
              <w:jc w:val="left"/>
              <w:rPr>
                <w:color w:val="000000"/>
                <w:sz w:val="23"/>
                <w:szCs w:val="23"/>
              </w:rPr>
            </w:pPr>
          </w:p>
          <w:p w14:paraId="63CEF1A2" w14:textId="77777777" w:rsidR="00DB00FD" w:rsidRPr="008F19AE" w:rsidRDefault="00DB00FD" w:rsidP="001E2158">
            <w:pPr>
              <w:autoSpaceDE w:val="0"/>
              <w:autoSpaceDN w:val="0"/>
              <w:adjustRightInd w:val="0"/>
              <w:spacing w:after="0" w:line="240" w:lineRule="auto"/>
              <w:jc w:val="left"/>
              <w:rPr>
                <w:color w:val="000000"/>
                <w:sz w:val="23"/>
                <w:szCs w:val="23"/>
              </w:rPr>
            </w:pPr>
          </w:p>
          <w:p w14:paraId="2124FBB1" w14:textId="77777777" w:rsidR="00DB00FD" w:rsidRPr="003A10B0" w:rsidRDefault="00DB00FD" w:rsidP="001E2158">
            <w:pPr>
              <w:autoSpaceDE w:val="0"/>
              <w:autoSpaceDN w:val="0"/>
              <w:adjustRightInd w:val="0"/>
              <w:spacing w:after="0" w:line="240" w:lineRule="auto"/>
              <w:jc w:val="left"/>
              <w:rPr>
                <w:color w:val="000000"/>
                <w:sz w:val="23"/>
                <w:szCs w:val="23"/>
                <w:lang w:val="en-GB"/>
              </w:rPr>
            </w:pPr>
            <w:r w:rsidRPr="003A10B0">
              <w:rPr>
                <w:color w:val="000000"/>
                <w:sz w:val="23"/>
                <w:szCs w:val="23"/>
                <w:lang w:val="en-GB"/>
              </w:rPr>
              <w:t>Descripition of the reform D</w:t>
            </w:r>
            <w:r>
              <w:rPr>
                <w:color w:val="000000"/>
                <w:sz w:val="23"/>
                <w:szCs w:val="23"/>
                <w:lang w:val="en-GB"/>
              </w:rPr>
              <w:t>1.1</w:t>
            </w:r>
          </w:p>
          <w:p w14:paraId="22D86F39" w14:textId="77777777" w:rsidR="00DB00FD" w:rsidRPr="003A10B0" w:rsidRDefault="00DB00FD" w:rsidP="001E2158">
            <w:pPr>
              <w:autoSpaceDE w:val="0"/>
              <w:autoSpaceDN w:val="0"/>
              <w:adjustRightInd w:val="0"/>
              <w:spacing w:after="0" w:line="240" w:lineRule="auto"/>
              <w:jc w:val="left"/>
              <w:rPr>
                <w:rFonts w:eastAsiaTheme="minorHAnsi"/>
                <w:color w:val="000000"/>
                <w:sz w:val="23"/>
                <w:szCs w:val="23"/>
                <w:lang w:val="en-GB"/>
              </w:rPr>
            </w:pPr>
            <w:r w:rsidRPr="003A10B0">
              <w:rPr>
                <w:rFonts w:eastAsiaTheme="minorHAnsi"/>
                <w:color w:val="000000"/>
                <w:sz w:val="23"/>
                <w:szCs w:val="23"/>
                <w:lang w:val="en-GB"/>
              </w:rPr>
              <w:t xml:space="preserve">The objective of the reform is to introduce comprehensive measures consisting in the restructuring of public hospitals. The reform is to ensure a lasting improvement in resilience, effectiveness, quality and accessibility of healthcare and long-term care, the financial situation of public hospitals, and the processes of supervision and management of these entities. The reform concerns the whole hospital sector providing health care services financed from public sources. </w:t>
            </w:r>
          </w:p>
          <w:p w14:paraId="642FA0D7" w14:textId="77777777" w:rsidR="00DB00FD" w:rsidRPr="003A10B0" w:rsidRDefault="00DB00FD" w:rsidP="001E2158">
            <w:pPr>
              <w:autoSpaceDE w:val="0"/>
              <w:autoSpaceDN w:val="0"/>
              <w:adjustRightInd w:val="0"/>
              <w:spacing w:after="0" w:line="240" w:lineRule="auto"/>
              <w:jc w:val="left"/>
              <w:rPr>
                <w:rFonts w:eastAsiaTheme="minorHAnsi"/>
                <w:color w:val="000000"/>
                <w:sz w:val="23"/>
                <w:szCs w:val="23"/>
                <w:lang w:val="en-GB"/>
              </w:rPr>
            </w:pPr>
            <w:r w:rsidRPr="003A10B0">
              <w:rPr>
                <w:rFonts w:eastAsiaTheme="minorHAnsi"/>
                <w:color w:val="000000"/>
                <w:sz w:val="23"/>
                <w:szCs w:val="23"/>
                <w:lang w:val="en-GB"/>
              </w:rPr>
              <w:t xml:space="preserve">The reform shall also give grounds for actions for rationalisation of the pyramid of healthcare by, </w:t>
            </w:r>
            <w:r w:rsidRPr="003A10B0">
              <w:rPr>
                <w:rFonts w:eastAsiaTheme="minorHAnsi"/>
                <w:i/>
                <w:iCs/>
                <w:color w:val="000000"/>
                <w:sz w:val="23"/>
                <w:szCs w:val="23"/>
                <w:lang w:val="en-GB"/>
              </w:rPr>
              <w:t>inter alia</w:t>
            </w:r>
            <w:r w:rsidRPr="003A10B0">
              <w:rPr>
                <w:rFonts w:eastAsiaTheme="minorHAnsi"/>
                <w:color w:val="000000"/>
                <w:sz w:val="23"/>
                <w:szCs w:val="23"/>
                <w:lang w:val="en-GB"/>
              </w:rPr>
              <w:t xml:space="preserve">, introducing new provisions of the act on primary health care. </w:t>
            </w:r>
          </w:p>
          <w:p w14:paraId="123A4EB8" w14:textId="77777777" w:rsidR="00DB00FD" w:rsidRDefault="00DB00FD" w:rsidP="001E2158">
            <w:pPr>
              <w:tabs>
                <w:tab w:val="left" w:pos="1750"/>
              </w:tabs>
              <w:spacing w:after="120" w:line="240" w:lineRule="auto"/>
              <w:jc w:val="left"/>
              <w:rPr>
                <w:rFonts w:eastAsiaTheme="minorHAnsi"/>
                <w:color w:val="000000"/>
                <w:sz w:val="23"/>
                <w:szCs w:val="23"/>
                <w:lang w:val="en-GB"/>
              </w:rPr>
            </w:pPr>
            <w:r w:rsidRPr="003A10B0">
              <w:rPr>
                <w:rFonts w:eastAsiaTheme="minorHAnsi"/>
                <w:color w:val="000000"/>
                <w:sz w:val="23"/>
                <w:szCs w:val="23"/>
                <w:lang w:val="en-GB"/>
              </w:rPr>
              <w:t xml:space="preserve">The hospital sector reform shall be introduced by a single new act, which, however, may introduce changes in existing acts, such as the act on medical activity or the act on health care services financed from </w:t>
            </w:r>
            <w:r w:rsidRPr="003A10B0">
              <w:rPr>
                <w:rFonts w:eastAsiaTheme="minorHAnsi"/>
                <w:color w:val="000000"/>
                <w:sz w:val="23"/>
                <w:szCs w:val="23"/>
                <w:lang w:val="en-GB"/>
              </w:rPr>
              <w:lastRenderedPageBreak/>
              <w:t>public funds. The key provisions of the reform shall be the following:</w:t>
            </w:r>
          </w:p>
          <w:p w14:paraId="61EAB0EC" w14:textId="77777777" w:rsidR="00DB00FD" w:rsidRPr="008F19AE" w:rsidRDefault="00DB00FD" w:rsidP="001E2158">
            <w:pPr>
              <w:autoSpaceDE w:val="0"/>
              <w:autoSpaceDN w:val="0"/>
              <w:adjustRightInd w:val="0"/>
              <w:spacing w:after="0" w:line="240" w:lineRule="auto"/>
              <w:jc w:val="left"/>
              <w:rPr>
                <w:rFonts w:eastAsiaTheme="minorHAnsi"/>
                <w:color w:val="000000"/>
                <w:sz w:val="23"/>
                <w:szCs w:val="23"/>
                <w:lang w:val="en-GB"/>
              </w:rPr>
            </w:pPr>
            <w:r w:rsidRPr="008F19AE">
              <w:rPr>
                <w:rFonts w:eastAsiaTheme="minorHAnsi"/>
                <w:color w:val="000000"/>
                <w:sz w:val="23"/>
                <w:szCs w:val="23"/>
                <w:lang w:val="en-GB"/>
              </w:rPr>
              <w:t xml:space="preserve">- restructuring of the hospital sector by consolidating, re-profiling and changing the scope and structure of healthcare services provided by hospitals, on the basis of the national and regional transformation plans and the map of health needs, and updating the hospital network accordingly. The needs of hospitals supervised by the Minister for National Defence or the Minister for Internal Affairs related to the impact of the war in Ukraine shall be taken into account in the restructuring process; </w:t>
            </w:r>
          </w:p>
          <w:p w14:paraId="039243E6" w14:textId="77777777" w:rsidR="00DB00FD" w:rsidRPr="008F19AE" w:rsidRDefault="00DB00FD" w:rsidP="001E2158">
            <w:pPr>
              <w:autoSpaceDE w:val="0"/>
              <w:autoSpaceDN w:val="0"/>
              <w:adjustRightInd w:val="0"/>
              <w:spacing w:after="0" w:line="240" w:lineRule="auto"/>
              <w:jc w:val="left"/>
              <w:rPr>
                <w:rFonts w:eastAsiaTheme="minorHAnsi"/>
                <w:color w:val="000000"/>
                <w:sz w:val="23"/>
                <w:szCs w:val="23"/>
                <w:lang w:val="en-GB"/>
              </w:rPr>
            </w:pPr>
            <w:r w:rsidRPr="008F19AE">
              <w:rPr>
                <w:rFonts w:eastAsiaTheme="minorHAnsi"/>
                <w:color w:val="000000"/>
                <w:sz w:val="23"/>
                <w:szCs w:val="23"/>
                <w:lang w:val="en-GB"/>
              </w:rPr>
              <w:t xml:space="preserve">- basis for actions for rationalisation of the pyramid of the healthcare by shifting certain health services from hospitals towards the lower levels of care (primary care, ambulatory care) with accordingly revised provisions for annual NFZ (National Fund for Health) financial plans; and </w:t>
            </w:r>
          </w:p>
          <w:p w14:paraId="1D439331" w14:textId="77777777" w:rsidR="00DB00FD" w:rsidRPr="008F19AE" w:rsidRDefault="00DB00FD" w:rsidP="001E2158">
            <w:pPr>
              <w:autoSpaceDE w:val="0"/>
              <w:autoSpaceDN w:val="0"/>
              <w:adjustRightInd w:val="0"/>
              <w:spacing w:after="0" w:line="240" w:lineRule="auto"/>
              <w:jc w:val="left"/>
              <w:rPr>
                <w:rFonts w:eastAsiaTheme="minorHAnsi"/>
                <w:color w:val="000000"/>
                <w:sz w:val="23"/>
                <w:szCs w:val="23"/>
                <w:lang w:val="en-GB"/>
              </w:rPr>
            </w:pPr>
            <w:r w:rsidRPr="008F19AE">
              <w:rPr>
                <w:rFonts w:eastAsiaTheme="minorHAnsi"/>
                <w:color w:val="000000"/>
                <w:sz w:val="23"/>
                <w:szCs w:val="23"/>
                <w:lang w:val="en-GB"/>
              </w:rPr>
              <w:t xml:space="preserve">- changes in the hospital financing system ensuring effective and sustainable restructuring, including addressing hospital debt relief in a sustainable manner, based on transparent and evidence-based criteria and sound hospital financing system, incentivising proper care provision and increase of efficiency and care quality; and creating a professional system of supervision over hospitals, strengthening the management staff and incentivising the use of modern systems, tools and management methods in health care. </w:t>
            </w:r>
          </w:p>
          <w:p w14:paraId="447280F6" w14:textId="77777777" w:rsidR="00DB00FD" w:rsidRPr="008F19AE" w:rsidRDefault="00DB00FD" w:rsidP="001E2158">
            <w:pPr>
              <w:autoSpaceDE w:val="0"/>
              <w:autoSpaceDN w:val="0"/>
              <w:adjustRightInd w:val="0"/>
              <w:spacing w:after="0" w:line="240" w:lineRule="auto"/>
              <w:jc w:val="left"/>
              <w:rPr>
                <w:rFonts w:eastAsiaTheme="minorHAnsi"/>
                <w:color w:val="000000"/>
                <w:sz w:val="23"/>
                <w:szCs w:val="23"/>
                <w:lang w:val="en-GB"/>
              </w:rPr>
            </w:pPr>
            <w:r w:rsidRPr="008F19AE">
              <w:rPr>
                <w:rFonts w:eastAsiaTheme="minorHAnsi"/>
                <w:color w:val="000000"/>
                <w:sz w:val="23"/>
                <w:szCs w:val="23"/>
                <w:lang w:val="en-GB"/>
              </w:rPr>
              <w:t xml:space="preserve">The hospital sector reform is to be complemented by the reforms of the National Oncological Network and National Cardiological Network, as well as the quality in health care and patient safety. The objective of these reforms is to improve access and quality of service of the oncological and cardiological care. The aim of the reform on the quality in health care and patient safety is to introduce systemic solutions on health care provisions quality standards and subsequent monitoring for sustainable results of the reform. </w:t>
            </w:r>
          </w:p>
          <w:p w14:paraId="77CA461D" w14:textId="77777777" w:rsidR="00DB00FD" w:rsidRPr="008F19AE" w:rsidRDefault="00DB00FD" w:rsidP="001E2158">
            <w:pPr>
              <w:autoSpaceDE w:val="0"/>
              <w:autoSpaceDN w:val="0"/>
              <w:adjustRightInd w:val="0"/>
              <w:spacing w:after="0" w:line="240" w:lineRule="auto"/>
              <w:jc w:val="left"/>
              <w:rPr>
                <w:rFonts w:eastAsiaTheme="minorHAnsi"/>
                <w:color w:val="000000"/>
                <w:sz w:val="23"/>
                <w:szCs w:val="23"/>
                <w:lang w:val="en-GB"/>
              </w:rPr>
            </w:pPr>
            <w:r w:rsidRPr="008F19AE">
              <w:rPr>
                <w:rFonts w:eastAsiaTheme="minorHAnsi"/>
                <w:color w:val="000000"/>
                <w:sz w:val="23"/>
                <w:szCs w:val="23"/>
                <w:lang w:val="en-GB"/>
              </w:rPr>
              <w:t xml:space="preserve">The reform shall also consist of a legislative package on the launch of national e-health services and their integration into existing/available eHealth systems at national and regional level. </w:t>
            </w:r>
          </w:p>
          <w:p w14:paraId="25F0C431" w14:textId="77777777" w:rsidR="00DB00FD" w:rsidRPr="008F19AE" w:rsidRDefault="00DB00FD" w:rsidP="001E2158">
            <w:pPr>
              <w:tabs>
                <w:tab w:val="left" w:pos="1750"/>
              </w:tabs>
              <w:spacing w:after="120" w:line="240" w:lineRule="auto"/>
              <w:jc w:val="left"/>
              <w:rPr>
                <w:rFonts w:eastAsia="Calibri"/>
                <w:lang w:val="en-GB"/>
              </w:rPr>
            </w:pPr>
            <w:r w:rsidRPr="008F19AE">
              <w:rPr>
                <w:rFonts w:eastAsiaTheme="minorHAnsi"/>
                <w:color w:val="000000"/>
                <w:sz w:val="23"/>
                <w:szCs w:val="23"/>
                <w:lang w:val="en-GB"/>
              </w:rPr>
              <w:t>The implementation of the reform shall be completed by 31 March 2026.</w:t>
            </w:r>
          </w:p>
          <w:p w14:paraId="20A356CE" w14:textId="77777777" w:rsidR="00DB00FD" w:rsidRPr="008F19AE" w:rsidRDefault="00DB00FD" w:rsidP="001E2158">
            <w:pPr>
              <w:tabs>
                <w:tab w:val="left" w:pos="1750"/>
              </w:tabs>
              <w:spacing w:after="120" w:line="240" w:lineRule="auto"/>
              <w:jc w:val="left"/>
              <w:rPr>
                <w:rFonts w:eastAsia="Calibri"/>
                <w:lang w:val="en-GB"/>
              </w:rPr>
            </w:pPr>
          </w:p>
          <w:p w14:paraId="754ED666" w14:textId="77777777" w:rsidR="00DB00FD" w:rsidRPr="008F19AE" w:rsidRDefault="00DB00FD" w:rsidP="001E2158">
            <w:pPr>
              <w:tabs>
                <w:tab w:val="left" w:pos="1750"/>
              </w:tabs>
              <w:spacing w:after="120" w:line="240" w:lineRule="auto"/>
              <w:jc w:val="left"/>
              <w:rPr>
                <w:rFonts w:eastAsia="Calibri"/>
                <w:lang w:val="en-GB"/>
              </w:rPr>
            </w:pPr>
          </w:p>
          <w:p w14:paraId="7321BF0D" w14:textId="77777777" w:rsidR="00DB00FD" w:rsidRPr="008F19AE" w:rsidRDefault="00DB00FD" w:rsidP="001E2158">
            <w:pPr>
              <w:tabs>
                <w:tab w:val="left" w:pos="1750"/>
              </w:tabs>
              <w:spacing w:after="120" w:line="240" w:lineRule="auto"/>
              <w:jc w:val="left"/>
              <w:rPr>
                <w:rFonts w:eastAsia="Calibri"/>
                <w:lang w:val="en-GB"/>
              </w:rPr>
            </w:pPr>
          </w:p>
          <w:p w14:paraId="49936E6D" w14:textId="77777777" w:rsidR="00DB00FD" w:rsidRPr="0056086B" w:rsidRDefault="00DB00FD" w:rsidP="001E2158">
            <w:pPr>
              <w:tabs>
                <w:tab w:val="left" w:pos="1750"/>
              </w:tabs>
              <w:spacing w:after="120" w:line="240" w:lineRule="auto"/>
              <w:jc w:val="left"/>
              <w:rPr>
                <w:rFonts w:eastAsia="Calibri"/>
                <w:lang w:val="en-US"/>
              </w:rPr>
            </w:pPr>
          </w:p>
          <w:p w14:paraId="38002FED" w14:textId="77777777" w:rsidR="00DB00FD" w:rsidRPr="0056086B" w:rsidRDefault="00DB00FD" w:rsidP="001E2158">
            <w:pPr>
              <w:tabs>
                <w:tab w:val="left" w:pos="1750"/>
              </w:tabs>
              <w:spacing w:after="120" w:line="240" w:lineRule="auto"/>
              <w:jc w:val="left"/>
              <w:rPr>
                <w:rFonts w:eastAsia="Calibri"/>
                <w:lang w:val="en-US"/>
              </w:rPr>
            </w:pPr>
          </w:p>
          <w:p w14:paraId="7A3B7940" w14:textId="77777777" w:rsidR="00DB00FD" w:rsidRPr="0056086B" w:rsidRDefault="00DB00FD" w:rsidP="001E2158">
            <w:pPr>
              <w:tabs>
                <w:tab w:val="left" w:pos="1750"/>
              </w:tabs>
              <w:spacing w:after="120" w:line="240" w:lineRule="auto"/>
              <w:jc w:val="left"/>
              <w:rPr>
                <w:rFonts w:eastAsia="Calibri"/>
                <w:lang w:val="en-US"/>
              </w:rPr>
            </w:pPr>
          </w:p>
          <w:p w14:paraId="56A78A81" w14:textId="77777777" w:rsidR="00DB00FD" w:rsidRPr="00AF3A31" w:rsidRDefault="00DB00FD" w:rsidP="001E2158">
            <w:pPr>
              <w:tabs>
                <w:tab w:val="left" w:pos="1750"/>
              </w:tabs>
              <w:spacing w:after="120" w:line="240" w:lineRule="auto"/>
              <w:jc w:val="left"/>
              <w:rPr>
                <w:rFonts w:eastAsia="Calibri"/>
              </w:rPr>
            </w:pPr>
            <w:r w:rsidRPr="00AF3A31">
              <w:rPr>
                <w:rFonts w:eastAsia="Calibri"/>
              </w:rPr>
              <w:t>D1G</w:t>
            </w:r>
          </w:p>
          <w:p w14:paraId="7479533F" w14:textId="77777777" w:rsidR="00DB00FD" w:rsidRPr="00AF3A31" w:rsidRDefault="00DB00FD" w:rsidP="001E2158">
            <w:pPr>
              <w:tabs>
                <w:tab w:val="left" w:pos="1750"/>
              </w:tabs>
              <w:spacing w:after="120" w:line="240" w:lineRule="auto"/>
              <w:jc w:val="left"/>
              <w:rPr>
                <w:rFonts w:eastAsia="Calibri"/>
                <w:b/>
                <w:bCs/>
              </w:rPr>
            </w:pPr>
            <w:r w:rsidRPr="00AF3A31">
              <w:rPr>
                <w:rFonts w:eastAsia="Calibri"/>
              </w:rPr>
              <w:t>Wejście w życie ustawy o modernizacji i poprawie efektywności szpitali</w:t>
            </w:r>
          </w:p>
          <w:p w14:paraId="6D7B96AA" w14:textId="77777777" w:rsidR="00DB00FD" w:rsidRPr="00AF3A31" w:rsidRDefault="00DB00FD" w:rsidP="001E2158">
            <w:pPr>
              <w:tabs>
                <w:tab w:val="left" w:pos="1750"/>
              </w:tabs>
              <w:spacing w:line="240" w:lineRule="auto"/>
              <w:contextualSpacing/>
              <w:jc w:val="left"/>
              <w:rPr>
                <w:rFonts w:eastAsia="Calibri"/>
              </w:rPr>
            </w:pPr>
            <w:r w:rsidRPr="00AF3A31">
              <w:rPr>
                <w:rFonts w:eastAsia="Calibri"/>
              </w:rPr>
              <w:t xml:space="preserve">Wejście w życie ustawy, w której zostanie przewidziane, co następuje: </w:t>
            </w:r>
          </w:p>
          <w:p w14:paraId="394FDE7C" w14:textId="77777777" w:rsidR="00DB00FD" w:rsidRPr="00AF3A31" w:rsidRDefault="00DB00FD" w:rsidP="001E2158">
            <w:pPr>
              <w:tabs>
                <w:tab w:val="left" w:pos="1750"/>
              </w:tabs>
              <w:spacing w:line="240" w:lineRule="auto"/>
              <w:contextualSpacing/>
              <w:jc w:val="left"/>
              <w:rPr>
                <w:rFonts w:eastAsia="Calibri"/>
              </w:rPr>
            </w:pPr>
            <w:r w:rsidRPr="00AF3A31">
              <w:rPr>
                <w:rFonts w:eastAsia="Calibri"/>
              </w:rPr>
              <w:t>– restrukturyzacja sektora szpitali poprzez konsolidację, przeprofilowanie,  zmianę zakresu i struktury usług opieki zdrowotnej świadczonych przez szpitale, na podstawie krajowych i regionalnych planów przekształceń oraz mapy potrzeb zdrowotnych zarówno na poziomie krajowym, jak i regionalnym, a także odpowiednią aktualizację sieci szpitali. W procesie restrukturyzacji uwzględnia się potrzeby szpitali nadzorowanych przez Ministra Obrony Narodowej lub Ministra Spraw Wewnętrznych związane ze skutkami wojny na Ukrainie.</w:t>
            </w:r>
          </w:p>
          <w:p w14:paraId="48171616" w14:textId="77777777" w:rsidR="00DB00FD" w:rsidRPr="00AF3A31" w:rsidRDefault="00DB00FD" w:rsidP="001E2158">
            <w:pPr>
              <w:tabs>
                <w:tab w:val="left" w:pos="1750"/>
              </w:tabs>
              <w:spacing w:line="240" w:lineRule="auto"/>
              <w:contextualSpacing/>
              <w:jc w:val="left"/>
              <w:rPr>
                <w:rFonts w:eastAsia="Calibri"/>
              </w:rPr>
            </w:pPr>
            <w:r w:rsidRPr="00AF3A31">
              <w:rPr>
                <w:rFonts w:eastAsia="Calibri"/>
              </w:rPr>
              <w:t xml:space="preserve">– podstawy do działań na rzecz racjonalizacji piramidy opieki zdrowotnej poprzez przesunięcie niektórych świadczeń zdrowotnych ze szpitali na niższe poziomy opieki (podstawowa opieka zdrowotna, opieka ambulatoryjna) z odpowiednio zmienionymi zapisami w rocznych planach finansowych NFZ (Narodowego Funduszu Zdrowia); </w:t>
            </w:r>
          </w:p>
          <w:p w14:paraId="38B71811" w14:textId="77777777" w:rsidR="00DB00FD" w:rsidRPr="00AF3A31" w:rsidRDefault="00DB00FD" w:rsidP="001E2158">
            <w:pPr>
              <w:tabs>
                <w:tab w:val="left" w:pos="1750"/>
              </w:tabs>
              <w:spacing w:line="240" w:lineRule="auto"/>
              <w:contextualSpacing/>
              <w:jc w:val="left"/>
              <w:rPr>
                <w:rFonts w:eastAsia="Calibri"/>
              </w:rPr>
            </w:pPr>
            <w:r w:rsidRPr="00AF3A31">
              <w:rPr>
                <w:rFonts w:eastAsia="Calibri"/>
              </w:rPr>
              <w:t xml:space="preserve">– reforma systemu finansowania szpitali, zapewniająca skuteczną i trwałą restrukturyzację, w tym rozwiązanie </w:t>
            </w:r>
            <w:r w:rsidRPr="00AF3A31">
              <w:rPr>
                <w:rFonts w:eastAsia="Calibri"/>
              </w:rPr>
              <w:lastRenderedPageBreak/>
              <w:t xml:space="preserve">kwestii umarzania długów szpitali w sposób zrównoważony, na podstawie przejrzystych i opartych na dowodach kryteriów oraz motywowanie do właściwego świadczenia opieki oraz zwiększania efektywności i jakości opieki; </w:t>
            </w:r>
          </w:p>
          <w:p w14:paraId="6323285A" w14:textId="77777777" w:rsidR="00DB00FD" w:rsidRPr="00AF3A31" w:rsidRDefault="00DB00FD" w:rsidP="001E2158">
            <w:pPr>
              <w:tabs>
                <w:tab w:val="left" w:pos="1750"/>
              </w:tabs>
              <w:spacing w:after="120" w:line="240" w:lineRule="auto"/>
              <w:jc w:val="left"/>
              <w:rPr>
                <w:rFonts w:eastAsia="Calibri"/>
              </w:rPr>
            </w:pPr>
            <w:r w:rsidRPr="00AF3A31">
              <w:rPr>
                <w:rFonts w:eastAsia="Calibri"/>
              </w:rPr>
              <w:t>– stworzenie profesjonalnego systemu nadzoru nad szpitalami, wzmocnienie kadry zarządzającej oraz zachęcanie do stosowania nowoczesnych systemów, narzędzi i metod zarządzania w opiece zdrowotnej.</w:t>
            </w:r>
          </w:p>
          <w:p w14:paraId="44CDF8F5" w14:textId="77777777" w:rsidR="00A501D9" w:rsidRDefault="00A501D9" w:rsidP="001E2158">
            <w:pPr>
              <w:tabs>
                <w:tab w:val="left" w:pos="1750"/>
              </w:tabs>
              <w:spacing w:line="240" w:lineRule="auto"/>
              <w:contextualSpacing/>
              <w:jc w:val="left"/>
              <w:rPr>
                <w:rFonts w:eastAsia="Calibri"/>
              </w:rPr>
            </w:pPr>
          </w:p>
          <w:p w14:paraId="7572573B" w14:textId="77777777" w:rsidR="00A501D9" w:rsidRDefault="00A501D9" w:rsidP="001E2158">
            <w:pPr>
              <w:tabs>
                <w:tab w:val="left" w:pos="1750"/>
              </w:tabs>
              <w:spacing w:line="240" w:lineRule="auto"/>
              <w:contextualSpacing/>
              <w:jc w:val="left"/>
              <w:rPr>
                <w:rFonts w:eastAsia="Calibri"/>
              </w:rPr>
            </w:pPr>
          </w:p>
          <w:p w14:paraId="3B5B793D" w14:textId="77777777" w:rsidR="00A501D9" w:rsidRDefault="00A501D9" w:rsidP="001E2158">
            <w:pPr>
              <w:tabs>
                <w:tab w:val="left" w:pos="1750"/>
              </w:tabs>
              <w:spacing w:line="240" w:lineRule="auto"/>
              <w:contextualSpacing/>
              <w:jc w:val="left"/>
              <w:rPr>
                <w:rFonts w:eastAsia="Calibri"/>
              </w:rPr>
            </w:pPr>
          </w:p>
          <w:p w14:paraId="1FD6B952" w14:textId="77777777" w:rsidR="00A501D9" w:rsidRDefault="00A501D9" w:rsidP="001E2158">
            <w:pPr>
              <w:tabs>
                <w:tab w:val="left" w:pos="1750"/>
              </w:tabs>
              <w:spacing w:line="240" w:lineRule="auto"/>
              <w:contextualSpacing/>
              <w:jc w:val="left"/>
              <w:rPr>
                <w:rFonts w:eastAsia="Calibri"/>
              </w:rPr>
            </w:pPr>
          </w:p>
          <w:p w14:paraId="38EA6996" w14:textId="77777777" w:rsidR="00A501D9" w:rsidRDefault="00A501D9" w:rsidP="001E2158">
            <w:pPr>
              <w:tabs>
                <w:tab w:val="left" w:pos="1750"/>
              </w:tabs>
              <w:spacing w:line="240" w:lineRule="auto"/>
              <w:contextualSpacing/>
              <w:jc w:val="left"/>
              <w:rPr>
                <w:rFonts w:eastAsia="Calibri"/>
              </w:rPr>
            </w:pPr>
          </w:p>
          <w:p w14:paraId="4C7F9D79" w14:textId="77777777" w:rsidR="00A501D9" w:rsidRDefault="00A501D9" w:rsidP="001E2158">
            <w:pPr>
              <w:tabs>
                <w:tab w:val="left" w:pos="1750"/>
              </w:tabs>
              <w:spacing w:line="240" w:lineRule="auto"/>
              <w:contextualSpacing/>
              <w:jc w:val="left"/>
              <w:rPr>
                <w:rFonts w:eastAsia="Calibri"/>
              </w:rPr>
            </w:pPr>
          </w:p>
          <w:p w14:paraId="7870BBCA" w14:textId="77777777" w:rsidR="00A501D9" w:rsidRDefault="00A501D9" w:rsidP="001E2158">
            <w:pPr>
              <w:tabs>
                <w:tab w:val="left" w:pos="1750"/>
              </w:tabs>
              <w:spacing w:line="240" w:lineRule="auto"/>
              <w:contextualSpacing/>
              <w:jc w:val="left"/>
              <w:rPr>
                <w:rFonts w:eastAsia="Calibri"/>
              </w:rPr>
            </w:pPr>
          </w:p>
          <w:p w14:paraId="31BFFD73" w14:textId="77777777" w:rsidR="00A501D9" w:rsidRDefault="00A501D9" w:rsidP="001E2158">
            <w:pPr>
              <w:tabs>
                <w:tab w:val="left" w:pos="1750"/>
              </w:tabs>
              <w:spacing w:line="240" w:lineRule="auto"/>
              <w:contextualSpacing/>
              <w:jc w:val="left"/>
              <w:rPr>
                <w:rFonts w:eastAsia="Calibri"/>
              </w:rPr>
            </w:pPr>
          </w:p>
          <w:p w14:paraId="7BCDEF8B" w14:textId="77777777" w:rsidR="00A501D9" w:rsidRDefault="00A501D9" w:rsidP="001E2158">
            <w:pPr>
              <w:tabs>
                <w:tab w:val="left" w:pos="1750"/>
              </w:tabs>
              <w:spacing w:line="240" w:lineRule="auto"/>
              <w:contextualSpacing/>
              <w:jc w:val="left"/>
              <w:rPr>
                <w:rFonts w:eastAsia="Calibri"/>
              </w:rPr>
            </w:pPr>
          </w:p>
          <w:p w14:paraId="09444444" w14:textId="77777777" w:rsidR="00A501D9" w:rsidRDefault="00A501D9" w:rsidP="001E2158">
            <w:pPr>
              <w:tabs>
                <w:tab w:val="left" w:pos="1750"/>
              </w:tabs>
              <w:spacing w:line="240" w:lineRule="auto"/>
              <w:contextualSpacing/>
              <w:jc w:val="left"/>
              <w:rPr>
                <w:rFonts w:eastAsia="Calibri"/>
              </w:rPr>
            </w:pPr>
          </w:p>
          <w:p w14:paraId="416E89DB" w14:textId="77777777" w:rsidR="00A501D9" w:rsidRDefault="00A501D9" w:rsidP="001E2158">
            <w:pPr>
              <w:tabs>
                <w:tab w:val="left" w:pos="1750"/>
              </w:tabs>
              <w:spacing w:line="240" w:lineRule="auto"/>
              <w:contextualSpacing/>
              <w:jc w:val="left"/>
              <w:rPr>
                <w:rFonts w:eastAsia="Calibri"/>
              </w:rPr>
            </w:pPr>
          </w:p>
          <w:p w14:paraId="69BF2DA8" w14:textId="02C66031" w:rsidR="00DB00FD" w:rsidRPr="003E6212" w:rsidRDefault="00DB00FD" w:rsidP="00A501D9">
            <w:pPr>
              <w:tabs>
                <w:tab w:val="left" w:pos="1750"/>
              </w:tabs>
              <w:spacing w:line="240" w:lineRule="auto"/>
              <w:contextualSpacing/>
              <w:jc w:val="left"/>
              <w:rPr>
                <w:rFonts w:eastAsia="Calibri"/>
              </w:rPr>
            </w:pPr>
            <w:r w:rsidRPr="00AF3A31">
              <w:rPr>
                <w:rFonts w:eastAsia="Calibri"/>
              </w:rPr>
              <w:t>Termin realizacji: III kw. 2022r.</w:t>
            </w:r>
          </w:p>
        </w:tc>
        <w:tc>
          <w:tcPr>
            <w:tcW w:w="1893" w:type="pct"/>
            <w:tcBorders>
              <w:top w:val="single" w:sz="4" w:space="0" w:color="auto"/>
              <w:left w:val="single" w:sz="4" w:space="0" w:color="auto"/>
              <w:bottom w:val="single" w:sz="4" w:space="0" w:color="auto"/>
              <w:right w:val="single" w:sz="4" w:space="0" w:color="auto"/>
            </w:tcBorders>
            <w:hideMark/>
          </w:tcPr>
          <w:p w14:paraId="664784E2" w14:textId="77777777" w:rsidR="00DB00FD" w:rsidRPr="0025339F" w:rsidRDefault="00DB00FD" w:rsidP="001E2158">
            <w:pPr>
              <w:tabs>
                <w:tab w:val="left" w:pos="1750"/>
              </w:tabs>
              <w:spacing w:after="120" w:line="240" w:lineRule="auto"/>
              <w:jc w:val="left"/>
              <w:rPr>
                <w:rFonts w:eastAsia="Calibri"/>
              </w:rPr>
            </w:pPr>
            <w:r w:rsidRPr="0025339F">
              <w:rPr>
                <w:rFonts w:eastAsia="Calibri"/>
              </w:rPr>
              <w:lastRenderedPageBreak/>
              <w:t>Opis reformy D1.1</w:t>
            </w:r>
          </w:p>
          <w:p w14:paraId="60C1BFCB" w14:textId="77777777" w:rsidR="00DB00FD" w:rsidRDefault="00DB00FD" w:rsidP="001E2158">
            <w:pPr>
              <w:autoSpaceDE w:val="0"/>
              <w:autoSpaceDN w:val="0"/>
              <w:adjustRightInd w:val="0"/>
              <w:spacing w:after="0" w:line="240" w:lineRule="auto"/>
              <w:jc w:val="left"/>
              <w:rPr>
                <w:sz w:val="23"/>
                <w:szCs w:val="23"/>
              </w:rPr>
            </w:pPr>
            <w:r>
              <w:rPr>
                <w:sz w:val="23"/>
                <w:szCs w:val="23"/>
              </w:rPr>
              <w:t xml:space="preserve">Celem reformy jest wprowadzenie kompleksowych działań polegających na restrukturyzacji szpitali publicznych. Reforma ma zapewnić trwałą poprawę odporności, skuteczności, jakości i dostępności opieki zdrowotnej i opieki długoterminowej, poprawę sytuacji finansowej szpitali publicznych oraz procesów nadzorowania i zarządzania tymi jednostkami. Reforma dotyczy całego sektora szpitali, w ramach którego świadczone są usługi opieki zdrowotnej finansowane ze środków publicznych. </w:t>
            </w:r>
          </w:p>
          <w:p w14:paraId="03E7CBF5" w14:textId="77777777" w:rsidR="00DB00FD" w:rsidRPr="005619FE" w:rsidRDefault="00DB00FD" w:rsidP="001E2158">
            <w:pPr>
              <w:autoSpaceDE w:val="0"/>
              <w:autoSpaceDN w:val="0"/>
              <w:adjustRightInd w:val="0"/>
              <w:spacing w:after="0" w:line="240" w:lineRule="auto"/>
              <w:jc w:val="left"/>
              <w:rPr>
                <w:rFonts w:ascii="TimesNewRomanPSMT" w:eastAsiaTheme="minorHAnsi" w:hAnsi="TimesNewRomanPSMT" w:cs="TimesNewRomanPSMT"/>
                <w:color w:val="000000"/>
                <w:sz w:val="23"/>
                <w:szCs w:val="23"/>
              </w:rPr>
            </w:pPr>
            <w:r w:rsidRPr="005619FE">
              <w:rPr>
                <w:rFonts w:ascii="TimesNewRomanPSMT" w:eastAsiaTheme="minorHAnsi" w:hAnsi="TimesNewRomanPSMT" w:cs="TimesNewRomanPSMT"/>
                <w:color w:val="000000"/>
                <w:sz w:val="23"/>
                <w:szCs w:val="23"/>
              </w:rPr>
              <w:t xml:space="preserve">Reforma ma również zapewnić podstawy do działań prowadzących do racjonalizacji piramidy </w:t>
            </w:r>
            <w:r w:rsidRPr="005619FE">
              <w:rPr>
                <w:rFonts w:eastAsiaTheme="minorHAnsi"/>
                <w:color w:val="000000"/>
                <w:sz w:val="23"/>
                <w:szCs w:val="23"/>
              </w:rPr>
              <w:t xml:space="preserve">opieki zdrowotnej, m.in. poprzez wprowadzenie nowych przepisów ustawy o podstawowej opiece zdrowotnej. </w:t>
            </w:r>
          </w:p>
          <w:p w14:paraId="6E88171F" w14:textId="77777777" w:rsidR="00DB00FD" w:rsidRPr="0038382B" w:rsidRDefault="00DB00FD" w:rsidP="001E2158">
            <w:pPr>
              <w:spacing w:line="240" w:lineRule="auto"/>
              <w:jc w:val="left"/>
              <w:rPr>
                <w:rFonts w:eastAsia="Calibri"/>
                <w:color w:val="FF0000"/>
              </w:rPr>
            </w:pPr>
            <w:r w:rsidRPr="005619FE">
              <w:rPr>
                <w:rFonts w:eastAsiaTheme="minorHAnsi"/>
                <w:color w:val="000000"/>
                <w:sz w:val="23"/>
                <w:szCs w:val="23"/>
              </w:rPr>
              <w:t xml:space="preserve">Reforma </w:t>
            </w:r>
            <w:r w:rsidRPr="005619FE">
              <w:rPr>
                <w:rFonts w:ascii="TimesNewRomanPSMT" w:eastAsiaTheme="minorHAnsi" w:hAnsi="TimesNewRomanPSMT" w:cs="TimesNewRomanPSMT"/>
                <w:color w:val="000000"/>
                <w:sz w:val="23"/>
                <w:szCs w:val="23"/>
              </w:rPr>
              <w:t>sektora szpitali zostanie</w:t>
            </w:r>
            <w:r>
              <w:rPr>
                <w:rFonts w:ascii="TimesNewRomanPSMT" w:eastAsiaTheme="minorHAnsi" w:hAnsi="TimesNewRomanPSMT" w:cs="TimesNewRomanPSMT"/>
                <w:color w:val="000000"/>
                <w:sz w:val="23"/>
                <w:szCs w:val="23"/>
              </w:rPr>
              <w:t xml:space="preserve"> </w:t>
            </w:r>
            <w:r w:rsidRPr="00C857FC">
              <w:rPr>
                <w:rFonts w:ascii="TimesNewRomanPSMT" w:eastAsiaTheme="minorHAnsi" w:hAnsi="TimesNewRomanPSMT" w:cs="TimesNewRomanPSMT"/>
                <w:color w:val="FF0000"/>
                <w:sz w:val="23"/>
                <w:szCs w:val="23"/>
              </w:rPr>
              <w:t xml:space="preserve">przeprowadzona poprzez wejście w życie pakietu legislacyjnego wprowadzającego rozwiązania prawne dotyczące modernizacji i poprawy efektywności szpitali. </w:t>
            </w:r>
          </w:p>
          <w:p w14:paraId="75EBE50A" w14:textId="77777777" w:rsidR="00DB00FD" w:rsidRPr="005619FE" w:rsidRDefault="00DB00FD" w:rsidP="001E2158">
            <w:pPr>
              <w:autoSpaceDE w:val="0"/>
              <w:autoSpaceDN w:val="0"/>
              <w:adjustRightInd w:val="0"/>
              <w:spacing w:after="0" w:line="240" w:lineRule="auto"/>
              <w:jc w:val="left"/>
              <w:rPr>
                <w:rFonts w:ascii="TimesNewRomanPSMT" w:eastAsiaTheme="minorHAnsi" w:hAnsi="TimesNewRomanPSMT" w:cs="TimesNewRomanPSMT"/>
                <w:color w:val="000000"/>
                <w:sz w:val="23"/>
                <w:szCs w:val="23"/>
              </w:rPr>
            </w:pPr>
            <w:r w:rsidRPr="005619FE">
              <w:rPr>
                <w:rFonts w:ascii="TimesNewRomanPSMT" w:eastAsiaTheme="minorHAnsi" w:hAnsi="TimesNewRomanPSMT" w:cs="TimesNewRomanPSMT"/>
                <w:color w:val="000000"/>
                <w:sz w:val="23"/>
                <w:szCs w:val="23"/>
              </w:rPr>
              <w:t xml:space="preserve">Najważniejsze postanowienia reformy są następujące: </w:t>
            </w:r>
          </w:p>
          <w:p w14:paraId="75BE964F" w14:textId="77777777" w:rsidR="00DB00FD" w:rsidRPr="005619FE" w:rsidRDefault="00DB00FD" w:rsidP="001E2158">
            <w:pPr>
              <w:autoSpaceDE w:val="0"/>
              <w:autoSpaceDN w:val="0"/>
              <w:adjustRightInd w:val="0"/>
              <w:spacing w:after="0" w:line="240" w:lineRule="auto"/>
              <w:jc w:val="left"/>
              <w:rPr>
                <w:rFonts w:ascii="TimesNewRomanPSMT" w:eastAsiaTheme="minorHAnsi" w:hAnsi="TimesNewRomanPSMT" w:cs="TimesNewRomanPSMT"/>
                <w:color w:val="000000"/>
                <w:sz w:val="23"/>
                <w:szCs w:val="23"/>
              </w:rPr>
            </w:pPr>
            <w:r w:rsidRPr="005619FE">
              <w:rPr>
                <w:rFonts w:ascii="TimesNewRomanPSMT" w:eastAsiaTheme="minorHAnsi" w:hAnsi="TimesNewRomanPSMT" w:cs="TimesNewRomanPSMT"/>
                <w:color w:val="000000"/>
                <w:sz w:val="23"/>
                <w:szCs w:val="23"/>
              </w:rPr>
              <w:lastRenderedPageBreak/>
              <w:t>– restrukturyzacja sektora szpitali poprzez konsolidację</w:t>
            </w:r>
            <w:r>
              <w:rPr>
                <w:rFonts w:ascii="TimesNewRomanPSMT" w:eastAsiaTheme="minorHAnsi" w:hAnsi="TimesNewRomanPSMT" w:cs="TimesNewRomanPSMT"/>
                <w:color w:val="000000"/>
                <w:sz w:val="23"/>
                <w:szCs w:val="23"/>
              </w:rPr>
              <w:t xml:space="preserve"> </w:t>
            </w:r>
            <w:r w:rsidRPr="008F19AE">
              <w:rPr>
                <w:rFonts w:ascii="TimesNewRomanPSMT" w:eastAsiaTheme="minorHAnsi" w:hAnsi="TimesNewRomanPSMT" w:cs="TimesNewRomanPSMT"/>
                <w:color w:val="FF0000"/>
                <w:sz w:val="23"/>
                <w:szCs w:val="23"/>
              </w:rPr>
              <w:t xml:space="preserve">lub </w:t>
            </w:r>
            <w:r w:rsidRPr="005619FE">
              <w:rPr>
                <w:rFonts w:ascii="TimesNewRomanPSMT" w:eastAsiaTheme="minorHAnsi" w:hAnsi="TimesNewRomanPSMT" w:cs="TimesNewRomanPSMT"/>
                <w:color w:val="000000"/>
                <w:sz w:val="23"/>
                <w:szCs w:val="23"/>
              </w:rPr>
              <w:t>przeprofilowanie</w:t>
            </w:r>
            <w:r>
              <w:rPr>
                <w:rFonts w:ascii="TimesNewRomanPSMT" w:eastAsiaTheme="minorHAnsi" w:hAnsi="TimesNewRomanPSMT" w:cs="TimesNewRomanPSMT"/>
                <w:color w:val="000000"/>
                <w:sz w:val="23"/>
                <w:szCs w:val="23"/>
              </w:rPr>
              <w:t xml:space="preserve"> </w:t>
            </w:r>
            <w:r w:rsidRPr="008F19AE">
              <w:rPr>
                <w:rFonts w:ascii="TimesNewRomanPSMT" w:eastAsiaTheme="minorHAnsi" w:hAnsi="TimesNewRomanPSMT" w:cs="TimesNewRomanPSMT"/>
                <w:color w:val="FF0000"/>
                <w:sz w:val="23"/>
                <w:szCs w:val="23"/>
              </w:rPr>
              <w:t>lub</w:t>
            </w:r>
            <w:r w:rsidRPr="005619FE">
              <w:rPr>
                <w:rFonts w:ascii="TimesNewRomanPSMT" w:eastAsiaTheme="minorHAnsi" w:hAnsi="TimesNewRomanPSMT" w:cs="TimesNewRomanPSMT"/>
                <w:color w:val="000000"/>
                <w:sz w:val="23"/>
                <w:szCs w:val="23"/>
              </w:rPr>
              <w:t xml:space="preserve"> zmianę zakresu </w:t>
            </w:r>
            <w:r w:rsidRPr="008F19AE">
              <w:rPr>
                <w:rFonts w:eastAsiaTheme="minorHAnsi"/>
                <w:color w:val="FF0000"/>
                <w:sz w:val="23"/>
                <w:szCs w:val="23"/>
              </w:rPr>
              <w:t>lub</w:t>
            </w:r>
            <w:r w:rsidRPr="005619FE">
              <w:rPr>
                <w:rFonts w:eastAsiaTheme="minorHAnsi"/>
                <w:color w:val="000000"/>
                <w:sz w:val="23"/>
                <w:szCs w:val="23"/>
              </w:rPr>
              <w:t xml:space="preserve"> </w:t>
            </w:r>
            <w:r w:rsidRPr="005619FE">
              <w:rPr>
                <w:rFonts w:ascii="TimesNewRomanPSMT" w:eastAsiaTheme="minorHAnsi" w:hAnsi="TimesNewRomanPSMT" w:cs="TimesNewRomanPSMT"/>
                <w:color w:val="000000"/>
                <w:sz w:val="23"/>
                <w:szCs w:val="23"/>
              </w:rPr>
              <w:t xml:space="preserve">struktury usług opieki zdrowotnej świadczonych przez szpitale, na podstawie krajowych </w:t>
            </w:r>
            <w:r w:rsidRPr="005619FE">
              <w:rPr>
                <w:rFonts w:eastAsiaTheme="minorHAnsi"/>
                <w:color w:val="000000"/>
                <w:sz w:val="23"/>
                <w:szCs w:val="23"/>
              </w:rPr>
              <w:t>i regionalnych planó</w:t>
            </w:r>
            <w:r w:rsidRPr="005619FE">
              <w:rPr>
                <w:rFonts w:ascii="TimesNewRomanPSMT" w:eastAsiaTheme="minorHAnsi" w:hAnsi="TimesNewRomanPSMT" w:cs="TimesNewRomanPSMT"/>
                <w:color w:val="000000"/>
                <w:sz w:val="23"/>
                <w:szCs w:val="23"/>
              </w:rPr>
              <w:t xml:space="preserve">w </w:t>
            </w:r>
            <w:r w:rsidRPr="008F19AE">
              <w:rPr>
                <w:rFonts w:ascii="TimesNewRomanPSMT" w:eastAsiaTheme="minorHAnsi" w:hAnsi="TimesNewRomanPSMT" w:cs="TimesNewRomanPSMT"/>
                <w:color w:val="FF0000"/>
                <w:sz w:val="23"/>
                <w:szCs w:val="23"/>
              </w:rPr>
              <w:t xml:space="preserve">transformacji </w:t>
            </w:r>
            <w:r w:rsidRPr="005619FE">
              <w:rPr>
                <w:rFonts w:ascii="TimesNewRomanPSMT" w:eastAsiaTheme="minorHAnsi" w:hAnsi="TimesNewRomanPSMT" w:cs="TimesNewRomanPSMT"/>
                <w:color w:val="000000"/>
                <w:sz w:val="23"/>
                <w:szCs w:val="23"/>
              </w:rPr>
              <w:t xml:space="preserve">oraz </w:t>
            </w:r>
            <w:r w:rsidRPr="008F19AE">
              <w:rPr>
                <w:rFonts w:ascii="TimesNewRomanPSMT" w:eastAsiaTheme="minorHAnsi" w:hAnsi="TimesNewRomanPSMT" w:cs="TimesNewRomanPSMT"/>
                <w:color w:val="FF0000"/>
                <w:sz w:val="23"/>
                <w:szCs w:val="23"/>
              </w:rPr>
              <w:t>map</w:t>
            </w:r>
            <w:r w:rsidRPr="006B0D35">
              <w:rPr>
                <w:rFonts w:ascii="TimesNewRomanPSMT" w:eastAsiaTheme="minorHAnsi" w:hAnsi="TimesNewRomanPSMT" w:cs="TimesNewRomanPSMT"/>
                <w:color w:val="FF0000"/>
                <w:sz w:val="23"/>
                <w:szCs w:val="23"/>
              </w:rPr>
              <w:t>y</w:t>
            </w:r>
            <w:r w:rsidRPr="005619FE">
              <w:rPr>
                <w:rFonts w:ascii="TimesNewRomanPSMT" w:eastAsiaTheme="minorHAnsi" w:hAnsi="TimesNewRomanPSMT" w:cs="TimesNewRomanPSMT"/>
                <w:color w:val="000000"/>
                <w:sz w:val="23"/>
                <w:szCs w:val="23"/>
              </w:rPr>
              <w:t xml:space="preserve"> potrzeb zdrowotnych, a także odpowiednią aktualizację sieci szpitali. W ramach procesu restrukturyzacji uwzględnia się potrzeby szpitali objętych nadzorem Ministra Obrony Narodowej lub Ministra Spraw Wewnętrznych związane </w:t>
            </w:r>
            <w:r w:rsidRPr="005619FE">
              <w:rPr>
                <w:rFonts w:eastAsiaTheme="minorHAnsi"/>
                <w:color w:val="000000"/>
                <w:sz w:val="23"/>
                <w:szCs w:val="23"/>
              </w:rPr>
              <w:t xml:space="preserve">z </w:t>
            </w:r>
            <w:r w:rsidRPr="005619FE">
              <w:rPr>
                <w:rFonts w:ascii="TimesNewRomanPSMT" w:eastAsiaTheme="minorHAnsi" w:hAnsi="TimesNewRomanPSMT" w:cs="TimesNewRomanPSMT"/>
                <w:color w:val="000000"/>
                <w:sz w:val="23"/>
                <w:szCs w:val="23"/>
              </w:rPr>
              <w:t>wpływe</w:t>
            </w:r>
            <w:r w:rsidRPr="005619FE">
              <w:rPr>
                <w:rFonts w:eastAsiaTheme="minorHAnsi"/>
                <w:color w:val="000000"/>
                <w:sz w:val="23"/>
                <w:szCs w:val="23"/>
              </w:rPr>
              <w:t xml:space="preserve">m wojny w Ukrainie; </w:t>
            </w:r>
          </w:p>
          <w:p w14:paraId="2B994146" w14:textId="77777777" w:rsidR="00DB00FD" w:rsidRPr="005619FE" w:rsidRDefault="00DB00FD" w:rsidP="001E2158">
            <w:pPr>
              <w:autoSpaceDE w:val="0"/>
              <w:autoSpaceDN w:val="0"/>
              <w:adjustRightInd w:val="0"/>
              <w:spacing w:after="0" w:line="240" w:lineRule="auto"/>
              <w:jc w:val="left"/>
              <w:rPr>
                <w:rFonts w:ascii="TimesNewRomanPSMT" w:eastAsiaTheme="minorHAnsi" w:hAnsi="TimesNewRomanPSMT" w:cs="TimesNewRomanPSMT"/>
                <w:color w:val="000000"/>
                <w:sz w:val="23"/>
                <w:szCs w:val="23"/>
              </w:rPr>
            </w:pPr>
            <w:r w:rsidRPr="005619FE">
              <w:rPr>
                <w:rFonts w:ascii="TimesNewRomanPSMT" w:eastAsiaTheme="minorHAnsi" w:hAnsi="TimesNewRomanPSMT" w:cs="TimesNewRomanPSMT"/>
                <w:color w:val="000000"/>
                <w:sz w:val="23"/>
                <w:szCs w:val="23"/>
              </w:rPr>
              <w:t xml:space="preserve">– podstawy do działań na rzecz racjonalizacji piramidy opieki zdrowotnej poprzez przesunięcie niektórych świadczeń zdrowotnych na niższe poziomy opieki (podstawowa opieka </w:t>
            </w:r>
            <w:r w:rsidRPr="005619FE">
              <w:rPr>
                <w:rFonts w:eastAsiaTheme="minorHAnsi"/>
                <w:color w:val="000000"/>
                <w:sz w:val="23"/>
                <w:szCs w:val="23"/>
              </w:rPr>
              <w:t xml:space="preserve">zdrowotna, opieka ambulatoryjna) </w:t>
            </w:r>
            <w:r w:rsidRPr="0056086B">
              <w:rPr>
                <w:rFonts w:eastAsiaTheme="minorHAnsi"/>
                <w:color w:val="FF0000"/>
                <w:sz w:val="23"/>
                <w:szCs w:val="23"/>
              </w:rPr>
              <w:t xml:space="preserve">poprzez zniesienie limitów w AOS, wprowadzenie współczynników korygujących (zwiększenie wyceny) na świadczenia pierwszorazowe w AOS oraz opiekę koordynowaną i budżet powierzony POZ na badania specjalistyczne, </w:t>
            </w:r>
            <w:r w:rsidRPr="005619FE">
              <w:rPr>
                <w:rFonts w:eastAsiaTheme="minorHAnsi"/>
                <w:color w:val="000000"/>
                <w:sz w:val="23"/>
                <w:szCs w:val="23"/>
              </w:rPr>
              <w:t>z odpowiednio zmienionymi zapisami w rocznych planach finansowych NFZ (Narodowego Funduszu Zdrowia)</w:t>
            </w:r>
            <w:r>
              <w:rPr>
                <w:rFonts w:eastAsiaTheme="minorHAnsi"/>
                <w:color w:val="000000"/>
                <w:sz w:val="23"/>
                <w:szCs w:val="23"/>
              </w:rPr>
              <w:t>,</w:t>
            </w:r>
            <w:r w:rsidRPr="005619FE">
              <w:rPr>
                <w:rFonts w:eastAsiaTheme="minorHAnsi"/>
                <w:color w:val="000000"/>
                <w:sz w:val="23"/>
                <w:szCs w:val="23"/>
              </w:rPr>
              <w:t xml:space="preserve"> oraz </w:t>
            </w:r>
          </w:p>
          <w:p w14:paraId="3169D58D" w14:textId="77777777" w:rsidR="00DB00FD" w:rsidRPr="00C857FC" w:rsidRDefault="00DB00FD" w:rsidP="001E2158">
            <w:pPr>
              <w:keepLines/>
              <w:spacing w:before="120" w:after="120"/>
              <w:jc w:val="left"/>
              <w:rPr>
                <w:sz w:val="23"/>
                <w:szCs w:val="23"/>
              </w:rPr>
            </w:pPr>
            <w:r w:rsidRPr="00C857FC">
              <w:rPr>
                <w:rFonts w:eastAsiaTheme="minorHAnsi"/>
                <w:color w:val="FF0000"/>
                <w:sz w:val="23"/>
                <w:szCs w:val="23"/>
              </w:rPr>
              <w:t xml:space="preserve">– </w:t>
            </w:r>
            <w:r w:rsidRPr="00C857FC">
              <w:rPr>
                <w:color w:val="FF0000"/>
                <w:sz w:val="23"/>
                <w:szCs w:val="23"/>
              </w:rPr>
              <w:t xml:space="preserve">reforma systemu finansowania szpitali, zapewniająca skuteczną i trwałą restrukturyzację działalności, restrukturyzację obszaru finansowego, w tym zadłużenia w sposób zrównoważony, </w:t>
            </w:r>
            <w:r w:rsidRPr="00C857FC">
              <w:rPr>
                <w:sz w:val="23"/>
                <w:szCs w:val="23"/>
              </w:rPr>
              <w:t>na podstawie przejrzystych i opartych na dowodach kryteriów oraz motywowanie do właściwego świadczenia opieki oraz zwiększania efektywności i jakości opieki,</w:t>
            </w:r>
          </w:p>
          <w:p w14:paraId="443241C3" w14:textId="77777777" w:rsidR="00DB00FD" w:rsidRPr="00C857FC" w:rsidRDefault="00DB00FD" w:rsidP="001E2158">
            <w:pPr>
              <w:keepLines/>
              <w:spacing w:before="120" w:after="120"/>
              <w:jc w:val="left"/>
              <w:rPr>
                <w:sz w:val="23"/>
                <w:szCs w:val="23"/>
              </w:rPr>
            </w:pPr>
            <w:r w:rsidRPr="00C857FC">
              <w:rPr>
                <w:color w:val="FF0000"/>
                <w:sz w:val="23"/>
                <w:szCs w:val="23"/>
              </w:rPr>
              <w:t xml:space="preserve">- wzmocnienie systemu nadzoru nad szpitalami, </w:t>
            </w:r>
            <w:r w:rsidRPr="00C857FC">
              <w:rPr>
                <w:sz w:val="23"/>
                <w:szCs w:val="23"/>
              </w:rPr>
              <w:t>wzmocnienia kadry zarządzającej oraz zachęcania do stosowania nowoczesnych systemów, narzędzi i metod zarządzania w opiece zdrowotnej.</w:t>
            </w:r>
          </w:p>
          <w:p w14:paraId="5711B0E0" w14:textId="77777777" w:rsidR="00DB00FD" w:rsidRPr="005619FE" w:rsidRDefault="00DB00FD" w:rsidP="001E2158">
            <w:pPr>
              <w:autoSpaceDE w:val="0"/>
              <w:autoSpaceDN w:val="0"/>
              <w:adjustRightInd w:val="0"/>
              <w:spacing w:after="0" w:line="240" w:lineRule="auto"/>
              <w:jc w:val="left"/>
              <w:rPr>
                <w:rFonts w:ascii="TimesNewRomanPSMT" w:eastAsiaTheme="minorHAnsi" w:hAnsi="TimesNewRomanPSMT" w:cs="TimesNewRomanPSMT"/>
                <w:color w:val="000000"/>
                <w:sz w:val="23"/>
                <w:szCs w:val="23"/>
              </w:rPr>
            </w:pPr>
            <w:r w:rsidRPr="005619FE">
              <w:rPr>
                <w:rFonts w:ascii="TimesNewRomanPSMT" w:eastAsiaTheme="minorHAnsi" w:hAnsi="TimesNewRomanPSMT" w:cs="TimesNewRomanPSMT"/>
                <w:color w:val="000000"/>
                <w:sz w:val="23"/>
                <w:szCs w:val="23"/>
              </w:rPr>
              <w:t xml:space="preserve">Reformę sektora szpitali należy uzupełnić o </w:t>
            </w:r>
            <w:r w:rsidRPr="005619FE">
              <w:rPr>
                <w:rFonts w:eastAsiaTheme="minorHAnsi"/>
                <w:color w:val="000000"/>
                <w:sz w:val="23"/>
                <w:szCs w:val="23"/>
              </w:rPr>
              <w:t xml:space="preserve">reformy Krajowej Sieci Onkologicznej i Krajowej Sieci Kardiologicznej </w:t>
            </w:r>
            <w:r w:rsidRPr="005619FE">
              <w:rPr>
                <w:rFonts w:ascii="TimesNewRomanPSMT" w:eastAsiaTheme="minorHAnsi" w:hAnsi="TimesNewRomanPSMT" w:cs="TimesNewRomanPSMT"/>
                <w:color w:val="000000"/>
                <w:sz w:val="23"/>
                <w:szCs w:val="23"/>
              </w:rPr>
              <w:t xml:space="preserve">oraz jakości opieki zdrowotnej i bezpieczeństwa pacjentów. Celem tych reform jest poprawa dostępu do usług w </w:t>
            </w:r>
            <w:r w:rsidRPr="005619FE">
              <w:rPr>
                <w:rFonts w:eastAsiaTheme="minorHAnsi"/>
                <w:color w:val="000000"/>
                <w:sz w:val="23"/>
                <w:szCs w:val="23"/>
              </w:rPr>
              <w:t xml:space="preserve">zakresie opieki onkologicznej i kardiologicznej oraz </w:t>
            </w:r>
            <w:r w:rsidRPr="005619FE">
              <w:rPr>
                <w:rFonts w:ascii="TimesNewRomanPSMT" w:eastAsiaTheme="minorHAnsi" w:hAnsi="TimesNewRomanPSMT" w:cs="TimesNewRomanPSMT"/>
                <w:color w:val="000000"/>
                <w:sz w:val="23"/>
                <w:szCs w:val="23"/>
              </w:rPr>
              <w:t xml:space="preserve">poprawa jakości tych usług. Reforma dotycząca jakości opieki zdrowotnej i bezpieczeństwa </w:t>
            </w:r>
            <w:r w:rsidRPr="005619FE">
              <w:rPr>
                <w:rFonts w:eastAsiaTheme="minorHAnsi"/>
                <w:color w:val="000000"/>
                <w:sz w:val="23"/>
                <w:szCs w:val="23"/>
              </w:rPr>
              <w:t>pacj</w:t>
            </w:r>
            <w:r w:rsidRPr="005619FE">
              <w:rPr>
                <w:rFonts w:ascii="TimesNewRomanPSMT" w:eastAsiaTheme="minorHAnsi" w:hAnsi="TimesNewRomanPSMT" w:cs="TimesNewRomanPSMT"/>
                <w:color w:val="000000"/>
                <w:sz w:val="23"/>
                <w:szCs w:val="23"/>
              </w:rPr>
              <w:t xml:space="preserve">entów ma na celu wprowadzenie rozwiązań systemowych w zakresie norm jakości </w:t>
            </w:r>
            <w:r w:rsidRPr="005619FE">
              <w:rPr>
                <w:rFonts w:eastAsiaTheme="minorHAnsi"/>
                <w:color w:val="000000"/>
                <w:sz w:val="23"/>
                <w:szCs w:val="23"/>
              </w:rPr>
              <w:t xml:space="preserve">przepisów ochrony zdrowia oraz ich monitorowanie w </w:t>
            </w:r>
            <w:r w:rsidRPr="005619FE">
              <w:rPr>
                <w:rFonts w:ascii="TimesNewRomanPSMT" w:eastAsiaTheme="minorHAnsi" w:hAnsi="TimesNewRomanPSMT" w:cs="TimesNewRomanPSMT"/>
                <w:color w:val="000000"/>
                <w:sz w:val="23"/>
                <w:szCs w:val="23"/>
              </w:rPr>
              <w:t xml:space="preserve">celu uzyskania trwałych efektów </w:t>
            </w:r>
            <w:r w:rsidRPr="005619FE">
              <w:rPr>
                <w:rFonts w:eastAsiaTheme="minorHAnsi"/>
                <w:color w:val="000000"/>
                <w:sz w:val="23"/>
                <w:szCs w:val="23"/>
              </w:rPr>
              <w:t xml:space="preserve">reformy. </w:t>
            </w:r>
          </w:p>
          <w:p w14:paraId="5CBB75D0" w14:textId="77777777" w:rsidR="00DB00FD" w:rsidRPr="005619FE" w:rsidRDefault="00DB00FD" w:rsidP="001E2158">
            <w:pPr>
              <w:autoSpaceDE w:val="0"/>
              <w:autoSpaceDN w:val="0"/>
              <w:adjustRightInd w:val="0"/>
              <w:spacing w:after="0" w:line="240" w:lineRule="auto"/>
              <w:jc w:val="left"/>
              <w:rPr>
                <w:rFonts w:ascii="TimesNewRomanPSMT" w:eastAsiaTheme="minorHAnsi" w:hAnsi="TimesNewRomanPSMT" w:cs="TimesNewRomanPSMT"/>
                <w:color w:val="000000"/>
                <w:sz w:val="23"/>
                <w:szCs w:val="23"/>
              </w:rPr>
            </w:pPr>
            <w:r w:rsidRPr="005619FE">
              <w:rPr>
                <w:rFonts w:ascii="TimesNewRomanPSMT" w:eastAsiaTheme="minorHAnsi" w:hAnsi="TimesNewRomanPSMT" w:cs="TimesNewRomanPSMT"/>
                <w:color w:val="000000"/>
                <w:sz w:val="23"/>
                <w:szCs w:val="23"/>
              </w:rPr>
              <w:t xml:space="preserve">Reforma obejmie również pakiet legislacyjny dotyczący uruchomienia krajowych usług </w:t>
            </w:r>
            <w:r w:rsidRPr="005619FE">
              <w:rPr>
                <w:rFonts w:eastAsiaTheme="minorHAnsi"/>
                <w:color w:val="000000"/>
                <w:sz w:val="23"/>
                <w:szCs w:val="23"/>
              </w:rPr>
              <w:t xml:space="preserve">w zakresie e-zdrowia oraz ich integracji z </w:t>
            </w:r>
            <w:r w:rsidRPr="005619FE">
              <w:rPr>
                <w:rFonts w:ascii="TimesNewRomanPSMT" w:eastAsiaTheme="minorHAnsi" w:hAnsi="TimesNewRomanPSMT" w:cs="TimesNewRomanPSMT"/>
                <w:color w:val="000000"/>
                <w:sz w:val="23"/>
                <w:szCs w:val="23"/>
              </w:rPr>
              <w:t>istniejącymi/dostępnymi systemami e</w:t>
            </w:r>
            <w:r w:rsidRPr="005619FE">
              <w:rPr>
                <w:rFonts w:eastAsiaTheme="minorHAnsi"/>
                <w:color w:val="000000"/>
                <w:sz w:val="23"/>
                <w:szCs w:val="23"/>
              </w:rPr>
              <w:t xml:space="preserve">-zdrowia na poziomie krajowym i regionalnym. </w:t>
            </w:r>
          </w:p>
          <w:p w14:paraId="1EA390BE" w14:textId="77777777" w:rsidR="00DB00FD" w:rsidRDefault="00DB00FD" w:rsidP="001E2158">
            <w:pPr>
              <w:autoSpaceDE w:val="0"/>
              <w:autoSpaceDN w:val="0"/>
              <w:adjustRightInd w:val="0"/>
              <w:spacing w:after="0" w:line="240" w:lineRule="auto"/>
              <w:jc w:val="left"/>
              <w:rPr>
                <w:color w:val="000000"/>
                <w:sz w:val="23"/>
                <w:szCs w:val="23"/>
              </w:rPr>
            </w:pPr>
            <w:r w:rsidRPr="005619FE">
              <w:rPr>
                <w:rFonts w:ascii="TimesNewRomanPSMT" w:eastAsiaTheme="minorHAnsi" w:hAnsi="TimesNewRomanPSMT" w:cs="TimesNewRomanPSMT"/>
                <w:color w:val="000000"/>
                <w:sz w:val="23"/>
                <w:szCs w:val="23"/>
              </w:rPr>
              <w:t>Realizacja reformy zostanie zakończona do dnia 31 marca 2026 r.</w:t>
            </w:r>
          </w:p>
          <w:p w14:paraId="03F49D3F" w14:textId="77777777" w:rsidR="00DB00FD" w:rsidRPr="008F19AE" w:rsidRDefault="00DB00FD" w:rsidP="001E2158">
            <w:pPr>
              <w:autoSpaceDE w:val="0"/>
              <w:autoSpaceDN w:val="0"/>
              <w:adjustRightInd w:val="0"/>
              <w:spacing w:after="0" w:line="240" w:lineRule="auto"/>
              <w:jc w:val="left"/>
              <w:rPr>
                <w:color w:val="000000"/>
                <w:sz w:val="23"/>
                <w:szCs w:val="23"/>
              </w:rPr>
            </w:pPr>
          </w:p>
          <w:p w14:paraId="5A4133A8" w14:textId="77777777" w:rsidR="00DB00FD" w:rsidRPr="008F19AE" w:rsidRDefault="00DB00FD" w:rsidP="001E2158">
            <w:pPr>
              <w:autoSpaceDE w:val="0"/>
              <w:autoSpaceDN w:val="0"/>
              <w:adjustRightInd w:val="0"/>
              <w:spacing w:after="0" w:line="240" w:lineRule="auto"/>
              <w:jc w:val="left"/>
              <w:rPr>
                <w:color w:val="000000"/>
                <w:sz w:val="23"/>
                <w:szCs w:val="23"/>
              </w:rPr>
            </w:pPr>
          </w:p>
          <w:p w14:paraId="12678F99" w14:textId="77777777" w:rsidR="00DB00FD" w:rsidRPr="00A821C6" w:rsidRDefault="00DB00FD" w:rsidP="001E2158">
            <w:pPr>
              <w:autoSpaceDE w:val="0"/>
              <w:autoSpaceDN w:val="0"/>
              <w:adjustRightInd w:val="0"/>
              <w:spacing w:after="0" w:line="240" w:lineRule="auto"/>
              <w:jc w:val="left"/>
              <w:rPr>
                <w:color w:val="000000"/>
                <w:sz w:val="23"/>
                <w:szCs w:val="23"/>
                <w:lang w:val="en-GB"/>
              </w:rPr>
            </w:pPr>
            <w:r w:rsidRPr="00A821C6">
              <w:rPr>
                <w:color w:val="000000"/>
                <w:sz w:val="23"/>
                <w:szCs w:val="23"/>
                <w:lang w:val="en-GB"/>
              </w:rPr>
              <w:t>Descripition of the reform D</w:t>
            </w:r>
            <w:r>
              <w:rPr>
                <w:color w:val="000000"/>
                <w:sz w:val="23"/>
                <w:szCs w:val="23"/>
                <w:lang w:val="en-GB"/>
              </w:rPr>
              <w:t>1.1</w:t>
            </w:r>
          </w:p>
          <w:p w14:paraId="29FC92B6" w14:textId="77777777" w:rsidR="00DB00FD" w:rsidRPr="00A821C6" w:rsidRDefault="00DB00FD" w:rsidP="001E2158">
            <w:pPr>
              <w:autoSpaceDE w:val="0"/>
              <w:autoSpaceDN w:val="0"/>
              <w:adjustRightInd w:val="0"/>
              <w:spacing w:after="0" w:line="240" w:lineRule="auto"/>
              <w:jc w:val="left"/>
              <w:rPr>
                <w:rFonts w:eastAsiaTheme="minorHAnsi"/>
                <w:color w:val="000000"/>
                <w:sz w:val="23"/>
                <w:szCs w:val="23"/>
                <w:lang w:val="en-GB"/>
              </w:rPr>
            </w:pPr>
            <w:r w:rsidRPr="00A821C6">
              <w:rPr>
                <w:rFonts w:eastAsiaTheme="minorHAnsi"/>
                <w:color w:val="000000"/>
                <w:sz w:val="23"/>
                <w:szCs w:val="23"/>
                <w:lang w:val="en-GB"/>
              </w:rPr>
              <w:t xml:space="preserve">The objective of the reform is to introduce comprehensive measures consisting in the restructuring of public hospitals. The reform is to ensure a lasting improvement in resilience, effectiveness, quality and accessibility of healthcare and long-term care, the financial situation of public hospitals, and the processes of supervision and management of these entities. The reform concerns the whole hospital sector providing health care services financed from public sources. </w:t>
            </w:r>
          </w:p>
          <w:p w14:paraId="59951773" w14:textId="77777777" w:rsidR="00DB00FD" w:rsidRPr="00A821C6" w:rsidRDefault="00DB00FD" w:rsidP="001E2158">
            <w:pPr>
              <w:autoSpaceDE w:val="0"/>
              <w:autoSpaceDN w:val="0"/>
              <w:adjustRightInd w:val="0"/>
              <w:spacing w:after="0" w:line="240" w:lineRule="auto"/>
              <w:jc w:val="left"/>
              <w:rPr>
                <w:rFonts w:eastAsiaTheme="minorHAnsi"/>
                <w:color w:val="000000"/>
                <w:sz w:val="23"/>
                <w:szCs w:val="23"/>
                <w:lang w:val="en-GB"/>
              </w:rPr>
            </w:pPr>
            <w:r w:rsidRPr="00A821C6">
              <w:rPr>
                <w:rFonts w:eastAsiaTheme="minorHAnsi"/>
                <w:color w:val="000000"/>
                <w:sz w:val="23"/>
                <w:szCs w:val="23"/>
                <w:lang w:val="en-GB"/>
              </w:rPr>
              <w:t xml:space="preserve">The reform shall also give grounds for actions for rationalisation of the pyramid of healthcare by, </w:t>
            </w:r>
            <w:r w:rsidRPr="00A821C6">
              <w:rPr>
                <w:rFonts w:eastAsiaTheme="minorHAnsi"/>
                <w:i/>
                <w:iCs/>
                <w:color w:val="000000"/>
                <w:sz w:val="23"/>
                <w:szCs w:val="23"/>
                <w:lang w:val="en-GB"/>
              </w:rPr>
              <w:t>inter alia</w:t>
            </w:r>
            <w:r w:rsidRPr="00A821C6">
              <w:rPr>
                <w:rFonts w:eastAsiaTheme="minorHAnsi"/>
                <w:color w:val="000000"/>
                <w:sz w:val="23"/>
                <w:szCs w:val="23"/>
                <w:lang w:val="en-GB"/>
              </w:rPr>
              <w:t xml:space="preserve">, introducing new provisions of the act on primary health care. </w:t>
            </w:r>
          </w:p>
          <w:p w14:paraId="47B16D9E" w14:textId="77777777" w:rsidR="00DB00FD" w:rsidRPr="008F19AE" w:rsidRDefault="00DB00FD" w:rsidP="001E2158">
            <w:pPr>
              <w:autoSpaceDE w:val="0"/>
              <w:autoSpaceDN w:val="0"/>
              <w:adjustRightInd w:val="0"/>
              <w:spacing w:after="0" w:line="240" w:lineRule="auto"/>
              <w:jc w:val="left"/>
              <w:rPr>
                <w:rFonts w:eastAsiaTheme="minorHAnsi"/>
                <w:color w:val="000000"/>
                <w:sz w:val="23"/>
                <w:szCs w:val="23"/>
                <w:lang w:val="en-GB"/>
              </w:rPr>
            </w:pPr>
            <w:r w:rsidRPr="00A821C6">
              <w:rPr>
                <w:rFonts w:eastAsiaTheme="minorHAnsi"/>
                <w:color w:val="000000"/>
                <w:sz w:val="23"/>
                <w:szCs w:val="23"/>
                <w:lang w:val="en-GB"/>
              </w:rPr>
              <w:t xml:space="preserve">The hospital sector reform shall be introduced </w:t>
            </w:r>
            <w:r w:rsidRPr="008F19AE">
              <w:rPr>
                <w:rFonts w:eastAsiaTheme="minorHAnsi"/>
                <w:color w:val="FF0000"/>
                <w:sz w:val="23"/>
                <w:szCs w:val="23"/>
                <w:lang w:val="en-GB"/>
              </w:rPr>
              <w:t>by the entry into force of a package (legislative and legal) introducing legal solutions for the modernization and improvement of hospital efficiency.</w:t>
            </w:r>
          </w:p>
          <w:p w14:paraId="7CC7343D" w14:textId="77777777" w:rsidR="00DB00FD" w:rsidRDefault="00DB00FD" w:rsidP="001E2158">
            <w:pPr>
              <w:tabs>
                <w:tab w:val="left" w:pos="1750"/>
              </w:tabs>
              <w:spacing w:after="120" w:line="240" w:lineRule="auto"/>
              <w:jc w:val="left"/>
              <w:rPr>
                <w:rFonts w:eastAsiaTheme="minorHAnsi"/>
                <w:color w:val="000000"/>
                <w:sz w:val="23"/>
                <w:szCs w:val="23"/>
                <w:lang w:val="en-GB"/>
              </w:rPr>
            </w:pPr>
          </w:p>
          <w:p w14:paraId="012C134E" w14:textId="77777777" w:rsidR="00DB00FD" w:rsidRDefault="00DB00FD" w:rsidP="001E2158">
            <w:pPr>
              <w:tabs>
                <w:tab w:val="left" w:pos="1750"/>
              </w:tabs>
              <w:spacing w:after="120" w:line="240" w:lineRule="auto"/>
              <w:jc w:val="left"/>
              <w:rPr>
                <w:rFonts w:eastAsiaTheme="minorHAnsi"/>
                <w:color w:val="000000"/>
                <w:sz w:val="23"/>
                <w:szCs w:val="23"/>
                <w:lang w:val="en-GB"/>
              </w:rPr>
            </w:pPr>
            <w:r w:rsidRPr="00A821C6">
              <w:rPr>
                <w:rFonts w:eastAsiaTheme="minorHAnsi"/>
                <w:color w:val="000000"/>
                <w:sz w:val="23"/>
                <w:szCs w:val="23"/>
                <w:lang w:val="en-GB"/>
              </w:rPr>
              <w:t>The key provisions of the reform shall be the following:</w:t>
            </w:r>
          </w:p>
          <w:p w14:paraId="12ED56A7" w14:textId="77777777" w:rsidR="00DB00FD" w:rsidRPr="00A821C6" w:rsidRDefault="00DB00FD" w:rsidP="001E2158">
            <w:pPr>
              <w:autoSpaceDE w:val="0"/>
              <w:autoSpaceDN w:val="0"/>
              <w:adjustRightInd w:val="0"/>
              <w:spacing w:after="0" w:line="240" w:lineRule="auto"/>
              <w:jc w:val="left"/>
              <w:rPr>
                <w:rFonts w:eastAsiaTheme="minorHAnsi"/>
                <w:color w:val="000000"/>
                <w:sz w:val="23"/>
                <w:szCs w:val="23"/>
                <w:lang w:val="en-GB"/>
              </w:rPr>
            </w:pPr>
            <w:r w:rsidRPr="00A821C6">
              <w:rPr>
                <w:rFonts w:eastAsiaTheme="minorHAnsi"/>
                <w:color w:val="000000"/>
                <w:sz w:val="23"/>
                <w:szCs w:val="23"/>
                <w:lang w:val="en-GB"/>
              </w:rPr>
              <w:t>- restructuring of the hospital sector by consolidating</w:t>
            </w:r>
            <w:r w:rsidRPr="008F19AE">
              <w:rPr>
                <w:rFonts w:eastAsiaTheme="minorHAnsi"/>
                <w:color w:val="FF0000"/>
                <w:sz w:val="23"/>
                <w:szCs w:val="23"/>
                <w:lang w:val="en-GB"/>
              </w:rPr>
              <w:t xml:space="preserve"> or </w:t>
            </w:r>
            <w:r w:rsidRPr="00A821C6">
              <w:rPr>
                <w:rFonts w:eastAsiaTheme="minorHAnsi"/>
                <w:color w:val="000000"/>
                <w:sz w:val="23"/>
                <w:szCs w:val="23"/>
                <w:lang w:val="en-GB"/>
              </w:rPr>
              <w:t>re-profiling</w:t>
            </w:r>
            <w:r w:rsidRPr="008F19AE">
              <w:rPr>
                <w:rFonts w:eastAsiaTheme="minorHAnsi"/>
                <w:color w:val="FF0000"/>
                <w:sz w:val="23"/>
                <w:szCs w:val="23"/>
                <w:lang w:val="en-GB"/>
              </w:rPr>
              <w:t xml:space="preserve"> or </w:t>
            </w:r>
            <w:r w:rsidRPr="00A821C6">
              <w:rPr>
                <w:rFonts w:eastAsiaTheme="minorHAnsi"/>
                <w:color w:val="000000"/>
                <w:sz w:val="23"/>
                <w:szCs w:val="23"/>
                <w:lang w:val="en-GB"/>
              </w:rPr>
              <w:t xml:space="preserve">changing the scope </w:t>
            </w:r>
            <w:r w:rsidRPr="008F19AE">
              <w:rPr>
                <w:rFonts w:eastAsiaTheme="minorHAnsi"/>
                <w:color w:val="FF0000"/>
                <w:sz w:val="23"/>
                <w:szCs w:val="23"/>
                <w:lang w:val="en-GB"/>
              </w:rPr>
              <w:t xml:space="preserve">or </w:t>
            </w:r>
            <w:r w:rsidRPr="00A821C6">
              <w:rPr>
                <w:rFonts w:eastAsiaTheme="minorHAnsi"/>
                <w:color w:val="000000"/>
                <w:sz w:val="23"/>
                <w:szCs w:val="23"/>
                <w:lang w:val="en-GB"/>
              </w:rPr>
              <w:t xml:space="preserve">structure of healthcare services </w:t>
            </w:r>
            <w:r w:rsidRPr="00A821C6">
              <w:rPr>
                <w:rFonts w:eastAsiaTheme="minorHAnsi"/>
                <w:color w:val="000000"/>
                <w:sz w:val="23"/>
                <w:szCs w:val="23"/>
                <w:lang w:val="en-GB"/>
              </w:rPr>
              <w:lastRenderedPageBreak/>
              <w:t xml:space="preserve">provided by hospitals, on the basis of the national and regional transformation plans and the map of health needs, and updating the hospital network accordingly. The needs of hospitals supervised by the Minister for National Defence or the Minister for Internal Affairs related to the impact of the war in Ukraine shall be taken into account in the restructuring process; </w:t>
            </w:r>
          </w:p>
          <w:p w14:paraId="36220ACE" w14:textId="77777777" w:rsidR="00DB00FD" w:rsidRPr="00A821C6" w:rsidRDefault="00DB00FD" w:rsidP="001E2158">
            <w:pPr>
              <w:autoSpaceDE w:val="0"/>
              <w:autoSpaceDN w:val="0"/>
              <w:adjustRightInd w:val="0"/>
              <w:spacing w:after="0" w:line="240" w:lineRule="auto"/>
              <w:jc w:val="left"/>
              <w:rPr>
                <w:rFonts w:eastAsiaTheme="minorHAnsi"/>
                <w:color w:val="000000"/>
                <w:sz w:val="23"/>
                <w:szCs w:val="23"/>
                <w:lang w:val="en-GB"/>
              </w:rPr>
            </w:pPr>
            <w:r w:rsidRPr="00A821C6">
              <w:rPr>
                <w:rFonts w:eastAsiaTheme="minorHAnsi"/>
                <w:color w:val="000000"/>
                <w:sz w:val="23"/>
                <w:szCs w:val="23"/>
                <w:lang w:val="en-GB"/>
              </w:rPr>
              <w:t xml:space="preserve">- basis for actions for rationalisation of the pyramid of the healthcare by shifting certain health services </w:t>
            </w:r>
            <w:r w:rsidRPr="00BC2D36">
              <w:rPr>
                <w:rFonts w:eastAsiaTheme="minorHAnsi"/>
                <w:color w:val="000000"/>
                <w:sz w:val="23"/>
                <w:szCs w:val="23"/>
                <w:lang w:val="en-GB"/>
              </w:rPr>
              <w:t xml:space="preserve">towards the lower levels of care (primary care, ambulatory care) </w:t>
            </w:r>
            <w:r w:rsidRPr="0056086B">
              <w:rPr>
                <w:rStyle w:val="ui-provider"/>
                <w:color w:val="FF0000"/>
                <w:sz w:val="23"/>
                <w:szCs w:val="23"/>
                <w:lang w:val="en-GB"/>
              </w:rPr>
              <w:t>through the abolition of limits in AOS, the introduction of correction coefficients (increase in valuation) on first-time services in AOS and coordinated care and the budget entrusted in POZ for specialised examinations,</w:t>
            </w:r>
            <w:r w:rsidRPr="0056086B">
              <w:rPr>
                <w:rFonts w:eastAsiaTheme="minorHAnsi"/>
                <w:color w:val="FF0000"/>
                <w:sz w:val="22"/>
                <w:szCs w:val="22"/>
                <w:lang w:val="en-GB"/>
              </w:rPr>
              <w:t xml:space="preserve"> </w:t>
            </w:r>
            <w:r w:rsidRPr="00A821C6">
              <w:rPr>
                <w:rFonts w:eastAsiaTheme="minorHAnsi"/>
                <w:color w:val="000000"/>
                <w:sz w:val="23"/>
                <w:szCs w:val="23"/>
                <w:lang w:val="en-GB"/>
              </w:rPr>
              <w:t xml:space="preserve">with accordingly revised provisions for annual NFZ (National Fund for Health) financial plans; and </w:t>
            </w:r>
          </w:p>
          <w:p w14:paraId="53054069" w14:textId="77777777" w:rsidR="00DB00FD" w:rsidRPr="008F19AE" w:rsidRDefault="00DB00FD" w:rsidP="001E2158">
            <w:pPr>
              <w:autoSpaceDE w:val="0"/>
              <w:autoSpaceDN w:val="0"/>
              <w:adjustRightInd w:val="0"/>
              <w:spacing w:after="0" w:line="240" w:lineRule="auto"/>
              <w:jc w:val="left"/>
              <w:rPr>
                <w:rFonts w:eastAsiaTheme="minorHAnsi"/>
                <w:color w:val="FF0000"/>
                <w:sz w:val="23"/>
                <w:szCs w:val="23"/>
                <w:lang w:val="en-GB"/>
              </w:rPr>
            </w:pPr>
            <w:r w:rsidRPr="008F19AE">
              <w:rPr>
                <w:rFonts w:eastAsiaTheme="minorHAnsi"/>
                <w:color w:val="FF0000"/>
                <w:sz w:val="23"/>
                <w:szCs w:val="23"/>
                <w:lang w:val="en-GB"/>
              </w:rPr>
              <w:t xml:space="preserve">- </w:t>
            </w:r>
            <w:r w:rsidRPr="0056086B">
              <w:rPr>
                <w:color w:val="FF0000"/>
                <w:sz w:val="23"/>
                <w:szCs w:val="23"/>
                <w:lang w:val="en-US"/>
              </w:rPr>
              <w:t>reform of the hospital financing system to ensure effective and sustainable restructuring of operations, restructuring of the financial area, including debt, in a sustainable manner</w:t>
            </w:r>
            <w:r w:rsidRPr="0056086B">
              <w:rPr>
                <w:rFonts w:eastAsiaTheme="minorHAnsi"/>
                <w:color w:val="FF0000"/>
                <w:sz w:val="23"/>
                <w:szCs w:val="23"/>
                <w:lang w:val="en-GB"/>
              </w:rPr>
              <w:t xml:space="preserve">, </w:t>
            </w:r>
            <w:r w:rsidRPr="00C857FC">
              <w:rPr>
                <w:rFonts w:eastAsiaTheme="minorHAnsi"/>
                <w:sz w:val="23"/>
                <w:szCs w:val="23"/>
                <w:lang w:val="en-GB"/>
              </w:rPr>
              <w:t>based on transparent and evidence-based criteria, and motivating the proper provision of care and increasing the efficiency and quality of care</w:t>
            </w:r>
            <w:r w:rsidRPr="004222C7">
              <w:rPr>
                <w:rFonts w:eastAsiaTheme="minorHAnsi"/>
                <w:color w:val="000000"/>
                <w:sz w:val="23"/>
                <w:szCs w:val="23"/>
                <w:lang w:val="en-GB"/>
              </w:rPr>
              <w:t>,</w:t>
            </w:r>
          </w:p>
          <w:p w14:paraId="0B84EDE4" w14:textId="77777777" w:rsidR="00DB00FD" w:rsidRPr="008F19AE" w:rsidRDefault="00DB00FD" w:rsidP="001E2158">
            <w:pPr>
              <w:autoSpaceDE w:val="0"/>
              <w:autoSpaceDN w:val="0"/>
              <w:adjustRightInd w:val="0"/>
              <w:spacing w:after="0" w:line="240" w:lineRule="auto"/>
              <w:jc w:val="left"/>
              <w:rPr>
                <w:rFonts w:eastAsiaTheme="minorHAnsi"/>
                <w:color w:val="FF0000"/>
                <w:sz w:val="23"/>
                <w:szCs w:val="23"/>
                <w:lang w:val="en-GB"/>
              </w:rPr>
            </w:pPr>
            <w:r w:rsidRPr="008F19AE">
              <w:rPr>
                <w:rFonts w:eastAsiaTheme="minorHAnsi"/>
                <w:color w:val="FF0000"/>
                <w:sz w:val="23"/>
                <w:szCs w:val="23"/>
                <w:lang w:val="en-GB"/>
              </w:rPr>
              <w:t>- strengthening</w:t>
            </w:r>
            <w:r w:rsidRPr="000D6A8D">
              <w:rPr>
                <w:rFonts w:eastAsiaTheme="minorHAnsi"/>
                <w:color w:val="FF0000"/>
                <w:sz w:val="23"/>
                <w:szCs w:val="23"/>
                <w:lang w:val="en-GB"/>
              </w:rPr>
              <w:t xml:space="preserve"> the system of </w:t>
            </w:r>
            <w:r w:rsidRPr="00FF6BD2">
              <w:rPr>
                <w:rFonts w:eastAsiaTheme="minorHAnsi"/>
                <w:color w:val="FF0000"/>
                <w:sz w:val="23"/>
                <w:szCs w:val="23"/>
                <w:lang w:val="en-GB"/>
              </w:rPr>
              <w:t xml:space="preserve">supervision of hospitals, </w:t>
            </w:r>
            <w:r w:rsidRPr="00C857FC">
              <w:rPr>
                <w:rFonts w:eastAsiaTheme="minorHAnsi"/>
                <w:sz w:val="23"/>
                <w:szCs w:val="23"/>
                <w:lang w:val="en-GB"/>
              </w:rPr>
              <w:t>strengthening the management staff and encouraging the use of modern systems, tools and management methods in health care.</w:t>
            </w:r>
          </w:p>
          <w:p w14:paraId="05A6ECF8" w14:textId="77777777" w:rsidR="00DB00FD" w:rsidRPr="00A821C6" w:rsidRDefault="00DB00FD" w:rsidP="001E2158">
            <w:pPr>
              <w:autoSpaceDE w:val="0"/>
              <w:autoSpaceDN w:val="0"/>
              <w:adjustRightInd w:val="0"/>
              <w:spacing w:after="0" w:line="240" w:lineRule="auto"/>
              <w:jc w:val="left"/>
              <w:rPr>
                <w:rFonts w:eastAsiaTheme="minorHAnsi"/>
                <w:color w:val="000000"/>
                <w:sz w:val="23"/>
                <w:szCs w:val="23"/>
                <w:lang w:val="en-GB"/>
              </w:rPr>
            </w:pPr>
            <w:r w:rsidRPr="00A821C6">
              <w:rPr>
                <w:rFonts w:eastAsiaTheme="minorHAnsi"/>
                <w:color w:val="000000"/>
                <w:sz w:val="23"/>
                <w:szCs w:val="23"/>
                <w:lang w:val="en-GB"/>
              </w:rPr>
              <w:t xml:space="preserve">The hospital sector reform is to be complemented by the reforms of the National Oncological Network and National Cardiological Network, as well as the quality in health care and patient safety. The objective of these reforms is to improve access and quality of service of the oncological and cardiological care. The aim of the reform on the quality in health care and patient safety is to introduce systemic solutions on health care provisions quality standards and subsequent monitoring for sustainable results of the reform. </w:t>
            </w:r>
          </w:p>
          <w:p w14:paraId="6FDD8EDA" w14:textId="77777777" w:rsidR="00DB00FD" w:rsidRPr="00A821C6" w:rsidRDefault="00DB00FD" w:rsidP="001E2158">
            <w:pPr>
              <w:autoSpaceDE w:val="0"/>
              <w:autoSpaceDN w:val="0"/>
              <w:adjustRightInd w:val="0"/>
              <w:spacing w:after="0" w:line="240" w:lineRule="auto"/>
              <w:jc w:val="left"/>
              <w:rPr>
                <w:rFonts w:eastAsiaTheme="minorHAnsi"/>
                <w:color w:val="000000"/>
                <w:sz w:val="23"/>
                <w:szCs w:val="23"/>
                <w:lang w:val="en-GB"/>
              </w:rPr>
            </w:pPr>
            <w:r w:rsidRPr="00A821C6">
              <w:rPr>
                <w:rFonts w:eastAsiaTheme="minorHAnsi"/>
                <w:color w:val="000000"/>
                <w:sz w:val="23"/>
                <w:szCs w:val="23"/>
                <w:lang w:val="en-GB"/>
              </w:rPr>
              <w:t xml:space="preserve">The reform shall also consist of a legislative package on the launch of national e-health services and their integration into existing/available eHealth systems at national and regional level. </w:t>
            </w:r>
          </w:p>
          <w:p w14:paraId="21BE3A35" w14:textId="77777777" w:rsidR="00DB00FD" w:rsidRPr="00A821C6" w:rsidRDefault="00DB00FD" w:rsidP="001E2158">
            <w:pPr>
              <w:tabs>
                <w:tab w:val="left" w:pos="1750"/>
              </w:tabs>
              <w:spacing w:after="120" w:line="240" w:lineRule="auto"/>
              <w:jc w:val="left"/>
              <w:rPr>
                <w:rFonts w:eastAsia="Calibri"/>
                <w:lang w:val="en-GB"/>
              </w:rPr>
            </w:pPr>
            <w:r w:rsidRPr="00A821C6">
              <w:rPr>
                <w:rFonts w:eastAsiaTheme="minorHAnsi"/>
                <w:color w:val="000000"/>
                <w:sz w:val="23"/>
                <w:szCs w:val="23"/>
                <w:lang w:val="en-GB"/>
              </w:rPr>
              <w:t>The implementation of the reform shall be completed by 31 March 2026.</w:t>
            </w:r>
          </w:p>
          <w:p w14:paraId="19CBC438" w14:textId="77777777" w:rsidR="00DB00FD" w:rsidRPr="00A821C6" w:rsidRDefault="00DB00FD" w:rsidP="001E2158">
            <w:pPr>
              <w:tabs>
                <w:tab w:val="left" w:pos="1750"/>
              </w:tabs>
              <w:spacing w:after="120" w:line="240" w:lineRule="auto"/>
              <w:jc w:val="left"/>
              <w:rPr>
                <w:rFonts w:eastAsia="Calibri"/>
                <w:lang w:val="en-GB"/>
              </w:rPr>
            </w:pPr>
          </w:p>
          <w:p w14:paraId="39335E54" w14:textId="77777777" w:rsidR="00DB00FD" w:rsidRPr="005619FE" w:rsidRDefault="00DB00FD" w:rsidP="001E2158">
            <w:pPr>
              <w:spacing w:line="240" w:lineRule="auto"/>
              <w:jc w:val="left"/>
              <w:rPr>
                <w:rFonts w:eastAsia="Calibri"/>
              </w:rPr>
            </w:pPr>
            <w:r w:rsidRPr="005619FE">
              <w:rPr>
                <w:rFonts w:eastAsia="Calibri"/>
              </w:rPr>
              <w:t>D1G</w:t>
            </w:r>
          </w:p>
          <w:p w14:paraId="02B68905" w14:textId="77777777" w:rsidR="00DB00FD" w:rsidRPr="00AF3A31" w:rsidRDefault="00DB00FD" w:rsidP="001E2158">
            <w:pPr>
              <w:spacing w:line="240" w:lineRule="auto"/>
              <w:jc w:val="left"/>
              <w:rPr>
                <w:rFonts w:eastAsia="Calibri"/>
                <w:color w:val="FF0000"/>
              </w:rPr>
            </w:pPr>
            <w:r w:rsidRPr="00AF3A31">
              <w:rPr>
                <w:rFonts w:eastAsia="Calibri"/>
                <w:color w:val="FF0000"/>
              </w:rPr>
              <w:t xml:space="preserve">Wejście w życie pakietu legislacyjnego wprowadzającego rozwiązania prawne dotyczące modernizacji i poprawy efektywności szpitali. </w:t>
            </w:r>
          </w:p>
          <w:p w14:paraId="2FB349C0" w14:textId="77777777" w:rsidR="00DB00FD" w:rsidRDefault="00DB00FD" w:rsidP="001E2158">
            <w:pPr>
              <w:spacing w:after="0" w:line="240" w:lineRule="auto"/>
              <w:jc w:val="left"/>
              <w:rPr>
                <w:rFonts w:eastAsia="Calibri"/>
                <w:color w:val="FF0000"/>
              </w:rPr>
            </w:pPr>
            <w:r>
              <w:rPr>
                <w:rFonts w:eastAsia="Calibri"/>
                <w:color w:val="FF0000"/>
              </w:rPr>
              <w:t>Pakiet działań na rzecz modernizacji i efektywności szpitali</w:t>
            </w:r>
            <w:r w:rsidRPr="00AF3A31">
              <w:rPr>
                <w:rFonts w:eastAsia="Calibri"/>
                <w:color w:val="FF0000"/>
              </w:rPr>
              <w:t xml:space="preserve"> obejmować będzie</w:t>
            </w:r>
            <w:r>
              <w:rPr>
                <w:rFonts w:eastAsia="Calibri"/>
                <w:color w:val="FF0000"/>
              </w:rPr>
              <w:t>:</w:t>
            </w:r>
          </w:p>
          <w:p w14:paraId="0C2128CA" w14:textId="77777777" w:rsidR="00DB00FD" w:rsidRPr="0056086B" w:rsidRDefault="00DB00FD" w:rsidP="001E2158">
            <w:pPr>
              <w:spacing w:after="0" w:line="240" w:lineRule="auto"/>
              <w:jc w:val="left"/>
              <w:rPr>
                <w:rFonts w:eastAsia="Calibri"/>
                <w:color w:val="FF0000"/>
                <w:sz w:val="23"/>
                <w:szCs w:val="23"/>
              </w:rPr>
            </w:pPr>
          </w:p>
          <w:p w14:paraId="6F269649" w14:textId="77777777" w:rsidR="00DB00FD" w:rsidRPr="00E93B3B" w:rsidRDefault="00DB00FD" w:rsidP="001E2158">
            <w:pPr>
              <w:tabs>
                <w:tab w:val="left" w:pos="1750"/>
              </w:tabs>
              <w:spacing w:line="240" w:lineRule="auto"/>
              <w:contextualSpacing/>
              <w:jc w:val="left"/>
              <w:rPr>
                <w:strike/>
                <w:sz w:val="23"/>
                <w:szCs w:val="23"/>
              </w:rPr>
            </w:pPr>
            <w:r w:rsidRPr="00C857FC">
              <w:rPr>
                <w:sz w:val="23"/>
                <w:szCs w:val="23"/>
              </w:rPr>
              <w:t>- restrukturyzacja sektora szpitali poprzez konsolidację lub przeprofilowanie lub zmianę zakresu i struktury usług opieki zdrowotnej świadczonych przez szpitale, na podstawie krajowych i regionalnych planów transformacji oraz mapy potrzeb zdrowotnych zarówno na poziomie krajowym, jak i regionalnym, a także odpowiednią aktualizację sieci szpitali. W procesie restrukturyzacji uwzględnia się potrzeby szpitali nadzorowanych przez Ministra Obrony Narodowej lub Ministra Spraw Wewnętrznych związane ze skutkami wojny na Ukrainie</w:t>
            </w:r>
            <w:r>
              <w:rPr>
                <w:sz w:val="23"/>
                <w:szCs w:val="23"/>
              </w:rPr>
              <w:t>;</w:t>
            </w:r>
          </w:p>
          <w:p w14:paraId="3660649C" w14:textId="77777777" w:rsidR="00DB00FD" w:rsidRPr="00C857FC" w:rsidRDefault="00DB00FD" w:rsidP="001E2158">
            <w:pPr>
              <w:tabs>
                <w:tab w:val="left" w:pos="1750"/>
              </w:tabs>
              <w:spacing w:line="240" w:lineRule="auto"/>
              <w:contextualSpacing/>
              <w:jc w:val="left"/>
              <w:rPr>
                <w:sz w:val="23"/>
                <w:szCs w:val="23"/>
              </w:rPr>
            </w:pPr>
            <w:r w:rsidRPr="00E93B3B">
              <w:rPr>
                <w:sz w:val="23"/>
                <w:szCs w:val="23"/>
              </w:rPr>
              <w:t xml:space="preserve">– podstawy do działań na rzecz racjonalizacji piramidy opieki zdrowotnej poprzez przesunięcie niektórych świadczeń zdrowotnych </w:t>
            </w:r>
            <w:r w:rsidRPr="0056086B">
              <w:rPr>
                <w:color w:val="FF0000"/>
                <w:sz w:val="23"/>
                <w:szCs w:val="23"/>
              </w:rPr>
              <w:t xml:space="preserve">na niższe poziomy opieki (podstawowa opieka zdrowotna, opieka ambulatoryjna) poprzez zniesienie limitów w AOS, wprowadzenie współczynników korygujących (zwiększenie wyceny) na świadczeniach pierwszorazowe w AOS oraz opiekę koordynowaną i budżet powierzony w POZ na badania specjalistyczne, </w:t>
            </w:r>
            <w:r w:rsidRPr="00C857FC">
              <w:rPr>
                <w:sz w:val="23"/>
                <w:szCs w:val="23"/>
              </w:rPr>
              <w:t xml:space="preserve">z odpowiednio zmienionymi zapisami w rocznych planach finansowych NFZ (Narodowego Funduszu Zdrowia); </w:t>
            </w:r>
          </w:p>
          <w:p w14:paraId="2B007257" w14:textId="77777777" w:rsidR="00DB00FD" w:rsidRPr="00C857FC" w:rsidRDefault="00DB00FD" w:rsidP="001E2158">
            <w:pPr>
              <w:tabs>
                <w:tab w:val="left" w:pos="1750"/>
              </w:tabs>
              <w:spacing w:line="240" w:lineRule="auto"/>
              <w:contextualSpacing/>
              <w:jc w:val="left"/>
              <w:rPr>
                <w:sz w:val="23"/>
                <w:szCs w:val="23"/>
              </w:rPr>
            </w:pPr>
            <w:r w:rsidRPr="0056086B">
              <w:rPr>
                <w:color w:val="FF0000"/>
                <w:sz w:val="23"/>
                <w:szCs w:val="23"/>
              </w:rPr>
              <w:t xml:space="preserve">– reforma systemu finansowania szpitali, zapewniająca skuteczną i trwałą restrukturyzację działalności, </w:t>
            </w:r>
            <w:r w:rsidRPr="0056086B">
              <w:rPr>
                <w:color w:val="FF0000"/>
                <w:sz w:val="23"/>
                <w:szCs w:val="23"/>
              </w:rPr>
              <w:lastRenderedPageBreak/>
              <w:t xml:space="preserve">restrukturyzację obszaru finansowego, w tym zadłużenia w sposób zrównoważony, </w:t>
            </w:r>
            <w:r w:rsidRPr="00C857FC">
              <w:rPr>
                <w:sz w:val="23"/>
                <w:szCs w:val="23"/>
              </w:rPr>
              <w:t xml:space="preserve">na podstawie przejrzystych i opartych na dowodach kryteriów oraz motywowanie do właściwego świadczenia opieki oraz zwiększania efektywności i jakości opieki; </w:t>
            </w:r>
          </w:p>
          <w:p w14:paraId="4B2F39E3" w14:textId="77777777" w:rsidR="00DB00FD" w:rsidRPr="00C857FC" w:rsidRDefault="00DB00FD" w:rsidP="001E2158">
            <w:pPr>
              <w:spacing w:after="0" w:line="240" w:lineRule="auto"/>
              <w:jc w:val="left"/>
              <w:rPr>
                <w:sz w:val="23"/>
                <w:szCs w:val="23"/>
              </w:rPr>
            </w:pPr>
            <w:r w:rsidRPr="0056086B">
              <w:rPr>
                <w:color w:val="FF0000"/>
                <w:sz w:val="23"/>
                <w:szCs w:val="23"/>
              </w:rPr>
              <w:t xml:space="preserve">– wzmocnienie systemu nadzoru nad szpitalami, </w:t>
            </w:r>
            <w:r w:rsidRPr="00C857FC">
              <w:rPr>
                <w:sz w:val="23"/>
                <w:szCs w:val="23"/>
              </w:rPr>
              <w:t>wzmocnienie kadry zarządzającej oraz zachęcanie do stosowania nowoczesnych systemów, narzędzi i metod zarządzania w opiece zdrowotnej.</w:t>
            </w:r>
          </w:p>
          <w:p w14:paraId="6DCCA1D6" w14:textId="77777777" w:rsidR="00DB00FD" w:rsidRPr="00AF3A31" w:rsidRDefault="00DB00FD" w:rsidP="001E2158">
            <w:pPr>
              <w:spacing w:after="0" w:line="240" w:lineRule="auto"/>
              <w:jc w:val="left"/>
              <w:rPr>
                <w:rFonts w:eastAsia="Calibri"/>
              </w:rPr>
            </w:pPr>
          </w:p>
          <w:p w14:paraId="5E698FEB" w14:textId="77777777" w:rsidR="00DB00FD" w:rsidRPr="003E6212" w:rsidRDefault="00DB00FD" w:rsidP="001E2158">
            <w:pPr>
              <w:spacing w:after="0" w:line="240" w:lineRule="auto"/>
              <w:jc w:val="left"/>
              <w:rPr>
                <w:rFonts w:eastAsia="Calibri"/>
                <w:color w:val="FF0000"/>
              </w:rPr>
            </w:pPr>
            <w:r w:rsidRPr="00AF3A31">
              <w:rPr>
                <w:rFonts w:eastAsia="Calibri"/>
              </w:rPr>
              <w:t xml:space="preserve">Termin realizacji: </w:t>
            </w:r>
            <w:r w:rsidRPr="00AF3A31">
              <w:rPr>
                <w:rFonts w:eastAsia="Calibri"/>
                <w:color w:val="FF0000"/>
              </w:rPr>
              <w:t xml:space="preserve">do </w:t>
            </w:r>
            <w:r>
              <w:rPr>
                <w:rFonts w:eastAsia="Calibri"/>
                <w:color w:val="FF0000"/>
              </w:rPr>
              <w:t>IV</w:t>
            </w:r>
            <w:r w:rsidRPr="00AF3A31">
              <w:rPr>
                <w:rFonts w:eastAsia="Calibri"/>
                <w:color w:val="FF0000"/>
              </w:rPr>
              <w:t xml:space="preserve"> kw. 202</w:t>
            </w:r>
            <w:r>
              <w:rPr>
                <w:rFonts w:eastAsia="Calibri"/>
                <w:color w:val="FF0000"/>
              </w:rPr>
              <w:t xml:space="preserve">4 </w:t>
            </w:r>
            <w:r w:rsidRPr="00AF3A31">
              <w:rPr>
                <w:rFonts w:eastAsia="Calibri"/>
                <w:color w:val="FF0000"/>
              </w:rPr>
              <w:t>r</w:t>
            </w:r>
            <w:r w:rsidRPr="00AF3A31">
              <w:rPr>
                <w:rFonts w:eastAsia="Calibri"/>
              </w:rPr>
              <w:t>.</w:t>
            </w:r>
          </w:p>
        </w:tc>
      </w:tr>
      <w:tr w:rsidR="00DB00FD" w:rsidRPr="00AF3A31" w14:paraId="4A8A3A57" w14:textId="77777777" w:rsidTr="001E2158">
        <w:tc>
          <w:tcPr>
            <w:tcW w:w="1175" w:type="pct"/>
            <w:gridSpan w:val="2"/>
            <w:vMerge/>
            <w:tcBorders>
              <w:top w:val="single" w:sz="4" w:space="0" w:color="auto"/>
              <w:left w:val="single" w:sz="4" w:space="0" w:color="auto"/>
              <w:bottom w:val="single" w:sz="4" w:space="0" w:color="auto"/>
              <w:right w:val="single" w:sz="4" w:space="0" w:color="auto"/>
            </w:tcBorders>
            <w:vAlign w:val="center"/>
            <w:hideMark/>
          </w:tcPr>
          <w:p w14:paraId="5F5FD375" w14:textId="77777777" w:rsidR="00DB00FD" w:rsidRPr="00AF3A31" w:rsidRDefault="00DB00FD" w:rsidP="001E2158">
            <w:pPr>
              <w:spacing w:after="0" w:line="240" w:lineRule="auto"/>
              <w:jc w:val="left"/>
              <w:rPr>
                <w:rFonts w:eastAsia="Calibri"/>
              </w:rPr>
            </w:pPr>
          </w:p>
        </w:tc>
        <w:tc>
          <w:tcPr>
            <w:tcW w:w="1932" w:type="pct"/>
            <w:tcBorders>
              <w:top w:val="single" w:sz="4" w:space="0" w:color="auto"/>
              <w:left w:val="single" w:sz="4" w:space="0" w:color="auto"/>
              <w:bottom w:val="single" w:sz="4" w:space="0" w:color="auto"/>
              <w:right w:val="single" w:sz="4" w:space="0" w:color="auto"/>
            </w:tcBorders>
            <w:hideMark/>
          </w:tcPr>
          <w:p w14:paraId="7A4028F6" w14:textId="77777777" w:rsidR="00DB00FD" w:rsidRPr="00AF3A31" w:rsidRDefault="00DB00FD" w:rsidP="001E2158">
            <w:pPr>
              <w:tabs>
                <w:tab w:val="left" w:pos="1750"/>
              </w:tabs>
              <w:spacing w:line="240" w:lineRule="auto"/>
              <w:jc w:val="left"/>
              <w:rPr>
                <w:rFonts w:eastAsia="Calibri"/>
                <w:lang w:val="en-US"/>
              </w:rPr>
            </w:pPr>
            <w:r w:rsidRPr="00AF3A31">
              <w:rPr>
                <w:rFonts w:eastAsia="Calibri"/>
                <w:lang w:val="en-US"/>
              </w:rPr>
              <w:t>D1G</w:t>
            </w:r>
          </w:p>
          <w:p w14:paraId="0A705012" w14:textId="77777777" w:rsidR="00DB00FD" w:rsidRPr="00AF3A31" w:rsidRDefault="00DB00FD" w:rsidP="001E2158">
            <w:pPr>
              <w:tabs>
                <w:tab w:val="left" w:pos="1750"/>
              </w:tabs>
              <w:spacing w:line="240" w:lineRule="auto"/>
              <w:jc w:val="left"/>
              <w:rPr>
                <w:rFonts w:eastAsia="Calibri"/>
                <w:lang w:val="en-US"/>
              </w:rPr>
            </w:pPr>
            <w:r w:rsidRPr="00AF3A31">
              <w:rPr>
                <w:rFonts w:eastAsia="Calibri"/>
                <w:lang w:val="en-US"/>
              </w:rPr>
              <w:t>Entry into force of the Act on the modernisation and improvement of hospitals’ efficiency</w:t>
            </w:r>
          </w:p>
          <w:p w14:paraId="11BC68D5" w14:textId="77777777" w:rsidR="00DB00FD" w:rsidRPr="00AF3A31" w:rsidRDefault="00DB00FD" w:rsidP="001E2158">
            <w:pPr>
              <w:tabs>
                <w:tab w:val="left" w:pos="1750"/>
              </w:tabs>
              <w:spacing w:after="0" w:line="240" w:lineRule="auto"/>
              <w:jc w:val="left"/>
              <w:rPr>
                <w:rFonts w:eastAsia="Calibri"/>
                <w:lang w:val="en-US"/>
              </w:rPr>
            </w:pPr>
            <w:r w:rsidRPr="00AF3A31">
              <w:rPr>
                <w:rFonts w:eastAsia="Calibri"/>
                <w:lang w:val="en-US"/>
              </w:rPr>
              <w:t xml:space="preserve">The enactment of a law that will provide for the following: </w:t>
            </w:r>
          </w:p>
          <w:p w14:paraId="040E5FE4" w14:textId="77777777" w:rsidR="00DB00FD" w:rsidRPr="00AF3A31" w:rsidRDefault="00DB00FD" w:rsidP="001E2158">
            <w:pPr>
              <w:tabs>
                <w:tab w:val="left" w:pos="1750"/>
              </w:tabs>
              <w:spacing w:after="0" w:line="240" w:lineRule="auto"/>
              <w:jc w:val="left"/>
              <w:rPr>
                <w:rFonts w:eastAsia="Calibri"/>
                <w:lang w:val="en-US"/>
              </w:rPr>
            </w:pPr>
            <w:r w:rsidRPr="00AF3A31">
              <w:rPr>
                <w:rFonts w:eastAsia="Calibri"/>
                <w:lang w:val="en-US"/>
              </w:rPr>
              <w:t>- restructuring of the hospital sector through consolidation, reprofiling, changing the scope and structure of health care services provided by hospitals, on the basis of national and regional transformation plans and a map of health needs at both the national and regional levels, as well as updating the hospital network accordingly. The restructuring process takes into account the needs of hospitals supervised by the Minister of Defense or the Minister of the Interior related to the effects of the war in Ukraine.</w:t>
            </w:r>
          </w:p>
          <w:p w14:paraId="36815D42" w14:textId="77777777" w:rsidR="00DB00FD" w:rsidRPr="00AF3A31" w:rsidRDefault="00DB00FD" w:rsidP="001E2158">
            <w:pPr>
              <w:tabs>
                <w:tab w:val="left" w:pos="1750"/>
              </w:tabs>
              <w:spacing w:after="0" w:line="240" w:lineRule="auto"/>
              <w:jc w:val="left"/>
              <w:rPr>
                <w:rFonts w:eastAsia="Calibri"/>
                <w:lang w:val="en-US"/>
              </w:rPr>
            </w:pPr>
            <w:r w:rsidRPr="00AF3A31">
              <w:rPr>
                <w:rFonts w:eastAsia="Calibri"/>
                <w:lang w:val="en-US"/>
              </w:rPr>
              <w:t xml:space="preserve">- the basis for efforts to rationalize the pyramid of health care by shifting some health care services from hospitals to lower levels of care (primary health care, outpatient care) with appropriately revised provisions in the annual financial plans of the National Health Fund (NFZ); </w:t>
            </w:r>
          </w:p>
          <w:p w14:paraId="1BE385FE" w14:textId="77777777" w:rsidR="00DB00FD" w:rsidRPr="00AF3A31" w:rsidRDefault="00DB00FD" w:rsidP="001E2158">
            <w:pPr>
              <w:tabs>
                <w:tab w:val="left" w:pos="1750"/>
              </w:tabs>
              <w:spacing w:after="0" w:line="240" w:lineRule="auto"/>
              <w:jc w:val="left"/>
              <w:rPr>
                <w:rFonts w:eastAsia="Calibri"/>
                <w:lang w:val="en-US"/>
              </w:rPr>
            </w:pPr>
            <w:r w:rsidRPr="00AF3A31">
              <w:rPr>
                <w:rFonts w:eastAsia="Calibri"/>
                <w:lang w:val="en-US"/>
              </w:rPr>
              <w:t xml:space="preserve">- reforming the hospital financing system to ensure effective and sustainable restructuring, including addressing hospital debt relief in a sustainable manner, based on transparent and evidence-based criteria, and incentivizing proper care delivery and increasing efficiency and quality of care; </w:t>
            </w:r>
          </w:p>
          <w:p w14:paraId="02983306" w14:textId="77777777" w:rsidR="00DB00FD" w:rsidRPr="00AF3A31" w:rsidRDefault="00DB00FD" w:rsidP="001E2158">
            <w:pPr>
              <w:tabs>
                <w:tab w:val="left" w:pos="1750"/>
              </w:tabs>
              <w:spacing w:line="240" w:lineRule="auto"/>
              <w:jc w:val="left"/>
              <w:rPr>
                <w:rFonts w:eastAsia="Calibri"/>
                <w:lang w:val="en-US"/>
              </w:rPr>
            </w:pPr>
            <w:r w:rsidRPr="00AF3A31">
              <w:rPr>
                <w:rFonts w:eastAsia="Calibri"/>
                <w:lang w:val="en-US"/>
              </w:rPr>
              <w:t>- Establishing a professional system for supervising hospitals, strengthening management and encouraging the use of modern systems, tools and management methods in health care.</w:t>
            </w:r>
          </w:p>
          <w:p w14:paraId="21B2CABD" w14:textId="77777777" w:rsidR="00A501D9" w:rsidRPr="00935797" w:rsidRDefault="00A501D9" w:rsidP="001E2158">
            <w:pPr>
              <w:tabs>
                <w:tab w:val="left" w:pos="1750"/>
              </w:tabs>
              <w:spacing w:line="240" w:lineRule="auto"/>
              <w:jc w:val="left"/>
              <w:rPr>
                <w:rFonts w:eastAsia="Calibri"/>
                <w:lang w:val="en-GB"/>
              </w:rPr>
            </w:pPr>
          </w:p>
          <w:p w14:paraId="3B514D86" w14:textId="77777777" w:rsidR="00A501D9" w:rsidRPr="00935797" w:rsidRDefault="00A501D9" w:rsidP="001E2158">
            <w:pPr>
              <w:tabs>
                <w:tab w:val="left" w:pos="1750"/>
              </w:tabs>
              <w:spacing w:line="240" w:lineRule="auto"/>
              <w:jc w:val="left"/>
              <w:rPr>
                <w:rFonts w:eastAsia="Calibri"/>
                <w:lang w:val="en-GB"/>
              </w:rPr>
            </w:pPr>
          </w:p>
          <w:p w14:paraId="64E5ED50" w14:textId="77777777" w:rsidR="00A501D9" w:rsidRPr="00935797" w:rsidRDefault="00A501D9" w:rsidP="001E2158">
            <w:pPr>
              <w:tabs>
                <w:tab w:val="left" w:pos="1750"/>
              </w:tabs>
              <w:spacing w:line="240" w:lineRule="auto"/>
              <w:jc w:val="left"/>
              <w:rPr>
                <w:rFonts w:eastAsia="Calibri"/>
                <w:lang w:val="en-GB"/>
              </w:rPr>
            </w:pPr>
          </w:p>
          <w:p w14:paraId="73C6058C" w14:textId="77777777" w:rsidR="00A501D9" w:rsidRPr="00935797" w:rsidRDefault="00A501D9" w:rsidP="001E2158">
            <w:pPr>
              <w:tabs>
                <w:tab w:val="left" w:pos="1750"/>
              </w:tabs>
              <w:spacing w:line="240" w:lineRule="auto"/>
              <w:jc w:val="left"/>
              <w:rPr>
                <w:rFonts w:eastAsia="Calibri"/>
                <w:lang w:val="en-GB"/>
              </w:rPr>
            </w:pPr>
          </w:p>
          <w:p w14:paraId="50B842E4" w14:textId="77777777" w:rsidR="00A501D9" w:rsidRPr="00935797" w:rsidRDefault="00A501D9" w:rsidP="001E2158">
            <w:pPr>
              <w:tabs>
                <w:tab w:val="left" w:pos="1750"/>
              </w:tabs>
              <w:spacing w:line="240" w:lineRule="auto"/>
              <w:jc w:val="left"/>
              <w:rPr>
                <w:rFonts w:eastAsia="Calibri"/>
                <w:lang w:val="en-GB"/>
              </w:rPr>
            </w:pPr>
          </w:p>
          <w:p w14:paraId="23EA272D" w14:textId="0ECFB0A4" w:rsidR="00DB00FD" w:rsidRPr="00AF3A31" w:rsidRDefault="00DB00FD" w:rsidP="001E2158">
            <w:pPr>
              <w:tabs>
                <w:tab w:val="left" w:pos="1750"/>
              </w:tabs>
              <w:spacing w:line="240" w:lineRule="auto"/>
              <w:jc w:val="left"/>
              <w:rPr>
                <w:rFonts w:eastAsia="Calibri"/>
              </w:rPr>
            </w:pPr>
            <w:r w:rsidRPr="00AF3A31">
              <w:rPr>
                <w:rFonts w:eastAsia="Calibri"/>
              </w:rPr>
              <w:t>Implementation date: Q3 2022</w:t>
            </w:r>
          </w:p>
        </w:tc>
        <w:tc>
          <w:tcPr>
            <w:tcW w:w="1893" w:type="pct"/>
            <w:tcBorders>
              <w:top w:val="single" w:sz="4" w:space="0" w:color="auto"/>
              <w:left w:val="single" w:sz="4" w:space="0" w:color="auto"/>
              <w:bottom w:val="single" w:sz="4" w:space="0" w:color="auto"/>
              <w:right w:val="single" w:sz="4" w:space="0" w:color="auto"/>
            </w:tcBorders>
          </w:tcPr>
          <w:p w14:paraId="68EDB374" w14:textId="77777777" w:rsidR="00DB00FD" w:rsidRPr="008F19AE" w:rsidRDefault="00DB00FD" w:rsidP="001E2158">
            <w:pPr>
              <w:spacing w:after="0" w:line="240" w:lineRule="auto"/>
              <w:jc w:val="left"/>
              <w:rPr>
                <w:rFonts w:eastAsia="Calibri"/>
                <w:color w:val="FF0000"/>
                <w:lang w:val="en-US"/>
              </w:rPr>
            </w:pPr>
            <w:r w:rsidRPr="008F19AE">
              <w:rPr>
                <w:rFonts w:eastAsia="Calibri"/>
                <w:color w:val="FF0000"/>
                <w:lang w:val="en-US"/>
              </w:rPr>
              <w:t>D1G</w:t>
            </w:r>
          </w:p>
          <w:p w14:paraId="020A4C46" w14:textId="77777777" w:rsidR="00DB00FD" w:rsidRPr="008F19AE" w:rsidRDefault="00DB00FD" w:rsidP="001E2158">
            <w:pPr>
              <w:spacing w:after="0" w:line="240" w:lineRule="auto"/>
              <w:jc w:val="left"/>
              <w:rPr>
                <w:rFonts w:eastAsia="Calibri"/>
                <w:color w:val="FF0000"/>
                <w:lang w:val="en-US"/>
              </w:rPr>
            </w:pPr>
            <w:r w:rsidRPr="008F19AE">
              <w:rPr>
                <w:rFonts w:eastAsia="Calibri"/>
                <w:color w:val="FF0000"/>
                <w:lang w:val="en-US"/>
              </w:rPr>
              <w:t xml:space="preserve">Legislative / legal package introducing legal solutions for modernizing and </w:t>
            </w:r>
            <w:r w:rsidRPr="00AF3A31">
              <w:rPr>
                <w:rFonts w:eastAsia="Calibri"/>
                <w:color w:val="FF0000"/>
                <w:lang w:val="en-US"/>
              </w:rPr>
              <w:t>improvement of</w:t>
            </w:r>
            <w:r w:rsidRPr="008F19AE">
              <w:rPr>
                <w:rFonts w:eastAsia="Calibri"/>
                <w:color w:val="FF0000"/>
                <w:lang w:val="en-US"/>
              </w:rPr>
              <w:t xml:space="preserve"> the efficiency of hospitals came into force.</w:t>
            </w:r>
          </w:p>
          <w:p w14:paraId="601CD8D1" w14:textId="77777777" w:rsidR="00DB00FD" w:rsidRDefault="00DB00FD" w:rsidP="001E2158">
            <w:pPr>
              <w:spacing w:after="0" w:line="240" w:lineRule="auto"/>
              <w:jc w:val="left"/>
              <w:rPr>
                <w:rFonts w:eastAsia="Calibri"/>
                <w:color w:val="FF0000"/>
                <w:lang w:val="en-US"/>
              </w:rPr>
            </w:pPr>
            <w:r>
              <w:rPr>
                <w:rFonts w:eastAsia="Calibri"/>
                <w:color w:val="FF0000"/>
                <w:lang w:val="en-US"/>
              </w:rPr>
              <w:t>The package of actions will cover:</w:t>
            </w:r>
          </w:p>
          <w:p w14:paraId="4DB6BD64" w14:textId="77777777" w:rsidR="00DB00FD" w:rsidRPr="00C857FC" w:rsidRDefault="00DB00FD" w:rsidP="001E2158">
            <w:pPr>
              <w:tabs>
                <w:tab w:val="left" w:pos="1750"/>
              </w:tabs>
              <w:spacing w:after="0"/>
              <w:rPr>
                <w:sz w:val="23"/>
                <w:szCs w:val="23"/>
                <w:lang w:val="en-US"/>
              </w:rPr>
            </w:pPr>
            <w:r w:rsidRPr="00BC2D36">
              <w:rPr>
                <w:lang w:val="en-US"/>
              </w:rPr>
              <w:t xml:space="preserve">- </w:t>
            </w:r>
            <w:r w:rsidRPr="00C857FC">
              <w:rPr>
                <w:sz w:val="23"/>
                <w:szCs w:val="23"/>
                <w:lang w:val="en-US"/>
              </w:rPr>
              <w:t>restructuring of the hospital sector through consolidation or reprofiling or changing the scope and structure of health care services provided by hospitals, on the basis of national and regional transformation plans and a map of health needs at both the national and regional levels, as well as updating the hospital network accordingly. The restructuring process takes into account the needs of hospitals supervised by the Minister of Defense or the Minister of the Interior related to the effects of the war in Ukraine</w:t>
            </w:r>
            <w:r>
              <w:rPr>
                <w:sz w:val="23"/>
                <w:szCs w:val="23"/>
                <w:lang w:val="en-US"/>
              </w:rPr>
              <w:t>;</w:t>
            </w:r>
          </w:p>
          <w:p w14:paraId="768C92A5" w14:textId="77777777" w:rsidR="00DB00FD" w:rsidRPr="00C857FC" w:rsidRDefault="00DB00FD" w:rsidP="001E2158">
            <w:pPr>
              <w:tabs>
                <w:tab w:val="left" w:pos="1750"/>
              </w:tabs>
              <w:spacing w:after="0"/>
              <w:rPr>
                <w:sz w:val="23"/>
                <w:szCs w:val="23"/>
                <w:lang w:val="en-US"/>
              </w:rPr>
            </w:pPr>
            <w:r w:rsidRPr="00C857FC">
              <w:rPr>
                <w:sz w:val="23"/>
                <w:szCs w:val="23"/>
                <w:lang w:val="en-US"/>
              </w:rPr>
              <w:t>- the basis for efforts to rationalize the pyramid of health care by shifting some health care services to lower levels of care (primary health care, outpatient care)</w:t>
            </w:r>
            <w:r w:rsidRPr="00BC2D36">
              <w:rPr>
                <w:lang w:val="en-GB"/>
              </w:rPr>
              <w:t xml:space="preserve"> </w:t>
            </w:r>
            <w:r w:rsidRPr="0056086B">
              <w:rPr>
                <w:color w:val="FF0000"/>
                <w:sz w:val="23"/>
                <w:szCs w:val="23"/>
                <w:lang w:val="en-US"/>
              </w:rPr>
              <w:t xml:space="preserve">through the abolition of limits in AOS, the introduction of correction coefficients (increase in valuation) on first-time services in AOS and coordinated care and the budget entrusted in POZ for specialised examinations, </w:t>
            </w:r>
            <w:r w:rsidRPr="00C857FC">
              <w:rPr>
                <w:sz w:val="23"/>
                <w:szCs w:val="23"/>
                <w:lang w:val="en-US"/>
              </w:rPr>
              <w:t xml:space="preserve">with appropriately revised provisions in the annual financial plans of the National Health Fund (NFZ); </w:t>
            </w:r>
          </w:p>
          <w:p w14:paraId="09E2C4AC" w14:textId="77777777" w:rsidR="00DB00FD" w:rsidRPr="00C857FC" w:rsidRDefault="00DB00FD" w:rsidP="001E2158">
            <w:pPr>
              <w:tabs>
                <w:tab w:val="left" w:pos="1750"/>
              </w:tabs>
              <w:spacing w:after="0"/>
              <w:rPr>
                <w:sz w:val="23"/>
                <w:szCs w:val="23"/>
                <w:lang w:val="en-US"/>
              </w:rPr>
            </w:pPr>
            <w:r w:rsidRPr="0056086B">
              <w:rPr>
                <w:color w:val="FF0000"/>
                <w:sz w:val="23"/>
                <w:szCs w:val="23"/>
                <w:lang w:val="en-US"/>
              </w:rPr>
              <w:t xml:space="preserve">- reform of the hospital financing system to ensure effective and sustainable restructuring of operations, restructuring of the financial area, including debt, in a sustainable manner, </w:t>
            </w:r>
            <w:r w:rsidRPr="00C857FC">
              <w:rPr>
                <w:sz w:val="23"/>
                <w:szCs w:val="23"/>
                <w:lang w:val="en-US"/>
              </w:rPr>
              <w:t xml:space="preserve">based on transparent and evidence-based criteria, and incentivizing proper care delivery and increasing efficiency and quality of care; </w:t>
            </w:r>
          </w:p>
          <w:p w14:paraId="5B9FB05B" w14:textId="77777777" w:rsidR="00DB00FD" w:rsidRPr="00C857FC" w:rsidRDefault="00DB00FD" w:rsidP="001E2158">
            <w:pPr>
              <w:tabs>
                <w:tab w:val="left" w:pos="1750"/>
              </w:tabs>
              <w:rPr>
                <w:sz w:val="23"/>
                <w:szCs w:val="23"/>
                <w:lang w:val="en-US"/>
              </w:rPr>
            </w:pPr>
            <w:r w:rsidRPr="0056086B">
              <w:rPr>
                <w:color w:val="FF0000"/>
                <w:sz w:val="23"/>
                <w:szCs w:val="23"/>
                <w:lang w:val="en-US"/>
              </w:rPr>
              <w:t xml:space="preserve">- strengthening the system of supervision of hospitals, </w:t>
            </w:r>
            <w:r w:rsidRPr="00C857FC">
              <w:rPr>
                <w:sz w:val="23"/>
                <w:szCs w:val="23"/>
                <w:lang w:val="en-US"/>
              </w:rPr>
              <w:t>strengthening management and encouraging the use of modern systems, tools and management methods in health care.</w:t>
            </w:r>
          </w:p>
          <w:p w14:paraId="0AF9FD87" w14:textId="77777777" w:rsidR="00DB00FD" w:rsidRPr="00C857FC" w:rsidRDefault="00DB00FD" w:rsidP="001E2158">
            <w:pPr>
              <w:spacing w:after="0" w:line="240" w:lineRule="auto"/>
              <w:jc w:val="left"/>
              <w:rPr>
                <w:rFonts w:eastAsia="Calibri"/>
                <w:lang w:val="en-US"/>
              </w:rPr>
            </w:pPr>
          </w:p>
          <w:p w14:paraId="337FD7E5" w14:textId="77777777" w:rsidR="00DB00FD" w:rsidRPr="008F19AE" w:rsidRDefault="00DB00FD" w:rsidP="001E2158">
            <w:pPr>
              <w:spacing w:after="0" w:line="240" w:lineRule="auto"/>
              <w:jc w:val="left"/>
              <w:rPr>
                <w:rFonts w:eastAsia="Calibri"/>
                <w:color w:val="FF0000"/>
                <w:lang w:val="en-US"/>
              </w:rPr>
            </w:pPr>
            <w:r w:rsidRPr="00C857FC">
              <w:rPr>
                <w:rFonts w:eastAsia="Calibri"/>
                <w:lang w:val="en-US"/>
              </w:rPr>
              <w:t xml:space="preserve">Implementation deadline: </w:t>
            </w:r>
            <w:r w:rsidRPr="008F19AE">
              <w:rPr>
                <w:rFonts w:eastAsia="Calibri"/>
                <w:color w:val="FF0000"/>
                <w:lang w:val="en-US"/>
              </w:rPr>
              <w:t xml:space="preserve">until </w:t>
            </w:r>
            <w:r w:rsidRPr="005374F5">
              <w:rPr>
                <w:rFonts w:eastAsia="Calibri"/>
                <w:color w:val="FF0000"/>
                <w:lang w:val="en-US"/>
              </w:rPr>
              <w:t>Q4 2024</w:t>
            </w:r>
          </w:p>
        </w:tc>
      </w:tr>
      <w:tr w:rsidR="00DB00FD" w:rsidRPr="00AF3A31" w14:paraId="724666DD" w14:textId="77777777" w:rsidTr="001E2158">
        <w:tc>
          <w:tcPr>
            <w:tcW w:w="1175" w:type="pct"/>
            <w:gridSpan w:val="2"/>
            <w:vMerge/>
            <w:tcBorders>
              <w:top w:val="single" w:sz="4" w:space="0" w:color="auto"/>
              <w:left w:val="single" w:sz="4" w:space="0" w:color="auto"/>
              <w:bottom w:val="single" w:sz="4" w:space="0" w:color="auto"/>
              <w:right w:val="single" w:sz="4" w:space="0" w:color="auto"/>
            </w:tcBorders>
            <w:vAlign w:val="center"/>
            <w:hideMark/>
          </w:tcPr>
          <w:p w14:paraId="33ED06C1" w14:textId="77777777" w:rsidR="00DB00FD" w:rsidRPr="00AF3A31" w:rsidRDefault="00DB00FD" w:rsidP="001E2158">
            <w:pPr>
              <w:spacing w:after="0" w:line="259" w:lineRule="auto"/>
              <w:jc w:val="left"/>
              <w:rPr>
                <w:rFonts w:eastAsia="Calibri"/>
              </w:rPr>
            </w:pPr>
          </w:p>
        </w:tc>
        <w:tc>
          <w:tcPr>
            <w:tcW w:w="1932" w:type="pct"/>
            <w:tcBorders>
              <w:top w:val="single" w:sz="4" w:space="0" w:color="auto"/>
              <w:left w:val="single" w:sz="4" w:space="0" w:color="auto"/>
              <w:bottom w:val="single" w:sz="4" w:space="0" w:color="auto"/>
              <w:right w:val="single" w:sz="4" w:space="0" w:color="auto"/>
            </w:tcBorders>
          </w:tcPr>
          <w:p w14:paraId="2728EA37" w14:textId="77777777" w:rsidR="00DB00FD" w:rsidRPr="00AF3A31" w:rsidRDefault="00DB00FD" w:rsidP="001E2158">
            <w:pPr>
              <w:tabs>
                <w:tab w:val="left" w:pos="1750"/>
              </w:tabs>
              <w:spacing w:line="240" w:lineRule="auto"/>
              <w:jc w:val="left"/>
              <w:rPr>
                <w:rFonts w:eastAsia="Calibri"/>
              </w:rPr>
            </w:pPr>
            <w:r w:rsidRPr="00AF3A31">
              <w:rPr>
                <w:rFonts w:eastAsia="Calibri"/>
              </w:rPr>
              <w:t>D5G</w:t>
            </w:r>
          </w:p>
          <w:p w14:paraId="67ADFA1F" w14:textId="77777777" w:rsidR="00DB00FD" w:rsidRPr="00AF3A31" w:rsidRDefault="00DB00FD" w:rsidP="001E2158">
            <w:pPr>
              <w:tabs>
                <w:tab w:val="left" w:pos="1750"/>
              </w:tabs>
              <w:spacing w:line="240" w:lineRule="auto"/>
              <w:jc w:val="left"/>
              <w:rPr>
                <w:rFonts w:eastAsia="Calibri"/>
              </w:rPr>
            </w:pPr>
            <w:r w:rsidRPr="00AF3A31">
              <w:rPr>
                <w:rFonts w:eastAsia="Calibri"/>
              </w:rPr>
              <w:t>Wejście w życie ustawy o Krajowej Sieci Kardiologicznej, która zapewni wszystkim pacjentom, niezależnie od miejsca zamieszkania, opiekę kardiologiczną w oparciu o te same standardy diagnostyczne i terapeutyczne, tj. jednolicie określone ścieżki oraz to, że system elastycznie odpowiada na ich potrzeby.</w:t>
            </w:r>
          </w:p>
          <w:p w14:paraId="186175AB" w14:textId="77777777" w:rsidR="00DB00FD" w:rsidRPr="00AF3A31" w:rsidRDefault="00DB00FD" w:rsidP="001E2158">
            <w:pPr>
              <w:tabs>
                <w:tab w:val="left" w:pos="1750"/>
              </w:tabs>
              <w:spacing w:line="240" w:lineRule="auto"/>
              <w:jc w:val="left"/>
              <w:rPr>
                <w:rFonts w:eastAsia="Calibri"/>
              </w:rPr>
            </w:pPr>
            <w:r w:rsidRPr="00AF3A31">
              <w:rPr>
                <w:rFonts w:eastAsia="Calibri"/>
              </w:rPr>
              <w:t>Termin realizacji: I kw. 2024 r.</w:t>
            </w:r>
          </w:p>
        </w:tc>
        <w:tc>
          <w:tcPr>
            <w:tcW w:w="1893" w:type="pct"/>
            <w:tcBorders>
              <w:top w:val="single" w:sz="4" w:space="0" w:color="auto"/>
              <w:left w:val="single" w:sz="4" w:space="0" w:color="auto"/>
              <w:bottom w:val="single" w:sz="4" w:space="0" w:color="auto"/>
              <w:right w:val="single" w:sz="4" w:space="0" w:color="auto"/>
            </w:tcBorders>
            <w:hideMark/>
          </w:tcPr>
          <w:p w14:paraId="6DEBE501" w14:textId="77777777" w:rsidR="00DB00FD" w:rsidRPr="00AF3A31" w:rsidRDefault="00DB00FD" w:rsidP="001E2158">
            <w:pPr>
              <w:spacing w:line="240" w:lineRule="auto"/>
              <w:jc w:val="left"/>
              <w:rPr>
                <w:rFonts w:eastAsia="Calibri"/>
              </w:rPr>
            </w:pPr>
            <w:r w:rsidRPr="00AF3A31">
              <w:rPr>
                <w:rFonts w:eastAsia="Calibri"/>
              </w:rPr>
              <w:t xml:space="preserve">D5G </w:t>
            </w:r>
          </w:p>
          <w:p w14:paraId="0DBD46EF" w14:textId="77777777" w:rsidR="00DB00FD" w:rsidRPr="00AF3A31" w:rsidRDefault="00DB00FD" w:rsidP="001E2158">
            <w:pPr>
              <w:tabs>
                <w:tab w:val="left" w:pos="1750"/>
              </w:tabs>
              <w:spacing w:line="240" w:lineRule="auto"/>
              <w:jc w:val="left"/>
              <w:rPr>
                <w:rFonts w:eastAsia="Calibri"/>
              </w:rPr>
            </w:pPr>
            <w:r w:rsidRPr="00AF3A31">
              <w:rPr>
                <w:rFonts w:eastAsia="Calibri"/>
              </w:rPr>
              <w:t>Wejście w życie ustawy o Krajowej Sieci Kardiologicznej, która zapewni wszystkim pacjentom, niezależnie od miejsca zamieszkania, opiekę kardiologiczną w oparciu o te same standardy diagnostyczne i terapeutyczne, tj. jednolicie określone ścieżki oraz to, że system elastycznie odpowiada na ich potrzeby.</w:t>
            </w:r>
          </w:p>
          <w:p w14:paraId="31570422" w14:textId="77777777" w:rsidR="00DB00FD" w:rsidRPr="00AF3A31" w:rsidRDefault="00DB00FD" w:rsidP="001E2158">
            <w:pPr>
              <w:tabs>
                <w:tab w:val="left" w:pos="1750"/>
              </w:tabs>
              <w:spacing w:line="240" w:lineRule="auto"/>
              <w:jc w:val="left"/>
              <w:rPr>
                <w:rFonts w:eastAsia="Calibri"/>
              </w:rPr>
            </w:pPr>
            <w:r w:rsidRPr="00AF3A31">
              <w:rPr>
                <w:rFonts w:eastAsia="Calibri"/>
              </w:rPr>
              <w:t xml:space="preserve">Termin realizacji: </w:t>
            </w:r>
            <w:r w:rsidRPr="00AF3A31">
              <w:rPr>
                <w:rFonts w:eastAsia="Calibri"/>
                <w:color w:val="FF0000"/>
              </w:rPr>
              <w:t>IV kw. 2024 r.</w:t>
            </w:r>
          </w:p>
        </w:tc>
      </w:tr>
      <w:tr w:rsidR="00DB00FD" w:rsidRPr="00AF3A31" w14:paraId="46D02FCE" w14:textId="77777777" w:rsidTr="001E2158">
        <w:tc>
          <w:tcPr>
            <w:tcW w:w="1175" w:type="pct"/>
            <w:gridSpan w:val="2"/>
            <w:vMerge/>
            <w:tcBorders>
              <w:top w:val="single" w:sz="4" w:space="0" w:color="auto"/>
              <w:left w:val="single" w:sz="4" w:space="0" w:color="auto"/>
              <w:bottom w:val="single" w:sz="4" w:space="0" w:color="auto"/>
              <w:right w:val="single" w:sz="4" w:space="0" w:color="auto"/>
            </w:tcBorders>
            <w:vAlign w:val="center"/>
            <w:hideMark/>
          </w:tcPr>
          <w:p w14:paraId="11E51650" w14:textId="77777777" w:rsidR="00DB00FD" w:rsidRPr="00AF3A31" w:rsidRDefault="00DB00FD" w:rsidP="001E2158">
            <w:pPr>
              <w:spacing w:after="0" w:line="259" w:lineRule="auto"/>
              <w:jc w:val="left"/>
              <w:rPr>
                <w:rFonts w:eastAsia="Calibri"/>
              </w:rPr>
            </w:pPr>
          </w:p>
        </w:tc>
        <w:tc>
          <w:tcPr>
            <w:tcW w:w="1932" w:type="pct"/>
            <w:tcBorders>
              <w:top w:val="single" w:sz="4" w:space="0" w:color="auto"/>
              <w:left w:val="single" w:sz="4" w:space="0" w:color="auto"/>
              <w:bottom w:val="single" w:sz="4" w:space="0" w:color="auto"/>
              <w:right w:val="single" w:sz="4" w:space="0" w:color="auto"/>
            </w:tcBorders>
            <w:hideMark/>
          </w:tcPr>
          <w:p w14:paraId="1C95AF71" w14:textId="77777777" w:rsidR="00DB00FD" w:rsidRPr="00AF3A31" w:rsidRDefault="00DB00FD" w:rsidP="001E2158">
            <w:pPr>
              <w:spacing w:line="240" w:lineRule="auto"/>
              <w:jc w:val="left"/>
              <w:rPr>
                <w:rFonts w:eastAsia="Calibri"/>
                <w:lang w:val="en-GB"/>
              </w:rPr>
            </w:pPr>
            <w:r w:rsidRPr="00AF3A31">
              <w:rPr>
                <w:rFonts w:eastAsia="Calibri"/>
                <w:lang w:val="en-GB"/>
              </w:rPr>
              <w:t xml:space="preserve">D5G </w:t>
            </w:r>
          </w:p>
          <w:p w14:paraId="35783441" w14:textId="77777777" w:rsidR="00DB00FD" w:rsidRPr="00AF3A31" w:rsidRDefault="00DB00FD" w:rsidP="001E2158">
            <w:pPr>
              <w:spacing w:line="240" w:lineRule="auto"/>
              <w:jc w:val="left"/>
              <w:rPr>
                <w:rFonts w:eastAsia="Calibri"/>
                <w:lang w:val="en-GB"/>
              </w:rPr>
            </w:pPr>
            <w:r w:rsidRPr="00AF3A31">
              <w:rPr>
                <w:rFonts w:eastAsia="Calibri"/>
                <w:lang w:val="en-GB"/>
              </w:rPr>
              <w:t xml:space="preserve">The entry into force of the law on the National Cardiac Network, which will ensure that all patients, regardless of where they live, receive cardiac care based on the same diagnostic and therapeutic standards, </w:t>
            </w:r>
            <w:r w:rsidRPr="00AF3A31">
              <w:rPr>
                <w:rFonts w:eastAsia="Calibri"/>
                <w:lang w:val="en-GB"/>
              </w:rPr>
              <w:lastRenderedPageBreak/>
              <w:t>i.e. uniformly defined pathways, and that the system flexibly responds to their needs.</w:t>
            </w:r>
          </w:p>
          <w:p w14:paraId="5F796FE9" w14:textId="77777777" w:rsidR="00DB00FD" w:rsidRPr="00AF3A31" w:rsidRDefault="00DB00FD" w:rsidP="001E2158">
            <w:pPr>
              <w:spacing w:line="240" w:lineRule="auto"/>
              <w:jc w:val="left"/>
              <w:rPr>
                <w:rFonts w:eastAsia="Calibri"/>
                <w:lang w:val="en-GB"/>
              </w:rPr>
            </w:pPr>
            <w:r w:rsidRPr="00AF3A31">
              <w:rPr>
                <w:rFonts w:eastAsia="Calibri"/>
                <w:lang w:val="en-GB"/>
              </w:rPr>
              <w:t>Implementation date: Q1 2024.</w:t>
            </w:r>
          </w:p>
          <w:p w14:paraId="50C736BA" w14:textId="77777777" w:rsidR="00DB00FD" w:rsidRPr="00AF3A31" w:rsidRDefault="00DB00FD" w:rsidP="001E2158">
            <w:pPr>
              <w:spacing w:after="0" w:line="240" w:lineRule="auto"/>
              <w:jc w:val="left"/>
              <w:rPr>
                <w:rFonts w:eastAsia="Calibri"/>
                <w:lang w:val="en-GB"/>
              </w:rPr>
            </w:pPr>
          </w:p>
        </w:tc>
        <w:tc>
          <w:tcPr>
            <w:tcW w:w="1893" w:type="pct"/>
            <w:tcBorders>
              <w:top w:val="single" w:sz="4" w:space="0" w:color="auto"/>
              <w:left w:val="single" w:sz="4" w:space="0" w:color="auto"/>
              <w:bottom w:val="single" w:sz="4" w:space="0" w:color="auto"/>
              <w:right w:val="single" w:sz="4" w:space="0" w:color="auto"/>
            </w:tcBorders>
          </w:tcPr>
          <w:p w14:paraId="058B6BCB" w14:textId="77777777" w:rsidR="00DB00FD" w:rsidRPr="00AF3A31" w:rsidRDefault="00DB00FD" w:rsidP="001E2158">
            <w:pPr>
              <w:spacing w:line="240" w:lineRule="auto"/>
              <w:jc w:val="left"/>
              <w:rPr>
                <w:rFonts w:eastAsia="Calibri"/>
                <w:lang w:val="en-GB"/>
              </w:rPr>
            </w:pPr>
            <w:r w:rsidRPr="00AF3A31">
              <w:rPr>
                <w:rFonts w:eastAsia="Calibri"/>
                <w:lang w:val="en-GB"/>
              </w:rPr>
              <w:lastRenderedPageBreak/>
              <w:t xml:space="preserve">D5G </w:t>
            </w:r>
          </w:p>
          <w:p w14:paraId="50B305A4" w14:textId="77777777" w:rsidR="00DB00FD" w:rsidRPr="00AF3A31" w:rsidRDefault="00DB00FD" w:rsidP="001E2158">
            <w:pPr>
              <w:spacing w:line="240" w:lineRule="auto"/>
              <w:jc w:val="left"/>
              <w:rPr>
                <w:rFonts w:eastAsia="Calibri"/>
                <w:lang w:val="en-GB"/>
              </w:rPr>
            </w:pPr>
            <w:r w:rsidRPr="00AF3A31">
              <w:rPr>
                <w:rFonts w:eastAsia="Calibri"/>
                <w:lang w:val="en-GB"/>
              </w:rPr>
              <w:t xml:space="preserve">The entry into force of the law on the National Cardiac Network, which will ensure that all patients, regardless of where they live, receive cardiac care based on the same diagnostic and therapeutic standards, i.e. uniformly defined </w:t>
            </w:r>
            <w:r w:rsidRPr="00AF3A31">
              <w:rPr>
                <w:rFonts w:eastAsia="Calibri"/>
                <w:lang w:val="en-GB"/>
              </w:rPr>
              <w:lastRenderedPageBreak/>
              <w:t xml:space="preserve">pathways, and that the system flexibly responds to their needs. </w:t>
            </w:r>
          </w:p>
          <w:p w14:paraId="7EEC3592" w14:textId="77777777" w:rsidR="00DB00FD" w:rsidRPr="00AF3A31" w:rsidRDefault="00DB00FD" w:rsidP="001E2158">
            <w:pPr>
              <w:spacing w:line="240" w:lineRule="auto"/>
              <w:jc w:val="left"/>
              <w:rPr>
                <w:rFonts w:eastAsia="Calibri"/>
                <w:i/>
                <w:iCs/>
                <w:lang w:val="en-GB"/>
              </w:rPr>
            </w:pPr>
            <w:r w:rsidRPr="00AF3A31">
              <w:rPr>
                <w:rFonts w:eastAsia="Calibri"/>
                <w:lang w:val="en-GB"/>
              </w:rPr>
              <w:t xml:space="preserve">Implementation date: </w:t>
            </w:r>
            <w:r w:rsidRPr="00AF3A31">
              <w:rPr>
                <w:rFonts w:eastAsia="Calibri"/>
                <w:color w:val="FF0000"/>
                <w:lang w:val="en-GB"/>
              </w:rPr>
              <w:t>Q4 2024.</w:t>
            </w:r>
          </w:p>
        </w:tc>
      </w:tr>
      <w:tr w:rsidR="00DB00FD" w:rsidRPr="00AF3A31" w14:paraId="3716D691" w14:textId="77777777" w:rsidTr="001E2158">
        <w:tc>
          <w:tcPr>
            <w:tcW w:w="1175" w:type="pct"/>
            <w:gridSpan w:val="2"/>
            <w:vMerge/>
            <w:tcBorders>
              <w:top w:val="single" w:sz="4" w:space="0" w:color="auto"/>
              <w:left w:val="single" w:sz="4" w:space="0" w:color="auto"/>
              <w:bottom w:val="single" w:sz="4" w:space="0" w:color="auto"/>
              <w:right w:val="single" w:sz="4" w:space="0" w:color="auto"/>
            </w:tcBorders>
            <w:vAlign w:val="center"/>
            <w:hideMark/>
          </w:tcPr>
          <w:p w14:paraId="3BC6BECA" w14:textId="77777777" w:rsidR="00DB00FD" w:rsidRPr="00AF3A31" w:rsidRDefault="00DB00FD" w:rsidP="001E2158">
            <w:pPr>
              <w:spacing w:after="0" w:line="259" w:lineRule="auto"/>
              <w:jc w:val="left"/>
              <w:rPr>
                <w:rFonts w:eastAsia="Calibri"/>
                <w:lang w:val="en-US"/>
              </w:rPr>
            </w:pPr>
          </w:p>
        </w:tc>
        <w:tc>
          <w:tcPr>
            <w:tcW w:w="1932" w:type="pct"/>
            <w:tcBorders>
              <w:top w:val="single" w:sz="4" w:space="0" w:color="auto"/>
              <w:left w:val="single" w:sz="4" w:space="0" w:color="auto"/>
              <w:bottom w:val="single" w:sz="4" w:space="0" w:color="auto"/>
              <w:right w:val="single" w:sz="4" w:space="0" w:color="auto"/>
            </w:tcBorders>
            <w:hideMark/>
          </w:tcPr>
          <w:p w14:paraId="529213C3" w14:textId="77777777" w:rsidR="00DB00FD" w:rsidRPr="00AF3A31" w:rsidRDefault="00DB00FD" w:rsidP="001E2158">
            <w:pPr>
              <w:spacing w:line="240" w:lineRule="auto"/>
              <w:jc w:val="left"/>
              <w:rPr>
                <w:rFonts w:eastAsia="Calibri"/>
              </w:rPr>
            </w:pPr>
            <w:r w:rsidRPr="00AF3A31">
              <w:rPr>
                <w:rFonts w:eastAsia="Calibri"/>
              </w:rPr>
              <w:t xml:space="preserve">D8G </w:t>
            </w:r>
          </w:p>
          <w:p w14:paraId="490D0B83" w14:textId="77777777" w:rsidR="00DB00FD" w:rsidRPr="00AF3A31" w:rsidRDefault="00DB00FD" w:rsidP="001E2158">
            <w:pPr>
              <w:spacing w:line="240" w:lineRule="auto"/>
              <w:jc w:val="left"/>
              <w:rPr>
                <w:rFonts w:eastAsia="Calibri"/>
                <w:b/>
                <w:bCs/>
              </w:rPr>
            </w:pPr>
            <w:r w:rsidRPr="00AF3A31">
              <w:rPr>
                <w:rFonts w:eastAsia="Calibri"/>
              </w:rPr>
              <w:t>Raport z oceny sieci opieki onkologicznej, zawierający wskaźniki jakości opieki onkologicznej.</w:t>
            </w:r>
          </w:p>
          <w:p w14:paraId="147F7B1B" w14:textId="77777777" w:rsidR="00DB00FD" w:rsidRPr="00AF3A31" w:rsidRDefault="00DB00FD" w:rsidP="001E2158">
            <w:pPr>
              <w:spacing w:after="0" w:line="240" w:lineRule="auto"/>
              <w:jc w:val="left"/>
              <w:rPr>
                <w:rFonts w:eastAsia="Calibri"/>
              </w:rPr>
            </w:pPr>
            <w:r w:rsidRPr="00AF3A31">
              <w:rPr>
                <w:rFonts w:eastAsia="Calibri"/>
              </w:rPr>
              <w:t>Termin realizacji: II kw. 2025r.</w:t>
            </w:r>
          </w:p>
        </w:tc>
        <w:tc>
          <w:tcPr>
            <w:tcW w:w="1893" w:type="pct"/>
            <w:tcBorders>
              <w:top w:val="single" w:sz="4" w:space="0" w:color="auto"/>
              <w:left w:val="single" w:sz="4" w:space="0" w:color="auto"/>
              <w:bottom w:val="single" w:sz="4" w:space="0" w:color="auto"/>
              <w:right w:val="single" w:sz="4" w:space="0" w:color="auto"/>
            </w:tcBorders>
            <w:hideMark/>
          </w:tcPr>
          <w:p w14:paraId="79A27E77" w14:textId="77777777" w:rsidR="00DB00FD" w:rsidRPr="00AF3A31" w:rsidRDefault="00DB00FD" w:rsidP="001E2158">
            <w:pPr>
              <w:spacing w:line="240" w:lineRule="auto"/>
              <w:jc w:val="left"/>
              <w:rPr>
                <w:rFonts w:eastAsia="Calibri"/>
              </w:rPr>
            </w:pPr>
            <w:r w:rsidRPr="00AF3A31">
              <w:rPr>
                <w:rFonts w:eastAsia="Calibri"/>
              </w:rPr>
              <w:t>D8G</w:t>
            </w:r>
          </w:p>
          <w:p w14:paraId="69DA9C41" w14:textId="77777777" w:rsidR="00DB00FD" w:rsidRPr="00AF3A31" w:rsidRDefault="00DB00FD" w:rsidP="001E2158">
            <w:pPr>
              <w:spacing w:line="240" w:lineRule="auto"/>
              <w:jc w:val="left"/>
              <w:rPr>
                <w:rFonts w:eastAsia="Calibri"/>
                <w:b/>
                <w:bCs/>
              </w:rPr>
            </w:pPr>
            <w:r w:rsidRPr="00AF3A31">
              <w:rPr>
                <w:rFonts w:eastAsia="Calibri"/>
              </w:rPr>
              <w:t>Raport z oceny sieci opieki onkologicznej, zawierający wskaźniki jakości opieki onkologicznej.</w:t>
            </w:r>
          </w:p>
          <w:p w14:paraId="02A961BA" w14:textId="77777777" w:rsidR="00DB00FD" w:rsidRPr="00AF3A31" w:rsidRDefault="00DB00FD" w:rsidP="001E2158">
            <w:pPr>
              <w:spacing w:after="0" w:line="240" w:lineRule="auto"/>
              <w:jc w:val="left"/>
              <w:rPr>
                <w:rFonts w:eastAsia="Calibri"/>
              </w:rPr>
            </w:pPr>
            <w:r w:rsidRPr="00AF3A31">
              <w:rPr>
                <w:rFonts w:eastAsia="Calibri"/>
              </w:rPr>
              <w:t xml:space="preserve">Termin realizacji: </w:t>
            </w:r>
            <w:r w:rsidRPr="00AF3A31">
              <w:rPr>
                <w:rFonts w:eastAsia="Calibri"/>
                <w:color w:val="FF0000"/>
              </w:rPr>
              <w:t>II kw. 2026r.</w:t>
            </w:r>
          </w:p>
        </w:tc>
      </w:tr>
      <w:tr w:rsidR="00DB00FD" w:rsidRPr="00AF3A31" w14:paraId="5DB6F3F9" w14:textId="77777777" w:rsidTr="001E2158">
        <w:tc>
          <w:tcPr>
            <w:tcW w:w="1175" w:type="pct"/>
            <w:gridSpan w:val="2"/>
            <w:vMerge/>
            <w:tcBorders>
              <w:top w:val="single" w:sz="4" w:space="0" w:color="auto"/>
              <w:left w:val="single" w:sz="4" w:space="0" w:color="auto"/>
              <w:bottom w:val="single" w:sz="4" w:space="0" w:color="auto"/>
              <w:right w:val="single" w:sz="4" w:space="0" w:color="auto"/>
            </w:tcBorders>
            <w:vAlign w:val="center"/>
            <w:hideMark/>
          </w:tcPr>
          <w:p w14:paraId="023242C9" w14:textId="77777777" w:rsidR="00DB00FD" w:rsidRPr="00AF3A31" w:rsidRDefault="00DB00FD" w:rsidP="001E2158">
            <w:pPr>
              <w:spacing w:after="0" w:line="259" w:lineRule="auto"/>
              <w:jc w:val="left"/>
              <w:rPr>
                <w:rFonts w:eastAsia="Calibri"/>
              </w:rPr>
            </w:pPr>
          </w:p>
        </w:tc>
        <w:tc>
          <w:tcPr>
            <w:tcW w:w="1932" w:type="pct"/>
            <w:tcBorders>
              <w:top w:val="single" w:sz="4" w:space="0" w:color="auto"/>
              <w:left w:val="single" w:sz="4" w:space="0" w:color="auto"/>
              <w:bottom w:val="single" w:sz="4" w:space="0" w:color="auto"/>
              <w:right w:val="single" w:sz="4" w:space="0" w:color="auto"/>
            </w:tcBorders>
            <w:hideMark/>
          </w:tcPr>
          <w:p w14:paraId="5D38D5C9" w14:textId="77777777" w:rsidR="00DB00FD" w:rsidRPr="00AF3A31" w:rsidRDefault="00DB00FD" w:rsidP="001E2158">
            <w:pPr>
              <w:spacing w:after="0" w:line="240" w:lineRule="auto"/>
              <w:jc w:val="left"/>
              <w:rPr>
                <w:rFonts w:eastAsia="Calibri"/>
                <w:lang w:val="en-GB"/>
              </w:rPr>
            </w:pPr>
            <w:r w:rsidRPr="00AF3A31">
              <w:rPr>
                <w:rFonts w:eastAsia="Calibri"/>
                <w:lang w:val="en-GB"/>
              </w:rPr>
              <w:t>D8G</w:t>
            </w:r>
          </w:p>
          <w:p w14:paraId="686E65C6" w14:textId="77777777" w:rsidR="00DB00FD" w:rsidRPr="00AF3A31" w:rsidRDefault="00DB00FD" w:rsidP="001E2158">
            <w:pPr>
              <w:spacing w:line="240" w:lineRule="auto"/>
              <w:jc w:val="left"/>
              <w:rPr>
                <w:rFonts w:eastAsia="Calibri"/>
                <w:lang w:val="en-GB"/>
              </w:rPr>
            </w:pPr>
            <w:r w:rsidRPr="00AF3A31">
              <w:rPr>
                <w:rFonts w:eastAsia="Calibri"/>
                <w:lang w:val="en-GB"/>
              </w:rPr>
              <w:t>Oncology care network evaluation report, including quality indicators for oncology care.</w:t>
            </w:r>
          </w:p>
          <w:p w14:paraId="6E434108" w14:textId="77777777" w:rsidR="00DB00FD" w:rsidRPr="00AF3A31" w:rsidRDefault="00DB00FD" w:rsidP="001E2158">
            <w:pPr>
              <w:spacing w:after="0" w:line="240" w:lineRule="auto"/>
              <w:jc w:val="left"/>
              <w:rPr>
                <w:rFonts w:eastAsia="Calibri"/>
                <w:lang w:val="en-GB"/>
              </w:rPr>
            </w:pPr>
            <w:r w:rsidRPr="00AF3A31">
              <w:rPr>
                <w:rFonts w:eastAsia="Calibri"/>
                <w:lang w:val="en-GB"/>
              </w:rPr>
              <w:t>Implementation date: Q2 2025</w:t>
            </w:r>
          </w:p>
        </w:tc>
        <w:tc>
          <w:tcPr>
            <w:tcW w:w="1893" w:type="pct"/>
            <w:tcBorders>
              <w:top w:val="single" w:sz="4" w:space="0" w:color="auto"/>
              <w:left w:val="single" w:sz="4" w:space="0" w:color="auto"/>
              <w:bottom w:val="single" w:sz="4" w:space="0" w:color="auto"/>
              <w:right w:val="single" w:sz="4" w:space="0" w:color="auto"/>
            </w:tcBorders>
            <w:hideMark/>
          </w:tcPr>
          <w:p w14:paraId="2522C386" w14:textId="77777777" w:rsidR="00DB00FD" w:rsidRPr="00AF3A31" w:rsidRDefault="00DB00FD" w:rsidP="001E2158">
            <w:pPr>
              <w:spacing w:after="0" w:line="240" w:lineRule="auto"/>
              <w:jc w:val="left"/>
              <w:rPr>
                <w:rFonts w:eastAsia="Calibri"/>
                <w:lang w:val="en-GB"/>
              </w:rPr>
            </w:pPr>
            <w:r w:rsidRPr="00AF3A31">
              <w:rPr>
                <w:rFonts w:eastAsia="Calibri"/>
                <w:lang w:val="en-GB"/>
              </w:rPr>
              <w:t>D8G</w:t>
            </w:r>
          </w:p>
          <w:p w14:paraId="41B3A9A5" w14:textId="77777777" w:rsidR="00DB00FD" w:rsidRPr="00AF3A31" w:rsidRDefault="00DB00FD" w:rsidP="001E2158">
            <w:pPr>
              <w:spacing w:line="240" w:lineRule="auto"/>
              <w:jc w:val="left"/>
              <w:rPr>
                <w:rFonts w:eastAsia="Calibri"/>
                <w:lang w:val="en-GB"/>
              </w:rPr>
            </w:pPr>
            <w:r w:rsidRPr="00AF3A31">
              <w:rPr>
                <w:rFonts w:eastAsia="Calibri"/>
                <w:lang w:val="en-GB"/>
              </w:rPr>
              <w:t>Oncology care network evaluation report, including quality indicators for oncology care.</w:t>
            </w:r>
          </w:p>
          <w:p w14:paraId="24800119" w14:textId="77777777" w:rsidR="00DB00FD" w:rsidRPr="00AF3A31" w:rsidRDefault="00DB00FD" w:rsidP="001E2158">
            <w:pPr>
              <w:spacing w:after="0" w:line="240" w:lineRule="auto"/>
              <w:jc w:val="left"/>
              <w:rPr>
                <w:rFonts w:eastAsia="Calibri"/>
                <w:lang w:val="en-GB"/>
              </w:rPr>
            </w:pPr>
            <w:r w:rsidRPr="00AF3A31">
              <w:rPr>
                <w:rFonts w:eastAsia="Calibri"/>
                <w:lang w:val="en-GB"/>
              </w:rPr>
              <w:t xml:space="preserve">Implementation date: </w:t>
            </w:r>
            <w:r w:rsidRPr="00AF3A31">
              <w:rPr>
                <w:rFonts w:eastAsia="Calibri"/>
                <w:color w:val="FF0000"/>
                <w:lang w:val="en-GB"/>
              </w:rPr>
              <w:t>Q2 2026</w:t>
            </w:r>
          </w:p>
        </w:tc>
      </w:tr>
      <w:tr w:rsidR="00DB00FD" w:rsidRPr="003C0C8F" w14:paraId="15C2E0C6" w14:textId="77777777" w:rsidTr="001E2158">
        <w:tc>
          <w:tcPr>
            <w:tcW w:w="1175" w:type="pct"/>
            <w:gridSpan w:val="2"/>
            <w:tcBorders>
              <w:top w:val="single" w:sz="4" w:space="0" w:color="auto"/>
              <w:left w:val="single" w:sz="4" w:space="0" w:color="auto"/>
              <w:bottom w:val="single" w:sz="4" w:space="0" w:color="auto"/>
              <w:right w:val="single" w:sz="4" w:space="0" w:color="auto"/>
            </w:tcBorders>
            <w:hideMark/>
          </w:tcPr>
          <w:p w14:paraId="4EBA73C5" w14:textId="77777777" w:rsidR="00DB00FD" w:rsidRPr="00AF3A31" w:rsidRDefault="00DB00FD" w:rsidP="001E2158">
            <w:pPr>
              <w:spacing w:after="120" w:line="240" w:lineRule="auto"/>
              <w:jc w:val="left"/>
              <w:rPr>
                <w:rFonts w:eastAsia="Calibri"/>
              </w:rPr>
            </w:pPr>
            <w:r w:rsidRPr="00AF3A31">
              <w:rPr>
                <w:rFonts w:eastAsia="Calibri"/>
              </w:rPr>
              <w:t>Uzasadnienie</w:t>
            </w:r>
          </w:p>
        </w:tc>
        <w:tc>
          <w:tcPr>
            <w:tcW w:w="3825" w:type="pct"/>
            <w:gridSpan w:val="2"/>
            <w:tcBorders>
              <w:top w:val="single" w:sz="4" w:space="0" w:color="auto"/>
              <w:left w:val="single" w:sz="4" w:space="0" w:color="auto"/>
              <w:bottom w:val="single" w:sz="4" w:space="0" w:color="auto"/>
              <w:right w:val="single" w:sz="4" w:space="0" w:color="auto"/>
            </w:tcBorders>
            <w:hideMark/>
          </w:tcPr>
          <w:p w14:paraId="61F81E03" w14:textId="77777777" w:rsidR="00DB00FD" w:rsidRPr="00AF3A31" w:rsidRDefault="00DB00FD" w:rsidP="001E2158">
            <w:pPr>
              <w:spacing w:after="120" w:line="240" w:lineRule="auto"/>
              <w:jc w:val="left"/>
              <w:rPr>
                <w:rFonts w:eastAsia="Calibri"/>
              </w:rPr>
            </w:pPr>
            <w:r w:rsidRPr="00AF3A31">
              <w:rPr>
                <w:rFonts w:eastAsia="Calibri"/>
              </w:rPr>
              <w:t>D1G</w:t>
            </w:r>
          </w:p>
          <w:p w14:paraId="06A443F1" w14:textId="77777777" w:rsidR="00DB00FD" w:rsidRPr="00AF3A31" w:rsidRDefault="00DB00FD" w:rsidP="001E2158">
            <w:pPr>
              <w:spacing w:after="120" w:line="240" w:lineRule="auto"/>
              <w:jc w:val="left"/>
              <w:rPr>
                <w:rFonts w:eastAsia="Calibri"/>
              </w:rPr>
            </w:pPr>
            <w:r w:rsidRPr="00AF3A31">
              <w:rPr>
                <w:rFonts w:eastAsia="Calibri"/>
              </w:rPr>
              <w:t xml:space="preserve">Planowana modyfikacja nie wpłynie </w:t>
            </w:r>
            <w:r w:rsidRPr="00AF3A31">
              <w:rPr>
                <w:rFonts w:eastAsia="Calibri"/>
                <w:color w:val="000000"/>
              </w:rPr>
              <w:t xml:space="preserve">na poziom zakładanego celu reformy i </w:t>
            </w:r>
            <w:r w:rsidRPr="00AF3A31">
              <w:rPr>
                <w:rFonts w:eastAsia="Calibri"/>
              </w:rPr>
              <w:t>poziom ich ambicji i pozwoli osiągnąć trwałe rezultaty reformy w sposób bardziej zrównoważony i ograniczający ryzyko braku konsensusu społecznego i politycznego.</w:t>
            </w:r>
          </w:p>
          <w:p w14:paraId="66CF28C6" w14:textId="77777777" w:rsidR="00DB00FD" w:rsidRPr="00AF3A31" w:rsidRDefault="00DB00FD" w:rsidP="001E2158">
            <w:pPr>
              <w:spacing w:after="120" w:line="240" w:lineRule="auto"/>
              <w:jc w:val="left"/>
              <w:rPr>
                <w:rFonts w:eastAsia="Calibri"/>
              </w:rPr>
            </w:pPr>
            <w:r w:rsidRPr="00AF3A31">
              <w:rPr>
                <w:rFonts w:eastAsia="Calibri"/>
              </w:rPr>
              <w:t xml:space="preserve">Dla realizacji kamienia D1G zostaną przyjęte rozwiązania na poziomie ustaw oraz aktów wykonawczych w postaci rozporządzeń, które zmodyfikują zasady kwalifikacji do Sieci Szpitali dla podmiotów leczniczych oraz umożliwią podmiotom leczniczym prowadzenie procesów restrukturyzacji i konsolidacji w ramach Sieci Szpitali. Dodatkowo wprowadzą one czynniki determinujące procesy zwiększania jakości i efektywności prowadzonej działalności leczniczej szpitali. </w:t>
            </w:r>
          </w:p>
          <w:p w14:paraId="345C24EC" w14:textId="77777777" w:rsidR="00DB00FD" w:rsidRDefault="00DB00FD" w:rsidP="001E2158">
            <w:pPr>
              <w:spacing w:after="120" w:line="240" w:lineRule="auto"/>
              <w:jc w:val="left"/>
              <w:rPr>
                <w:rFonts w:eastAsia="Calibri"/>
              </w:rPr>
            </w:pPr>
            <w:r w:rsidRPr="00AF3A31">
              <w:rPr>
                <w:rFonts w:eastAsia="Calibri"/>
              </w:rPr>
              <w:t xml:space="preserve">Zakładane w nowelizacji ustawy o świadczeniach opieki zdrowotnej finansowanych ze środków publicznych zmiany umożliwią prowadzenie procesów dot. zmiany profili działalności i restrukturyzacji szpitali zakwalifikowanych do Sieci Szpitali. Zmiana zasad kwalifikacji szpitali do Sieci Szpitali pozwoli na prowadzenie kwalifikacji w oparciu o spełnienie kryteriów przez poszczególne oddziały szpitalne, co stanowić będzie czynnik determinujący (w tym w aspekcie finansowym – kwalifikacja do Sieci Szpitali pozwala na stabilizację finansową) modernizację i restrukturyzację oddziałów szpitalnych i dostosowywanie ich profilu działalności do aktualnych potrzeb zdrowotnych.   </w:t>
            </w:r>
          </w:p>
          <w:p w14:paraId="4E014847" w14:textId="77777777" w:rsidR="00DB00FD" w:rsidRPr="00AF3A31" w:rsidRDefault="00DB00FD" w:rsidP="001E2158">
            <w:pPr>
              <w:spacing w:after="120" w:line="240" w:lineRule="auto"/>
              <w:jc w:val="left"/>
              <w:rPr>
                <w:rFonts w:eastAsia="Calibri"/>
              </w:rPr>
            </w:pPr>
            <w:r>
              <w:rPr>
                <w:rFonts w:eastAsia="Calibri"/>
              </w:rPr>
              <w:t xml:space="preserve">Zaplanowane w ramach KPO reformy wzmocnią prowadzony obecnie proces systematycznego zwiększania finansowania AOS i POZ. </w:t>
            </w:r>
          </w:p>
          <w:p w14:paraId="223E9DC4" w14:textId="77777777" w:rsidR="00DB00FD" w:rsidRPr="00AF3A31" w:rsidRDefault="00DB00FD" w:rsidP="001E2158">
            <w:pPr>
              <w:spacing w:after="120" w:line="240" w:lineRule="auto"/>
              <w:jc w:val="left"/>
              <w:rPr>
                <w:rFonts w:eastAsia="Calibri"/>
              </w:rPr>
            </w:pPr>
            <w:r w:rsidRPr="00AF3A31">
              <w:rPr>
                <w:rFonts w:eastAsia="Calibri"/>
              </w:rPr>
              <w:t>Na postawie ustawy o jakości w opiece zdrowotnej i bezpieczeństwie pacjenta zostanie wydane rozporządzenie określające wskaźniki jakości opieki zdrowotnej. Wskaźniki obejmować będą obszar kliniczny, konsumencki i zarządczy. Wskaźniki jakości pozwolą monitorować i oceniać jakość i efektywność zarządczą w szpitalach. Wskaźniki, wyliczone dla poszczególnych podmiotów będą determinować poziom finansowania ze środków publicznych.</w:t>
            </w:r>
          </w:p>
          <w:p w14:paraId="5737371A" w14:textId="77777777" w:rsidR="00DB00FD" w:rsidRPr="00AF3A31" w:rsidRDefault="00DB00FD" w:rsidP="001E2158">
            <w:pPr>
              <w:spacing w:after="120" w:line="240" w:lineRule="auto"/>
              <w:jc w:val="left"/>
              <w:rPr>
                <w:rFonts w:eastAsia="Calibri"/>
              </w:rPr>
            </w:pPr>
            <w:r w:rsidRPr="00AF3A31">
              <w:rPr>
                <w:rFonts w:eastAsia="Calibri"/>
              </w:rPr>
              <w:t>Nowelizacja ustawy o działalności leczniczej wprowadzi możliwość tworzenia i prowadzenia podmiotów leczniczych przez związki jednostek samorządu terytorialnego. Powyższa zmiana umożliwi prowadzenie procesów konsolidacji podmiotów leczniczych w ramach sąsiednich powiatów, gmin zwiększając efektywność wykorzystania infrastruktury szpitalnej w regionie. W ramach nowelizacji ustawy planowane jest także doprecyzowanie obecnie obowiązujących zasad opracowywania przez kierowników szpitali planów naprawczych, do których przygotowania zobowiązani są w sytuacji osiągnięcia przez szpital straty netto z działalności za poprzedni rok. Zmiana obejmować będzie ustandaryzowanie planów naprawczych w zakresie zwiększenia efektywności wykorzystania obecnych zasobów i restrukturyzacji zadłużenia. Powyższa zmiana ustandaryzuje przygotowywane przez szpitale plany naprawcze pozwalając na ich skuteczną weryfikację, ocenę i monitorowanie postępów w procesie naprawczym</w:t>
            </w:r>
            <w:r>
              <w:rPr>
                <w:rFonts w:eastAsia="Calibri"/>
              </w:rPr>
              <w:t>, a co za tym idzie wzmocni nadzór organów właścicielskich nad szpitalami i nad kadrą zarządzającą w szpitalach</w:t>
            </w:r>
            <w:r w:rsidRPr="00AF3A31">
              <w:rPr>
                <w:rFonts w:eastAsia="Calibri"/>
              </w:rPr>
              <w:t xml:space="preserve">. </w:t>
            </w:r>
          </w:p>
          <w:p w14:paraId="7C49C48C" w14:textId="77777777" w:rsidR="00DB00FD" w:rsidRDefault="00DB00FD" w:rsidP="001E2158">
            <w:pPr>
              <w:spacing w:after="120" w:line="240" w:lineRule="auto"/>
              <w:jc w:val="left"/>
              <w:rPr>
                <w:rFonts w:eastAsia="Calibri"/>
              </w:rPr>
            </w:pPr>
            <w:r w:rsidRPr="00AF3A31">
              <w:rPr>
                <w:rFonts w:eastAsia="Calibri"/>
              </w:rPr>
              <w:t xml:space="preserve">Integralnym elementem reformy będzie ogłoszenie programu szkoleń dla kadry zarządzającej publicznymi podmiotami </w:t>
            </w:r>
            <w:r w:rsidRPr="00045C09">
              <w:rPr>
                <w:rFonts w:eastAsia="Calibri"/>
              </w:rPr>
              <w:t xml:space="preserve">leczniczymi </w:t>
            </w:r>
            <w:r w:rsidRPr="0056086B">
              <w:rPr>
                <w:rFonts w:eastAsia="Calibri"/>
              </w:rPr>
              <w:t>oraz organów właścicielskich</w:t>
            </w:r>
            <w:r>
              <w:rPr>
                <w:rFonts w:eastAsia="Calibri"/>
              </w:rPr>
              <w:t xml:space="preserve"> </w:t>
            </w:r>
            <w:r w:rsidRPr="00AF3A31">
              <w:rPr>
                <w:rFonts w:eastAsia="Calibri"/>
              </w:rPr>
              <w:t xml:space="preserve">z zakresu m.in. restrukturyzacji, procesów konsolidacji, procesów przeprofilowania działalności, restrukturyzacji zadłużenia, </w:t>
            </w:r>
            <w:r>
              <w:rPr>
                <w:rFonts w:eastAsia="Calibri"/>
              </w:rPr>
              <w:t>w tym z wykorzystaniem dostępnych na rynku instrumentów finansowych,</w:t>
            </w:r>
            <w:r w:rsidRPr="00AF3A31">
              <w:rPr>
                <w:rFonts w:eastAsia="Calibri"/>
              </w:rPr>
              <w:t xml:space="preserve"> poprawy jakości opieki. Szkolenia koordynowane będą przez Ministerstwo Zdrowia oraz NFZ. Pozwolą one na podniesienie i ujednolicenie wiedzy kadry zarządzającej publicznymi szpitalami w obszarach kluczowych dla efektywnego zarządzania placówkami. </w:t>
            </w:r>
          </w:p>
          <w:p w14:paraId="3506227A" w14:textId="77777777" w:rsidR="00DB00FD" w:rsidRPr="00AF3A31" w:rsidRDefault="00DB00FD" w:rsidP="001E2158">
            <w:pPr>
              <w:spacing w:after="120" w:line="240" w:lineRule="auto"/>
              <w:jc w:val="left"/>
              <w:rPr>
                <w:rFonts w:eastAsia="Calibri"/>
              </w:rPr>
            </w:pPr>
            <w:r w:rsidRPr="00AF3A31">
              <w:rPr>
                <w:rFonts w:eastAsia="Calibri"/>
              </w:rPr>
              <w:t xml:space="preserve">Realizacja kamienia w postaci zmian nastąpi w okresie do </w:t>
            </w:r>
            <w:r>
              <w:rPr>
                <w:rFonts w:eastAsia="Calibri"/>
              </w:rPr>
              <w:t>IV</w:t>
            </w:r>
            <w:r w:rsidRPr="00AF3A31">
              <w:rPr>
                <w:rFonts w:eastAsia="Calibri"/>
              </w:rPr>
              <w:t xml:space="preserve"> kw. 202</w:t>
            </w:r>
            <w:r>
              <w:rPr>
                <w:rFonts w:eastAsia="Calibri"/>
              </w:rPr>
              <w:t>4</w:t>
            </w:r>
            <w:r w:rsidRPr="00AF3A31">
              <w:rPr>
                <w:rFonts w:eastAsia="Calibri"/>
              </w:rPr>
              <w:t xml:space="preserve"> r. </w:t>
            </w:r>
          </w:p>
          <w:p w14:paraId="47656049" w14:textId="77777777" w:rsidR="00DB00FD" w:rsidRPr="00AF3A31" w:rsidRDefault="00DB00FD" w:rsidP="001E2158">
            <w:pPr>
              <w:spacing w:after="120" w:line="240" w:lineRule="auto"/>
              <w:jc w:val="left"/>
              <w:rPr>
                <w:rFonts w:eastAsia="Calibri"/>
              </w:rPr>
            </w:pPr>
            <w:r w:rsidRPr="00AF3A31">
              <w:rPr>
                <w:rFonts w:eastAsia="Calibri"/>
              </w:rPr>
              <w:t>D5G</w:t>
            </w:r>
          </w:p>
          <w:p w14:paraId="172BB2AE" w14:textId="77777777" w:rsidR="00DB00FD" w:rsidRPr="00AF3A31" w:rsidRDefault="00DB00FD" w:rsidP="001E2158">
            <w:pPr>
              <w:spacing w:after="0" w:line="240" w:lineRule="auto"/>
              <w:jc w:val="left"/>
              <w:rPr>
                <w:rFonts w:eastAsia="Calibri"/>
              </w:rPr>
            </w:pPr>
            <w:r w:rsidRPr="00AF3A31">
              <w:rPr>
                <w:rFonts w:eastAsia="Calibri"/>
                <w:kern w:val="2"/>
                <w14:ligatures w14:val="standardContextual"/>
              </w:rPr>
              <w:t xml:space="preserve">Prace nad ustawą o Krajowej Sieci Kardiologicznej są ściśle związane z realizowanym obecnie programem pilotażowym </w:t>
            </w:r>
            <w:r w:rsidRPr="00AF3A31">
              <w:rPr>
                <w:rFonts w:eastAsia="Calibri"/>
              </w:rPr>
              <w:t>opieki nad świadczeniobiorcą w ramach sieci kardiologicznej</w:t>
            </w:r>
            <w:r w:rsidRPr="00AF3A31">
              <w:rPr>
                <w:rFonts w:eastAsia="Calibri"/>
                <w:kern w:val="2"/>
                <w14:ligatures w14:val="standardContextual"/>
              </w:rPr>
              <w:t xml:space="preserve">, którego realizacja trwa </w:t>
            </w:r>
            <w:r w:rsidRPr="00AF3A31">
              <w:rPr>
                <w:rFonts w:eastAsia="Calibri"/>
              </w:rPr>
              <w:t xml:space="preserve">do 31 grudnia 2024 r. Planowane jest przeprowadzenie śród-ewaluacji pilotażu w III kw. 2024 r., w ramach której zostanie sporządzone sprawozdanie zawierające analizę i ocenę programu pilotażowego. Na podstawie sprawozdania zostanie opracowana docelowa struktura Sieci Kardiologicznej będąca podstawą do opracowania i przyjęcia ustawy. </w:t>
            </w:r>
          </w:p>
          <w:p w14:paraId="02726EBE" w14:textId="77777777" w:rsidR="00DB00FD" w:rsidRPr="00AF3A31" w:rsidRDefault="00DB00FD" w:rsidP="001E2158">
            <w:pPr>
              <w:spacing w:line="240" w:lineRule="auto"/>
              <w:jc w:val="left"/>
              <w:rPr>
                <w:rFonts w:eastAsia="Calibri"/>
              </w:rPr>
            </w:pPr>
            <w:r w:rsidRPr="00AF3A31">
              <w:rPr>
                <w:rFonts w:eastAsia="Calibri"/>
              </w:rPr>
              <w:t>Uwzględniając powyższe, termin realizacji kamienia milowego zostanie osiągnięty w IV kw. 2024 r.</w:t>
            </w:r>
          </w:p>
          <w:p w14:paraId="7B0F24F8" w14:textId="77777777" w:rsidR="00DB00FD" w:rsidRPr="00AF3A31" w:rsidRDefault="00DB00FD" w:rsidP="001E2158">
            <w:pPr>
              <w:spacing w:line="240" w:lineRule="exact"/>
              <w:jc w:val="left"/>
              <w:rPr>
                <w:rFonts w:eastAsia="Calibri"/>
              </w:rPr>
            </w:pPr>
            <w:r w:rsidRPr="00AF3A31">
              <w:rPr>
                <w:rFonts w:eastAsia="Calibri"/>
              </w:rPr>
              <w:t>D8G</w:t>
            </w:r>
          </w:p>
          <w:p w14:paraId="0F0A35E9" w14:textId="77777777" w:rsidR="00DB00FD" w:rsidRPr="003E6212" w:rsidRDefault="00DB00FD" w:rsidP="001E2158">
            <w:pPr>
              <w:spacing w:line="240" w:lineRule="auto"/>
              <w:jc w:val="left"/>
              <w:rPr>
                <w:rFonts w:eastAsia="Calibri"/>
              </w:rPr>
            </w:pPr>
            <w:r w:rsidRPr="00AF3A31">
              <w:rPr>
                <w:rFonts w:eastAsia="Calibri"/>
              </w:rPr>
              <w:t xml:space="preserve">Nałożenie na podmioty lecznicze obowiązku przekazywania dużej ilości informacji związanych z leczeniem pacjentów onkologicznych wymaga dostosowania i usprawnienia szpitalnych i gabinetowych systemów informatycznych. Objęcie oceną dłuższego okresu umożliwi pełniejsze wykorzystanie przekazywanych danych i informacji oraz efektywną ocenę funkcjonowania sieci. </w:t>
            </w:r>
          </w:p>
        </w:tc>
      </w:tr>
      <w:tr w:rsidR="00DB00FD" w:rsidRPr="00AF3A31" w14:paraId="2467B3BE" w14:textId="77777777" w:rsidTr="001E2158">
        <w:tc>
          <w:tcPr>
            <w:tcW w:w="1175" w:type="pct"/>
            <w:gridSpan w:val="2"/>
            <w:tcBorders>
              <w:top w:val="single" w:sz="4" w:space="0" w:color="auto"/>
              <w:left w:val="single" w:sz="4" w:space="0" w:color="auto"/>
              <w:bottom w:val="single" w:sz="4" w:space="0" w:color="auto"/>
              <w:right w:val="single" w:sz="4" w:space="0" w:color="auto"/>
            </w:tcBorders>
            <w:hideMark/>
          </w:tcPr>
          <w:p w14:paraId="7035B716" w14:textId="77777777" w:rsidR="00DB00FD" w:rsidRPr="00AF3A31" w:rsidRDefault="00DB00FD" w:rsidP="001E2158">
            <w:pPr>
              <w:spacing w:after="120" w:line="240" w:lineRule="auto"/>
              <w:jc w:val="left"/>
              <w:rPr>
                <w:rFonts w:eastAsia="Calibri"/>
              </w:rPr>
            </w:pPr>
            <w:r w:rsidRPr="00AF3A31">
              <w:rPr>
                <w:rFonts w:eastAsia="Calibri"/>
              </w:rPr>
              <w:t>Szacowany koszy</w:t>
            </w:r>
          </w:p>
        </w:tc>
        <w:tc>
          <w:tcPr>
            <w:tcW w:w="3825" w:type="pct"/>
            <w:gridSpan w:val="2"/>
            <w:tcBorders>
              <w:top w:val="single" w:sz="4" w:space="0" w:color="auto"/>
              <w:left w:val="single" w:sz="4" w:space="0" w:color="auto"/>
              <w:bottom w:val="single" w:sz="4" w:space="0" w:color="auto"/>
              <w:right w:val="single" w:sz="4" w:space="0" w:color="auto"/>
            </w:tcBorders>
            <w:hideMark/>
          </w:tcPr>
          <w:p w14:paraId="57BDB8CF" w14:textId="77777777" w:rsidR="00DB00FD" w:rsidRPr="00AF3A31" w:rsidRDefault="00DB00FD" w:rsidP="001E2158">
            <w:pPr>
              <w:spacing w:after="120" w:line="240" w:lineRule="auto"/>
              <w:jc w:val="left"/>
              <w:rPr>
                <w:rFonts w:eastAsia="Calibri"/>
              </w:rPr>
            </w:pPr>
            <w:r w:rsidRPr="00AF3A31">
              <w:rPr>
                <w:rFonts w:eastAsia="Calibri"/>
              </w:rPr>
              <w:t>Zmiana nie ma wpływu na szacowany koszt</w:t>
            </w:r>
          </w:p>
        </w:tc>
      </w:tr>
      <w:tr w:rsidR="00DB00FD" w:rsidRPr="00AF3A31" w14:paraId="5753D5DF" w14:textId="77777777" w:rsidTr="001E2158">
        <w:tc>
          <w:tcPr>
            <w:tcW w:w="1175" w:type="pct"/>
            <w:gridSpan w:val="2"/>
            <w:tcBorders>
              <w:top w:val="single" w:sz="4" w:space="0" w:color="auto"/>
              <w:left w:val="single" w:sz="4" w:space="0" w:color="auto"/>
              <w:bottom w:val="single" w:sz="4" w:space="0" w:color="auto"/>
              <w:right w:val="single" w:sz="4" w:space="0" w:color="auto"/>
            </w:tcBorders>
            <w:hideMark/>
          </w:tcPr>
          <w:p w14:paraId="396751FF" w14:textId="77777777" w:rsidR="00DB00FD" w:rsidRPr="00AF3A31" w:rsidRDefault="00DB00FD" w:rsidP="001E2158">
            <w:pPr>
              <w:spacing w:after="120" w:line="240" w:lineRule="auto"/>
              <w:jc w:val="left"/>
              <w:rPr>
                <w:rFonts w:eastAsia="Calibri"/>
              </w:rPr>
            </w:pPr>
            <w:r w:rsidRPr="00AF3A31">
              <w:rPr>
                <w:rFonts w:eastAsia="Calibri"/>
              </w:rPr>
              <w:t>Klimatyczny i cyfrowy tagging</w:t>
            </w:r>
          </w:p>
        </w:tc>
        <w:tc>
          <w:tcPr>
            <w:tcW w:w="3825" w:type="pct"/>
            <w:gridSpan w:val="2"/>
            <w:tcBorders>
              <w:top w:val="single" w:sz="4" w:space="0" w:color="auto"/>
              <w:left w:val="single" w:sz="4" w:space="0" w:color="auto"/>
              <w:bottom w:val="single" w:sz="4" w:space="0" w:color="auto"/>
              <w:right w:val="single" w:sz="4" w:space="0" w:color="auto"/>
            </w:tcBorders>
            <w:hideMark/>
          </w:tcPr>
          <w:p w14:paraId="4BC17289" w14:textId="77777777" w:rsidR="00DB00FD" w:rsidRPr="00AF3A31" w:rsidRDefault="00DB00FD" w:rsidP="001E2158">
            <w:pPr>
              <w:spacing w:after="120" w:line="240" w:lineRule="auto"/>
              <w:jc w:val="left"/>
              <w:rPr>
                <w:rFonts w:eastAsia="Calibri"/>
              </w:rPr>
            </w:pPr>
            <w:r w:rsidRPr="00AF3A31">
              <w:rPr>
                <w:rFonts w:eastAsia="Calibri"/>
              </w:rPr>
              <w:t>Zmiana nie ma wpływu na tagging klimatyczny i cyfrowy</w:t>
            </w:r>
          </w:p>
        </w:tc>
      </w:tr>
      <w:tr w:rsidR="00DB00FD" w:rsidRPr="00AF3A31" w14:paraId="674D016D" w14:textId="77777777" w:rsidTr="001E2158">
        <w:tc>
          <w:tcPr>
            <w:tcW w:w="1175" w:type="pct"/>
            <w:gridSpan w:val="2"/>
            <w:tcBorders>
              <w:top w:val="single" w:sz="4" w:space="0" w:color="auto"/>
              <w:left w:val="single" w:sz="4" w:space="0" w:color="auto"/>
              <w:bottom w:val="single" w:sz="4" w:space="0" w:color="auto"/>
              <w:right w:val="single" w:sz="4" w:space="0" w:color="auto"/>
            </w:tcBorders>
            <w:hideMark/>
          </w:tcPr>
          <w:p w14:paraId="4640BFA0" w14:textId="77777777" w:rsidR="00DB00FD" w:rsidRPr="00AF3A31" w:rsidRDefault="00DB00FD" w:rsidP="001E2158">
            <w:pPr>
              <w:spacing w:after="120" w:line="240" w:lineRule="auto"/>
              <w:jc w:val="left"/>
              <w:rPr>
                <w:rFonts w:eastAsia="Calibri"/>
              </w:rPr>
            </w:pPr>
            <w:r w:rsidRPr="00AF3A31">
              <w:rPr>
                <w:rFonts w:eastAsia="Calibri"/>
              </w:rPr>
              <w:lastRenderedPageBreak/>
              <w:t xml:space="preserve">Ocena DNSH </w:t>
            </w:r>
          </w:p>
        </w:tc>
        <w:tc>
          <w:tcPr>
            <w:tcW w:w="3825" w:type="pct"/>
            <w:gridSpan w:val="2"/>
            <w:tcBorders>
              <w:top w:val="single" w:sz="4" w:space="0" w:color="auto"/>
              <w:left w:val="single" w:sz="4" w:space="0" w:color="auto"/>
              <w:bottom w:val="single" w:sz="4" w:space="0" w:color="auto"/>
              <w:right w:val="single" w:sz="4" w:space="0" w:color="auto"/>
            </w:tcBorders>
            <w:hideMark/>
          </w:tcPr>
          <w:p w14:paraId="3D044161" w14:textId="77777777" w:rsidR="00DB00FD" w:rsidRPr="00AF3A31" w:rsidRDefault="00DB00FD" w:rsidP="001E2158">
            <w:pPr>
              <w:spacing w:after="120" w:line="240" w:lineRule="auto"/>
              <w:jc w:val="left"/>
              <w:rPr>
                <w:rFonts w:eastAsia="Calibri"/>
              </w:rPr>
            </w:pPr>
            <w:r w:rsidRPr="00AF3A31">
              <w:rPr>
                <w:rFonts w:eastAsia="Calibri"/>
              </w:rPr>
              <w:t>Zmiana nie ma wpływu na DNSH</w:t>
            </w:r>
          </w:p>
        </w:tc>
      </w:tr>
    </w:tbl>
    <w:p w14:paraId="103C8E9D" w14:textId="77777777" w:rsidR="00DB00FD" w:rsidRPr="00AF3A31" w:rsidRDefault="00DB00FD" w:rsidP="00DB00FD">
      <w:pPr>
        <w:spacing w:line="259" w:lineRule="auto"/>
        <w:jc w:val="left"/>
        <w:rPr>
          <w:rFonts w:eastAsia="Calibri"/>
          <w:b/>
          <w:bCs/>
        </w:rPr>
      </w:pPr>
    </w:p>
    <w:tbl>
      <w:tblPr>
        <w:tblW w:w="47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3345"/>
        <w:gridCol w:w="3172"/>
      </w:tblGrid>
      <w:tr w:rsidR="00DB00FD" w:rsidRPr="00AF3A31" w14:paraId="55088FD1" w14:textId="77777777" w:rsidTr="00A501D9">
        <w:tc>
          <w:tcPr>
            <w:tcW w:w="1230" w:type="pct"/>
            <w:shd w:val="clear" w:color="auto" w:fill="auto"/>
          </w:tcPr>
          <w:p w14:paraId="7E37D29B" w14:textId="77777777" w:rsidR="00DB00FD" w:rsidRPr="008F19AE" w:rsidRDefault="00DB00FD" w:rsidP="001E2158">
            <w:pPr>
              <w:spacing w:before="60" w:after="60" w:line="252" w:lineRule="auto"/>
              <w:jc w:val="left"/>
              <w:rPr>
                <w:rFonts w:eastAsia="Calibri"/>
                <w:b/>
                <w:bCs/>
              </w:rPr>
            </w:pPr>
            <w:r w:rsidRPr="008F19AE">
              <w:rPr>
                <w:rFonts w:eastAsia="Calibri"/>
                <w:b/>
                <w:bCs/>
              </w:rPr>
              <w:t>Numer inwestycji</w:t>
            </w:r>
          </w:p>
        </w:tc>
        <w:tc>
          <w:tcPr>
            <w:tcW w:w="3770" w:type="pct"/>
            <w:gridSpan w:val="2"/>
            <w:shd w:val="clear" w:color="auto" w:fill="auto"/>
          </w:tcPr>
          <w:p w14:paraId="3E977FA4" w14:textId="77777777" w:rsidR="00DB00FD" w:rsidRPr="008F19AE" w:rsidRDefault="00DB00FD" w:rsidP="001E2158">
            <w:pPr>
              <w:spacing w:before="60" w:after="60" w:line="252" w:lineRule="auto"/>
              <w:ind w:left="124"/>
              <w:contextualSpacing/>
              <w:rPr>
                <w:b/>
                <w:bCs/>
              </w:rPr>
            </w:pPr>
            <w:r w:rsidRPr="008F19AE">
              <w:rPr>
                <w:b/>
                <w:bCs/>
              </w:rPr>
              <w:t>D1.1.1</w:t>
            </w:r>
          </w:p>
        </w:tc>
      </w:tr>
      <w:tr w:rsidR="00DB00FD" w:rsidRPr="00935797" w14:paraId="1446881B" w14:textId="77777777" w:rsidTr="00A501D9">
        <w:tc>
          <w:tcPr>
            <w:tcW w:w="1230" w:type="pct"/>
            <w:shd w:val="clear" w:color="auto" w:fill="auto"/>
          </w:tcPr>
          <w:p w14:paraId="44822B94" w14:textId="77777777" w:rsidR="00DB00FD" w:rsidRPr="008F19AE" w:rsidRDefault="00DB00FD" w:rsidP="001E2158">
            <w:pPr>
              <w:spacing w:before="60" w:after="60" w:line="252" w:lineRule="auto"/>
              <w:ind w:left="67" w:hanging="67"/>
              <w:contextualSpacing/>
              <w:rPr>
                <w:b/>
                <w:bCs/>
              </w:rPr>
            </w:pPr>
            <w:r w:rsidRPr="008F19AE">
              <w:rPr>
                <w:b/>
                <w:bCs/>
              </w:rPr>
              <w:t xml:space="preserve">Nazwa inwestycji </w:t>
            </w:r>
          </w:p>
        </w:tc>
        <w:tc>
          <w:tcPr>
            <w:tcW w:w="3770" w:type="pct"/>
            <w:gridSpan w:val="2"/>
            <w:shd w:val="clear" w:color="auto" w:fill="auto"/>
          </w:tcPr>
          <w:p w14:paraId="50CEA0C2" w14:textId="77777777" w:rsidR="00DB00FD" w:rsidRPr="008F19AE" w:rsidRDefault="00DB00FD" w:rsidP="001E2158">
            <w:pPr>
              <w:spacing w:before="60" w:after="60" w:line="252" w:lineRule="auto"/>
              <w:ind w:left="124"/>
              <w:contextualSpacing/>
              <w:rPr>
                <w:b/>
                <w:bCs/>
              </w:rPr>
            </w:pPr>
            <w:r w:rsidRPr="008F19AE">
              <w:rPr>
                <w:b/>
                <w:bCs/>
              </w:rPr>
              <w:t>Rozwój i modernizacja infrastruktury centrów opieki wysokospecjalistycznej i innych podmiotów leczniczych</w:t>
            </w:r>
          </w:p>
          <w:p w14:paraId="21FA2412" w14:textId="77777777" w:rsidR="00DB00FD" w:rsidRPr="008F19AE" w:rsidRDefault="00DB00FD" w:rsidP="001E2158">
            <w:pPr>
              <w:spacing w:before="60" w:after="60" w:line="252" w:lineRule="auto"/>
              <w:ind w:left="124"/>
              <w:contextualSpacing/>
              <w:rPr>
                <w:b/>
                <w:bCs/>
                <w:lang w:val="en-GB"/>
              </w:rPr>
            </w:pPr>
            <w:r w:rsidRPr="008F19AE">
              <w:rPr>
                <w:b/>
                <w:bCs/>
                <w:sz w:val="23"/>
                <w:szCs w:val="23"/>
                <w:lang w:val="en-GB"/>
              </w:rPr>
              <w:t>D1.1.1 Development and modernisation of the infrastructure of highly specialised care centres and other healthcare providers</w:t>
            </w:r>
          </w:p>
        </w:tc>
      </w:tr>
      <w:tr w:rsidR="00DB00FD" w:rsidRPr="00935797" w14:paraId="45EEB898" w14:textId="77777777" w:rsidTr="00A501D9">
        <w:trPr>
          <w:trHeight w:val="708"/>
        </w:trPr>
        <w:tc>
          <w:tcPr>
            <w:tcW w:w="1230" w:type="pct"/>
            <w:shd w:val="clear" w:color="auto" w:fill="auto"/>
          </w:tcPr>
          <w:p w14:paraId="70E024CF" w14:textId="77777777" w:rsidR="00DB00FD" w:rsidRPr="005577A0" w:rsidRDefault="00DB00FD" w:rsidP="001E2158">
            <w:pPr>
              <w:spacing w:before="60" w:after="60" w:line="252" w:lineRule="auto"/>
              <w:ind w:left="67"/>
              <w:contextualSpacing/>
            </w:pPr>
            <w:r w:rsidRPr="005577A0">
              <w:t>Rodzaj wprowadzonej zmiany w odniesieniu do CID</w:t>
            </w:r>
          </w:p>
        </w:tc>
        <w:tc>
          <w:tcPr>
            <w:tcW w:w="3770" w:type="pct"/>
            <w:gridSpan w:val="2"/>
            <w:shd w:val="clear" w:color="auto" w:fill="auto"/>
          </w:tcPr>
          <w:p w14:paraId="61F11175" w14:textId="77777777" w:rsidR="00DB00FD" w:rsidRPr="008F19AE" w:rsidRDefault="00DB00FD" w:rsidP="001E2158">
            <w:pPr>
              <w:spacing w:before="60" w:after="60" w:line="252" w:lineRule="auto"/>
              <w:contextualSpacing/>
              <w:jc w:val="left"/>
            </w:pPr>
            <w:r w:rsidRPr="008F19AE">
              <w:t>Zmiana opisu inwestycji poprzez uwzględnienie wsparcia w zakresie ambulatoryjnej opieki specjalistycznej (AOS)</w:t>
            </w:r>
            <w:r>
              <w:t xml:space="preserve"> w ramach ośrodków kooperacyjnych w Krajowej Sieci Onkologicznej</w:t>
            </w:r>
          </w:p>
          <w:p w14:paraId="7837A3DF" w14:textId="77777777" w:rsidR="00DB00FD" w:rsidRPr="005577A0" w:rsidRDefault="00DB00FD" w:rsidP="001E2158">
            <w:pPr>
              <w:numPr>
                <w:ilvl w:val="0"/>
                <w:numId w:val="15"/>
              </w:numPr>
              <w:spacing w:before="60" w:after="60" w:line="252" w:lineRule="auto"/>
              <w:ind w:left="0"/>
              <w:contextualSpacing/>
              <w:jc w:val="left"/>
            </w:pPr>
          </w:p>
          <w:p w14:paraId="09969135" w14:textId="77777777" w:rsidR="00DB00FD" w:rsidRPr="005577A0" w:rsidRDefault="00DB00FD" w:rsidP="001E2158">
            <w:pPr>
              <w:numPr>
                <w:ilvl w:val="0"/>
                <w:numId w:val="15"/>
              </w:numPr>
              <w:spacing w:before="60" w:after="60" w:line="252" w:lineRule="auto"/>
              <w:ind w:left="0"/>
              <w:contextualSpacing/>
              <w:jc w:val="left"/>
            </w:pPr>
            <w:r w:rsidRPr="005577A0">
              <w:t>D9G: Zmiana nazwy</w:t>
            </w:r>
            <w:r>
              <w:t>,</w:t>
            </w:r>
            <w:r w:rsidRPr="005577A0">
              <w:t xml:space="preserve"> </w:t>
            </w:r>
            <w:r>
              <w:t>terminu realizacji</w:t>
            </w:r>
            <w:r w:rsidRPr="005577A0">
              <w:t xml:space="preserve"> i opisu </w:t>
            </w:r>
          </w:p>
          <w:p w14:paraId="704D6702" w14:textId="77777777" w:rsidR="00DB00FD" w:rsidRPr="005577A0" w:rsidRDefault="00DB00FD" w:rsidP="001E2158">
            <w:pPr>
              <w:numPr>
                <w:ilvl w:val="0"/>
                <w:numId w:val="15"/>
              </w:numPr>
              <w:spacing w:before="60" w:after="60" w:line="252" w:lineRule="auto"/>
              <w:ind w:left="0"/>
              <w:contextualSpacing/>
              <w:jc w:val="left"/>
            </w:pPr>
            <w:r w:rsidRPr="005577A0">
              <w:t xml:space="preserve">D10G: </w:t>
            </w:r>
            <w:r w:rsidRPr="00F3264C">
              <w:t xml:space="preserve">struktury kamienia polegająca na podziale na 3 „podkamienie”, zmiana terminu </w:t>
            </w:r>
            <w:r w:rsidRPr="009D1150">
              <w:t>realizacji i opisu</w:t>
            </w:r>
          </w:p>
          <w:p w14:paraId="64759FE0" w14:textId="77777777" w:rsidR="00DB00FD" w:rsidRPr="005577A0" w:rsidRDefault="00DB00FD" w:rsidP="001E2158">
            <w:pPr>
              <w:numPr>
                <w:ilvl w:val="0"/>
                <w:numId w:val="15"/>
              </w:numPr>
              <w:spacing w:before="60" w:after="60" w:line="252" w:lineRule="auto"/>
              <w:ind w:left="0"/>
              <w:contextualSpacing/>
              <w:jc w:val="left"/>
            </w:pPr>
            <w:r w:rsidRPr="005577A0">
              <w:t>D11G W1: Zmiana terminu realizacji</w:t>
            </w:r>
          </w:p>
          <w:p w14:paraId="0F8340CD" w14:textId="77777777" w:rsidR="00DB00FD" w:rsidRPr="005577A0" w:rsidRDefault="00DB00FD" w:rsidP="001E2158">
            <w:pPr>
              <w:numPr>
                <w:ilvl w:val="0"/>
                <w:numId w:val="15"/>
              </w:numPr>
              <w:spacing w:before="60" w:after="60" w:line="252" w:lineRule="auto"/>
              <w:ind w:left="0"/>
              <w:contextualSpacing/>
              <w:jc w:val="left"/>
            </w:pPr>
            <w:r w:rsidRPr="005577A0">
              <w:t>D12G W2: Zmiana terminu realizacji</w:t>
            </w:r>
          </w:p>
          <w:p w14:paraId="3959A595" w14:textId="77777777" w:rsidR="00DB00FD" w:rsidRPr="005577A0" w:rsidRDefault="00DB00FD" w:rsidP="001E2158">
            <w:pPr>
              <w:numPr>
                <w:ilvl w:val="0"/>
                <w:numId w:val="15"/>
              </w:numPr>
              <w:spacing w:before="60" w:after="60" w:line="252" w:lineRule="auto"/>
              <w:ind w:left="0"/>
              <w:contextualSpacing/>
              <w:jc w:val="left"/>
            </w:pPr>
            <w:r w:rsidRPr="005577A0">
              <w:t>D13G: Zmiana nazwy, zmiana wskaźnika ilościowego, zmiana opisu kamienia milowego</w:t>
            </w:r>
          </w:p>
          <w:p w14:paraId="3F3205F1" w14:textId="77777777" w:rsidR="00DB00FD" w:rsidRPr="005577A0" w:rsidRDefault="00DB00FD" w:rsidP="001E2158">
            <w:pPr>
              <w:numPr>
                <w:ilvl w:val="0"/>
                <w:numId w:val="15"/>
              </w:numPr>
              <w:spacing w:before="60" w:after="60" w:line="252" w:lineRule="auto"/>
              <w:ind w:left="0"/>
              <w:contextualSpacing/>
              <w:jc w:val="left"/>
            </w:pPr>
            <w:r w:rsidRPr="005577A0">
              <w:t>D14G: Połączenie z D13G</w:t>
            </w:r>
          </w:p>
          <w:p w14:paraId="7D1ACCF5" w14:textId="77777777" w:rsidR="00DB00FD" w:rsidRPr="008F19AE" w:rsidRDefault="00DB00FD" w:rsidP="001E2158">
            <w:pPr>
              <w:numPr>
                <w:ilvl w:val="0"/>
                <w:numId w:val="15"/>
              </w:numPr>
              <w:spacing w:before="60" w:after="60" w:line="252" w:lineRule="auto"/>
              <w:ind w:left="0"/>
              <w:contextualSpacing/>
              <w:jc w:val="left"/>
            </w:pPr>
            <w:r w:rsidRPr="005577A0">
              <w:t>Zmiana wartości inwestycji: zmniejszenie wartości inwestycji o 300 mln EUR do kwoty 1 818 527 644 EUR, w związku z przeniesieniem inwestycji D1.2.1 dotyczącej tworzenia miejsc opieki długoterminowej lub geriatrycznej w szpitalach powiatowych i zwiększeniem budżetu inwestycji D1.2.1 z 150 mln EUR do 300 mln EUR</w:t>
            </w:r>
            <w:r>
              <w:t>.</w:t>
            </w:r>
          </w:p>
          <w:p w14:paraId="0835CE1D" w14:textId="77777777" w:rsidR="00DB00FD" w:rsidRPr="008F19AE" w:rsidRDefault="00DB00FD" w:rsidP="001E2158">
            <w:pPr>
              <w:pStyle w:val="HTML-wstpniesformatowany"/>
              <w:rPr>
                <w:rFonts w:ascii="Times New Roman" w:hAnsi="Times New Roman" w:cs="Times New Roman"/>
                <w:sz w:val="24"/>
                <w:szCs w:val="24"/>
                <w:lang w:val="en-GB"/>
              </w:rPr>
            </w:pPr>
            <w:r w:rsidRPr="008F19AE">
              <w:rPr>
                <w:rStyle w:val="y2iqfc"/>
                <w:rFonts w:ascii="Times New Roman" w:hAnsi="Times New Roman" w:cs="Times New Roman"/>
                <w:sz w:val="24"/>
                <w:szCs w:val="24"/>
                <w:lang w:val="en"/>
              </w:rPr>
              <w:t>Changing the description of the investment by including support for ambulatory care (AOS)</w:t>
            </w:r>
            <w:r w:rsidRPr="008F19AE">
              <w:rPr>
                <w:lang w:val="en-US"/>
              </w:rPr>
              <w:t xml:space="preserve"> </w:t>
            </w:r>
            <w:r w:rsidRPr="006D42F2">
              <w:rPr>
                <w:rStyle w:val="y2iqfc"/>
                <w:rFonts w:ascii="Times New Roman" w:hAnsi="Times New Roman" w:cs="Times New Roman"/>
                <w:sz w:val="24"/>
                <w:szCs w:val="24"/>
                <w:lang w:val="en"/>
              </w:rPr>
              <w:t>within the cooperating centres in the National Oncological Network</w:t>
            </w:r>
          </w:p>
          <w:p w14:paraId="1330F2CC" w14:textId="77777777" w:rsidR="00DB00FD" w:rsidRPr="008F19AE" w:rsidRDefault="00DB00FD" w:rsidP="001E2158">
            <w:pPr>
              <w:spacing w:before="60" w:after="60" w:line="252" w:lineRule="auto"/>
              <w:contextualSpacing/>
              <w:rPr>
                <w:lang w:val="en-GB"/>
              </w:rPr>
            </w:pPr>
          </w:p>
          <w:p w14:paraId="57DF41CB" w14:textId="77777777" w:rsidR="00DB00FD" w:rsidRPr="005577A0" w:rsidRDefault="00DB00FD" w:rsidP="001E2158">
            <w:pPr>
              <w:spacing w:before="60" w:after="60" w:line="252" w:lineRule="auto"/>
              <w:contextualSpacing/>
              <w:rPr>
                <w:lang w:val="en-GB"/>
              </w:rPr>
            </w:pPr>
            <w:r w:rsidRPr="005577A0">
              <w:rPr>
                <w:lang w:val="en-GB"/>
              </w:rPr>
              <w:t xml:space="preserve">D9G: Change of the name, indicative timeline for completion and description </w:t>
            </w:r>
          </w:p>
          <w:p w14:paraId="2AEBDFBD" w14:textId="77777777" w:rsidR="00DB00FD" w:rsidRPr="005577A0" w:rsidRDefault="00DB00FD" w:rsidP="001E2158">
            <w:pPr>
              <w:spacing w:before="60" w:after="60" w:line="252" w:lineRule="auto"/>
              <w:contextualSpacing/>
              <w:rPr>
                <w:lang w:val="en-GB"/>
              </w:rPr>
            </w:pPr>
            <w:r w:rsidRPr="005577A0">
              <w:rPr>
                <w:lang w:val="en-GB"/>
              </w:rPr>
              <w:t>D10G: Change of</w:t>
            </w:r>
            <w:r>
              <w:rPr>
                <w:lang w:val="en-GB"/>
              </w:rPr>
              <w:t xml:space="preserve"> </w:t>
            </w:r>
            <w:r w:rsidRPr="00F3264C">
              <w:rPr>
                <w:lang w:val="en-GB"/>
              </w:rPr>
              <w:t>the structure of the indicator (3 submilestones), Change of indicative timeline for completion and description</w:t>
            </w:r>
          </w:p>
          <w:p w14:paraId="35F32B14" w14:textId="77777777" w:rsidR="00DB00FD" w:rsidRPr="005577A0" w:rsidRDefault="00DB00FD" w:rsidP="001E2158">
            <w:pPr>
              <w:spacing w:before="60" w:after="60" w:line="252" w:lineRule="auto"/>
              <w:contextualSpacing/>
              <w:rPr>
                <w:lang w:val="en-GB"/>
              </w:rPr>
            </w:pPr>
            <w:r w:rsidRPr="005577A0">
              <w:rPr>
                <w:lang w:val="en-GB"/>
              </w:rPr>
              <w:t>D11G W1: Change of indicative timeline for completion</w:t>
            </w:r>
          </w:p>
          <w:p w14:paraId="4CC87ACD" w14:textId="77777777" w:rsidR="00DB00FD" w:rsidRPr="009D1150" w:rsidRDefault="00DB00FD" w:rsidP="001E2158">
            <w:pPr>
              <w:spacing w:before="60" w:after="60" w:line="252" w:lineRule="auto"/>
              <w:contextualSpacing/>
              <w:rPr>
                <w:lang w:val="en-GB"/>
              </w:rPr>
            </w:pPr>
            <w:r w:rsidRPr="005577A0">
              <w:rPr>
                <w:lang w:val="en-GB"/>
              </w:rPr>
              <w:t xml:space="preserve">D12G W2: </w:t>
            </w:r>
            <w:r w:rsidRPr="009D1150">
              <w:rPr>
                <w:lang w:val="en-GB"/>
              </w:rPr>
              <w:t>Change of indicative timeline for completion</w:t>
            </w:r>
          </w:p>
          <w:p w14:paraId="421BF0D3" w14:textId="77777777" w:rsidR="00DB00FD" w:rsidRPr="005577A0" w:rsidRDefault="00DB00FD" w:rsidP="001E2158">
            <w:pPr>
              <w:spacing w:before="60" w:after="60" w:line="252" w:lineRule="auto"/>
              <w:contextualSpacing/>
              <w:rPr>
                <w:lang w:val="en-GB"/>
              </w:rPr>
            </w:pPr>
            <w:r w:rsidRPr="009D1150">
              <w:rPr>
                <w:lang w:val="en-GB"/>
              </w:rPr>
              <w:t>D13G: Change of name</w:t>
            </w:r>
            <w:r w:rsidRPr="005577A0">
              <w:rPr>
                <w:lang w:val="en-GB"/>
              </w:rPr>
              <w:t>, change quantitative indicator, change milestone description</w:t>
            </w:r>
          </w:p>
          <w:p w14:paraId="44F2AD23" w14:textId="77777777" w:rsidR="00DB00FD" w:rsidRPr="005577A0" w:rsidRDefault="00DB00FD" w:rsidP="001E2158">
            <w:pPr>
              <w:spacing w:before="60" w:after="60" w:line="252" w:lineRule="auto"/>
              <w:contextualSpacing/>
              <w:rPr>
                <w:lang w:val="en-GB"/>
              </w:rPr>
            </w:pPr>
            <w:r w:rsidRPr="005577A0">
              <w:rPr>
                <w:lang w:val="en-GB"/>
              </w:rPr>
              <w:t>D14G: Indicator to be combined with D13G</w:t>
            </w:r>
          </w:p>
          <w:p w14:paraId="2CE8F36E" w14:textId="77777777" w:rsidR="00DB00FD" w:rsidRPr="005577A0" w:rsidRDefault="00DB00FD" w:rsidP="001E2158">
            <w:pPr>
              <w:spacing w:before="60" w:after="60" w:line="252" w:lineRule="auto"/>
              <w:contextualSpacing/>
              <w:rPr>
                <w:lang w:val="en-GB"/>
              </w:rPr>
            </w:pPr>
          </w:p>
          <w:p w14:paraId="7FCF8305" w14:textId="77777777" w:rsidR="00DB00FD" w:rsidRPr="008F19AE" w:rsidRDefault="00DB00FD" w:rsidP="001E2158">
            <w:pPr>
              <w:numPr>
                <w:ilvl w:val="0"/>
                <w:numId w:val="15"/>
              </w:numPr>
              <w:spacing w:before="60" w:after="60" w:line="252" w:lineRule="auto"/>
              <w:ind w:left="0"/>
              <w:contextualSpacing/>
              <w:jc w:val="left"/>
              <w:rPr>
                <w:lang w:val="en-GB"/>
              </w:rPr>
            </w:pPr>
            <w:r w:rsidRPr="008F19AE">
              <w:rPr>
                <w:lang w:val="en-GB"/>
              </w:rPr>
              <w:t>Change in the value of the investment</w:t>
            </w:r>
            <w:r>
              <w:rPr>
                <w:lang w:val="en-GB"/>
              </w:rPr>
              <w:t xml:space="preserve"> D1.1.1</w:t>
            </w:r>
            <w:r w:rsidRPr="008F19AE">
              <w:rPr>
                <w:lang w:val="en-GB"/>
              </w:rPr>
              <w:t xml:space="preserve">: reduction </w:t>
            </w:r>
            <w:r>
              <w:rPr>
                <w:lang w:val="en-GB"/>
              </w:rPr>
              <w:t>of</w:t>
            </w:r>
            <w:r w:rsidRPr="008F19AE">
              <w:rPr>
                <w:lang w:val="en-GB"/>
              </w:rPr>
              <w:t xml:space="preserve"> the value of the investment by EUR 300 million to the amount of EUR 1</w:t>
            </w:r>
            <w:r>
              <w:rPr>
                <w:lang w:val="en-GB"/>
              </w:rPr>
              <w:t> </w:t>
            </w:r>
            <w:r w:rsidRPr="008F19AE">
              <w:rPr>
                <w:lang w:val="en-GB"/>
              </w:rPr>
              <w:t>818</w:t>
            </w:r>
            <w:r>
              <w:rPr>
                <w:lang w:val="en-GB"/>
              </w:rPr>
              <w:t> </w:t>
            </w:r>
            <w:r w:rsidRPr="008F19AE">
              <w:rPr>
                <w:lang w:val="en-GB"/>
              </w:rPr>
              <w:t>527</w:t>
            </w:r>
            <w:r>
              <w:rPr>
                <w:lang w:val="en-GB"/>
              </w:rPr>
              <w:t xml:space="preserve"> </w:t>
            </w:r>
            <w:r w:rsidRPr="008F19AE">
              <w:rPr>
                <w:lang w:val="en-GB"/>
              </w:rPr>
              <w:t>644, in connection with the transfer of investment D1.2.1 regarding the creation of long-term or geriatric care places in district hospitals and an increase in the budget of investment D1.2.1 from EUR 150 million up to EUR 300 million</w:t>
            </w:r>
            <w:r>
              <w:rPr>
                <w:lang w:val="en-GB"/>
              </w:rPr>
              <w:t>.</w:t>
            </w:r>
          </w:p>
          <w:p w14:paraId="56E262A2" w14:textId="77777777" w:rsidR="00DB00FD" w:rsidRPr="005577A0" w:rsidRDefault="00DB00FD" w:rsidP="001E2158">
            <w:pPr>
              <w:spacing w:before="60" w:after="60" w:line="252" w:lineRule="auto"/>
              <w:contextualSpacing/>
              <w:rPr>
                <w:lang w:val="en-GB"/>
              </w:rPr>
            </w:pPr>
          </w:p>
        </w:tc>
      </w:tr>
      <w:tr w:rsidR="00DB00FD" w:rsidRPr="00935797" w14:paraId="14EDF7F3" w14:textId="77777777" w:rsidTr="00A501D9">
        <w:tc>
          <w:tcPr>
            <w:tcW w:w="1230" w:type="pct"/>
            <w:shd w:val="clear" w:color="auto" w:fill="auto"/>
          </w:tcPr>
          <w:p w14:paraId="722C6D97" w14:textId="77777777" w:rsidR="00DB00FD" w:rsidRPr="00AF3A31" w:rsidRDefault="00DB00FD" w:rsidP="001E2158">
            <w:pPr>
              <w:spacing w:before="60" w:after="60" w:line="252" w:lineRule="auto"/>
              <w:ind w:left="67"/>
              <w:contextualSpacing/>
            </w:pPr>
            <w:r w:rsidRPr="00AF3A31">
              <w:t>Podstawa prawna zmiany</w:t>
            </w:r>
          </w:p>
        </w:tc>
        <w:tc>
          <w:tcPr>
            <w:tcW w:w="3770" w:type="pct"/>
            <w:gridSpan w:val="2"/>
            <w:shd w:val="clear" w:color="auto" w:fill="auto"/>
          </w:tcPr>
          <w:p w14:paraId="2D7539E9" w14:textId="77777777" w:rsidR="00DB00FD" w:rsidRDefault="00DB00FD" w:rsidP="001E2158">
            <w:pPr>
              <w:spacing w:before="60" w:after="60" w:line="252" w:lineRule="auto"/>
              <w:ind w:left="124"/>
              <w:contextualSpacing/>
            </w:pPr>
            <w:r w:rsidRPr="00AF3A31">
              <w:t>art. 21 rozporządzenia Parlamentu Europejskiego i Rady (UE) 2021/241 z dnia 12 lutego 2021 r. ustanawiające Instrument na rzecz Odbudowy i Zwiększania Odporności</w:t>
            </w:r>
          </w:p>
          <w:p w14:paraId="053B6375" w14:textId="77777777" w:rsidR="00DB00FD" w:rsidRDefault="00DB00FD" w:rsidP="001E2158">
            <w:pPr>
              <w:spacing w:before="60" w:after="60" w:line="252" w:lineRule="auto"/>
              <w:ind w:left="124"/>
              <w:contextualSpacing/>
            </w:pPr>
            <w:r w:rsidRPr="00126A0F">
              <w:t>usunięcie odn</w:t>
            </w:r>
            <w:r w:rsidRPr="008F19AE">
              <w:t>iesienia do opieki d</w:t>
            </w:r>
            <w:r>
              <w:t>ługoterminowej – błąd pisarski</w:t>
            </w:r>
          </w:p>
          <w:p w14:paraId="526341BD" w14:textId="77777777" w:rsidR="00DB00FD" w:rsidRPr="00126A0F" w:rsidRDefault="00DB00FD" w:rsidP="001E2158">
            <w:pPr>
              <w:spacing w:before="60" w:after="60" w:line="252" w:lineRule="auto"/>
              <w:ind w:left="124"/>
              <w:contextualSpacing/>
            </w:pPr>
            <w:r w:rsidRPr="00126A0F">
              <w:t xml:space="preserve">dodanie wsparcia w </w:t>
            </w:r>
            <w:r w:rsidRPr="008F19AE">
              <w:t>odniesieniu d</w:t>
            </w:r>
            <w:r>
              <w:t>o AOS – lepsza alternatywa</w:t>
            </w:r>
          </w:p>
          <w:p w14:paraId="44DDDF61" w14:textId="77777777" w:rsidR="00DB00FD" w:rsidRDefault="00DB00FD" w:rsidP="001E2158">
            <w:pPr>
              <w:spacing w:before="60" w:after="60" w:line="252" w:lineRule="auto"/>
              <w:ind w:left="124"/>
              <w:contextualSpacing/>
              <w:rPr>
                <w:rFonts w:eastAsia="Calibri"/>
                <w:color w:val="000000"/>
                <w:lang w:val="en-GB" w:eastAsia="en-GB"/>
              </w:rPr>
            </w:pPr>
            <w:r>
              <w:rPr>
                <w:rFonts w:eastAsia="Calibri"/>
                <w:color w:val="000000"/>
                <w:lang w:val="en-GB" w:eastAsia="en-GB"/>
              </w:rPr>
              <w:t>article 21 of Regulation (EU) 2021/241 of the European Parliament and of the Council of 12 February 2021 establishing an Instrument for Reconstruction and Increasing Resilience</w:t>
            </w:r>
          </w:p>
          <w:p w14:paraId="0ECF5F69" w14:textId="77777777" w:rsidR="00DB00FD" w:rsidRDefault="00DB00FD" w:rsidP="001E2158">
            <w:pPr>
              <w:spacing w:before="60" w:after="60" w:line="252" w:lineRule="auto"/>
              <w:ind w:left="124"/>
              <w:contextualSpacing/>
              <w:rPr>
                <w:rFonts w:eastAsia="Calibri"/>
                <w:color w:val="000000"/>
                <w:lang w:val="en-GB" w:eastAsia="en-GB"/>
              </w:rPr>
            </w:pPr>
            <w:r>
              <w:rPr>
                <w:rFonts w:eastAsia="Calibri"/>
                <w:color w:val="000000"/>
                <w:lang w:val="en-GB" w:eastAsia="en-GB"/>
              </w:rPr>
              <w:t>deleting the reference to longterm care – clerical error</w:t>
            </w:r>
          </w:p>
          <w:p w14:paraId="448C0A73" w14:textId="77777777" w:rsidR="00DB00FD" w:rsidRDefault="00DB00FD" w:rsidP="001E2158">
            <w:pPr>
              <w:spacing w:before="60" w:after="60" w:line="252" w:lineRule="auto"/>
              <w:ind w:left="124"/>
              <w:contextualSpacing/>
              <w:rPr>
                <w:rFonts w:eastAsia="Calibri"/>
                <w:color w:val="000000"/>
                <w:lang w:val="en-GB" w:eastAsia="en-GB"/>
              </w:rPr>
            </w:pPr>
            <w:r>
              <w:rPr>
                <w:rFonts w:eastAsia="Calibri"/>
                <w:color w:val="000000"/>
                <w:lang w:val="en-GB" w:eastAsia="en-GB"/>
              </w:rPr>
              <w:t>including investments related to ambulatory care – better alternative</w:t>
            </w:r>
          </w:p>
          <w:p w14:paraId="4B79A64F" w14:textId="77777777" w:rsidR="00DB00FD" w:rsidRPr="008F19AE" w:rsidRDefault="00DB00FD" w:rsidP="001E2158">
            <w:pPr>
              <w:spacing w:before="60" w:after="60" w:line="252" w:lineRule="auto"/>
              <w:ind w:left="124"/>
              <w:contextualSpacing/>
              <w:rPr>
                <w:lang w:val="en-GB"/>
              </w:rPr>
            </w:pPr>
          </w:p>
        </w:tc>
      </w:tr>
      <w:tr w:rsidR="00DB00FD" w:rsidRPr="00AF3A31" w14:paraId="37009AE4" w14:textId="77777777" w:rsidTr="00A501D9">
        <w:tc>
          <w:tcPr>
            <w:tcW w:w="1230" w:type="pct"/>
            <w:shd w:val="clear" w:color="auto" w:fill="auto"/>
          </w:tcPr>
          <w:p w14:paraId="084DD130" w14:textId="77777777" w:rsidR="00DB00FD" w:rsidRPr="00AF3A31" w:rsidRDefault="00DB00FD" w:rsidP="001E2158">
            <w:pPr>
              <w:spacing w:before="60" w:after="60" w:line="252" w:lineRule="auto"/>
              <w:jc w:val="left"/>
              <w:rPr>
                <w:rFonts w:eastAsia="Calibri"/>
              </w:rPr>
            </w:pPr>
            <w:r w:rsidRPr="00AF3A31">
              <w:rPr>
                <w:rFonts w:eastAsia="Calibri"/>
              </w:rPr>
              <w:t>Modyfikowany element</w:t>
            </w:r>
          </w:p>
        </w:tc>
        <w:tc>
          <w:tcPr>
            <w:tcW w:w="1935" w:type="pct"/>
            <w:shd w:val="clear" w:color="auto" w:fill="auto"/>
          </w:tcPr>
          <w:p w14:paraId="2C5EE2D9" w14:textId="77777777" w:rsidR="00DB00FD" w:rsidRPr="00AF3A31" w:rsidRDefault="00DB00FD" w:rsidP="001E2158">
            <w:pPr>
              <w:spacing w:before="60" w:after="60" w:line="252" w:lineRule="auto"/>
              <w:ind w:left="124"/>
              <w:jc w:val="center"/>
              <w:rPr>
                <w:rFonts w:eastAsia="Calibri"/>
              </w:rPr>
            </w:pPr>
            <w:r w:rsidRPr="008F19AE">
              <w:rPr>
                <w:rFonts w:eastAsia="Calibri"/>
              </w:rPr>
              <w:t>Bieżąca wersja</w:t>
            </w:r>
          </w:p>
        </w:tc>
        <w:tc>
          <w:tcPr>
            <w:tcW w:w="1835" w:type="pct"/>
            <w:shd w:val="clear" w:color="auto" w:fill="auto"/>
          </w:tcPr>
          <w:p w14:paraId="4F317274" w14:textId="77777777" w:rsidR="00DB00FD" w:rsidRPr="00AF3A31" w:rsidRDefault="00DB00FD" w:rsidP="001E2158">
            <w:pPr>
              <w:spacing w:before="60" w:after="60" w:line="252" w:lineRule="auto"/>
              <w:ind w:left="124"/>
              <w:jc w:val="center"/>
              <w:rPr>
                <w:rFonts w:eastAsia="Calibri"/>
              </w:rPr>
            </w:pPr>
            <w:r w:rsidRPr="008F19AE">
              <w:rPr>
                <w:rFonts w:eastAsia="Calibri"/>
              </w:rPr>
              <w:t>Wersja zmieniona</w:t>
            </w:r>
          </w:p>
        </w:tc>
      </w:tr>
      <w:tr w:rsidR="00DB00FD" w:rsidRPr="00AF3A31" w14:paraId="5D197B14" w14:textId="77777777" w:rsidTr="00A501D9">
        <w:tc>
          <w:tcPr>
            <w:tcW w:w="1230" w:type="pct"/>
            <w:shd w:val="clear" w:color="auto" w:fill="auto"/>
          </w:tcPr>
          <w:p w14:paraId="2D42F2FF" w14:textId="77777777" w:rsidR="00DB00FD" w:rsidRPr="00AF3A31" w:rsidRDefault="00DB00FD" w:rsidP="001E2158">
            <w:pPr>
              <w:spacing w:before="60" w:after="60" w:line="252" w:lineRule="auto"/>
              <w:jc w:val="left"/>
              <w:rPr>
                <w:rFonts w:eastAsia="Calibri"/>
              </w:rPr>
            </w:pPr>
            <w:r w:rsidRPr="00AF3A31">
              <w:rPr>
                <w:rFonts w:eastAsia="Calibri"/>
              </w:rPr>
              <w:t>Opis komponentu oraz/lub działania (inwestycji/reformy)</w:t>
            </w:r>
          </w:p>
        </w:tc>
        <w:tc>
          <w:tcPr>
            <w:tcW w:w="1935" w:type="pct"/>
            <w:shd w:val="clear" w:color="auto" w:fill="auto"/>
          </w:tcPr>
          <w:p w14:paraId="7C70F620" w14:textId="77777777" w:rsidR="00DB00FD" w:rsidRPr="008F19AE" w:rsidRDefault="00DB00FD" w:rsidP="001E2158">
            <w:pPr>
              <w:spacing w:before="60" w:after="60" w:line="252" w:lineRule="auto"/>
              <w:ind w:left="124"/>
              <w:jc w:val="left"/>
              <w:rPr>
                <w:rFonts w:eastAsia="Calibri"/>
                <w:b/>
                <w:bCs/>
                <w:highlight w:val="lightGray"/>
              </w:rPr>
            </w:pPr>
            <w:r w:rsidRPr="008F19AE">
              <w:rPr>
                <w:rFonts w:eastAsia="Calibri"/>
                <w:b/>
                <w:bCs/>
              </w:rPr>
              <w:t xml:space="preserve">D1.1.1 </w:t>
            </w:r>
            <w:r>
              <w:rPr>
                <w:b/>
                <w:bCs/>
                <w:sz w:val="23"/>
                <w:szCs w:val="23"/>
              </w:rPr>
              <w:t>Rozwój i modernizacja infrastruktury centrów opieki wysokospecjalistycznej i innych podmiotów leczniczych</w:t>
            </w:r>
          </w:p>
          <w:p w14:paraId="149F337F" w14:textId="77777777" w:rsidR="00DB00FD" w:rsidRPr="00763A93" w:rsidRDefault="00DB00FD" w:rsidP="001E2158">
            <w:pPr>
              <w:autoSpaceDE w:val="0"/>
              <w:autoSpaceDN w:val="0"/>
              <w:adjustRightInd w:val="0"/>
              <w:spacing w:after="0" w:line="240" w:lineRule="auto"/>
              <w:jc w:val="left"/>
              <w:rPr>
                <w:rFonts w:ascii="TimesNewRomanPSMT" w:eastAsiaTheme="minorHAnsi" w:hAnsi="TimesNewRomanPSMT" w:cs="TimesNewRomanPSMT"/>
                <w:sz w:val="23"/>
                <w:szCs w:val="23"/>
              </w:rPr>
            </w:pPr>
            <w:r w:rsidRPr="00763A93">
              <w:rPr>
                <w:rFonts w:ascii="TimesNewRomanPSMT" w:eastAsiaTheme="minorHAnsi" w:hAnsi="TimesNewRomanPSMT" w:cs="TimesNewRomanPSMT"/>
                <w:color w:val="000000"/>
                <w:sz w:val="23"/>
                <w:szCs w:val="23"/>
              </w:rPr>
              <w:t xml:space="preserve">Celem inwestycji jest wsparcie szpitali, których potrzeby inwestycyjne wynikają z </w:t>
            </w:r>
            <w:r w:rsidRPr="00763A93">
              <w:rPr>
                <w:rFonts w:eastAsiaTheme="minorHAnsi"/>
                <w:color w:val="000000"/>
                <w:sz w:val="23"/>
                <w:szCs w:val="23"/>
              </w:rPr>
              <w:t xml:space="preserve">procesów reformy, takich jak konsolidacja, przeprofilowanie i </w:t>
            </w:r>
            <w:r w:rsidRPr="00763A93">
              <w:rPr>
                <w:rFonts w:ascii="TimesNewRomanPSMT" w:eastAsiaTheme="minorHAnsi" w:hAnsi="TimesNewRomanPSMT" w:cs="TimesNewRomanPSMT"/>
                <w:color w:val="000000"/>
                <w:sz w:val="23"/>
                <w:szCs w:val="23"/>
              </w:rPr>
              <w:t xml:space="preserve">przekształcenie w </w:t>
            </w:r>
            <w:r w:rsidRPr="00763A93">
              <w:rPr>
                <w:rFonts w:eastAsiaTheme="minorHAnsi"/>
                <w:color w:val="000000"/>
                <w:sz w:val="23"/>
                <w:szCs w:val="23"/>
              </w:rPr>
              <w:t xml:space="preserve">podmioty opieki </w:t>
            </w:r>
            <w:r w:rsidRPr="00763A93">
              <w:rPr>
                <w:rFonts w:ascii="TimesNewRomanPSMT" w:eastAsiaTheme="minorHAnsi" w:hAnsi="TimesNewRomanPSMT" w:cs="TimesNewRomanPSMT"/>
                <w:color w:val="000000"/>
                <w:sz w:val="23"/>
                <w:szCs w:val="23"/>
              </w:rPr>
              <w:t xml:space="preserve">długoterminowej. Należna </w:t>
            </w:r>
            <w:r w:rsidRPr="00763A93">
              <w:rPr>
                <w:rFonts w:eastAsiaTheme="minorHAnsi"/>
                <w:color w:val="000000"/>
                <w:sz w:val="23"/>
                <w:szCs w:val="23"/>
              </w:rPr>
              <w:t xml:space="preserve">interwencja inwestycyjna w ramach RRF ma na celu wsparcie </w:t>
            </w:r>
            <w:r w:rsidRPr="00763A93">
              <w:rPr>
                <w:rFonts w:ascii="TimesNewRomanPSMT" w:eastAsiaTheme="minorHAnsi" w:hAnsi="TimesNewRomanPSMT" w:cs="TimesNewRomanPSMT"/>
                <w:color w:val="000000"/>
                <w:sz w:val="23"/>
                <w:szCs w:val="23"/>
              </w:rPr>
              <w:t xml:space="preserve">szpitali, których potrzeby inwestycyjne określono wyłącznie w </w:t>
            </w:r>
            <w:r w:rsidRPr="00763A93">
              <w:rPr>
                <w:rFonts w:eastAsiaTheme="minorHAnsi"/>
                <w:color w:val="000000"/>
                <w:sz w:val="23"/>
                <w:szCs w:val="23"/>
              </w:rPr>
              <w:t xml:space="preserve">wyniku procesów w ramach </w:t>
            </w:r>
            <w:r w:rsidRPr="00763A93">
              <w:rPr>
                <w:rFonts w:ascii="TimesNewRomanPSMT" w:eastAsiaTheme="minorHAnsi" w:hAnsi="TimesNewRomanPSMT" w:cs="TimesNewRomanPSMT"/>
                <w:color w:val="000000"/>
                <w:sz w:val="23"/>
                <w:szCs w:val="23"/>
              </w:rPr>
              <w:t xml:space="preserve">reformy D.1.1. Do podmiotów leczniczych kwalifikujących się do wsparcia zaliczają się </w:t>
            </w:r>
            <w:r w:rsidRPr="00763A93">
              <w:rPr>
                <w:rFonts w:eastAsiaTheme="minorHAnsi"/>
                <w:color w:val="000000"/>
                <w:sz w:val="23"/>
                <w:szCs w:val="23"/>
              </w:rPr>
              <w:t xml:space="preserve">szpitale w rozumieniu przepisów ustawy o </w:t>
            </w:r>
            <w:r w:rsidRPr="00763A93">
              <w:rPr>
                <w:rFonts w:ascii="TimesNewRomanPSMT" w:eastAsiaTheme="minorHAnsi" w:hAnsi="TimesNewRomanPSMT" w:cs="TimesNewRomanPSMT"/>
                <w:color w:val="000000"/>
                <w:sz w:val="23"/>
                <w:szCs w:val="23"/>
              </w:rPr>
              <w:t xml:space="preserve">działalności leczniczej z </w:t>
            </w:r>
            <w:r w:rsidRPr="00763A93">
              <w:rPr>
                <w:rFonts w:eastAsiaTheme="minorHAnsi"/>
                <w:color w:val="000000"/>
                <w:sz w:val="23"/>
                <w:szCs w:val="23"/>
              </w:rPr>
              <w:t xml:space="preserve">15 kwietnia 2011 r. </w:t>
            </w:r>
            <w:r w:rsidRPr="00763A93">
              <w:rPr>
                <w:rFonts w:ascii="TimesNewRomanPSMT" w:eastAsiaTheme="minorHAnsi" w:hAnsi="TimesNewRomanPSMT" w:cs="TimesNewRomanPSMT"/>
                <w:color w:val="000000"/>
                <w:sz w:val="23"/>
                <w:szCs w:val="23"/>
              </w:rPr>
              <w:t xml:space="preserve">Wsparcie obejmuje wyłącznie zakres działań związanych z udzielaniem świadczeń </w:t>
            </w:r>
            <w:r w:rsidRPr="00763A93">
              <w:rPr>
                <w:rFonts w:eastAsiaTheme="minorHAnsi"/>
                <w:color w:val="000000"/>
                <w:sz w:val="23"/>
                <w:szCs w:val="23"/>
              </w:rPr>
              <w:t>zdrowotnych finansowanych przez Narodowy Fundusz Zdrowia</w:t>
            </w:r>
            <w:r>
              <w:rPr>
                <w:rFonts w:eastAsiaTheme="minorHAnsi"/>
                <w:color w:val="000000"/>
                <w:sz w:val="23"/>
                <w:szCs w:val="23"/>
              </w:rPr>
              <w:t xml:space="preserve"> </w:t>
            </w:r>
            <w:r w:rsidRPr="00763A93">
              <w:rPr>
                <w:rFonts w:eastAsiaTheme="minorHAnsi"/>
                <w:color w:val="000000"/>
                <w:sz w:val="23"/>
                <w:szCs w:val="23"/>
              </w:rPr>
              <w:t xml:space="preserve"> i </w:t>
            </w:r>
            <w:r w:rsidRPr="00763A93">
              <w:rPr>
                <w:rFonts w:ascii="TimesNewRomanPSMT" w:eastAsiaTheme="minorHAnsi" w:hAnsi="TimesNewRomanPSMT" w:cs="TimesNewRomanPSMT"/>
                <w:color w:val="000000"/>
                <w:sz w:val="23"/>
                <w:szCs w:val="23"/>
              </w:rPr>
              <w:t xml:space="preserve">nie obejmuje działalności </w:t>
            </w:r>
            <w:r w:rsidRPr="00763A93">
              <w:rPr>
                <w:rFonts w:eastAsiaTheme="minorHAnsi"/>
                <w:color w:val="000000"/>
                <w:sz w:val="23"/>
                <w:szCs w:val="23"/>
              </w:rPr>
              <w:t xml:space="preserve">komercyjnej. Kryteria wsparcia </w:t>
            </w:r>
            <w:r w:rsidRPr="00763A93">
              <w:rPr>
                <w:rFonts w:ascii="TimesNewRomanPSMT" w:eastAsiaTheme="minorHAnsi" w:hAnsi="TimesNewRomanPSMT" w:cs="TimesNewRomanPSMT"/>
                <w:color w:val="000000"/>
                <w:sz w:val="23"/>
                <w:szCs w:val="23"/>
              </w:rPr>
              <w:t xml:space="preserve">finansowego zostaną dostosowane do kluczowych obszarów </w:t>
            </w:r>
            <w:r w:rsidRPr="00763A93">
              <w:rPr>
                <w:rFonts w:ascii="TimesNewRomanPSMT" w:eastAsiaTheme="minorHAnsi" w:hAnsi="TimesNewRomanPSMT" w:cstheme="minorBidi"/>
                <w:sz w:val="23"/>
                <w:szCs w:val="23"/>
              </w:rPr>
              <w:t xml:space="preserve">interwencji, takich jak: (i) zasięg (m.in. populacja objęta wsparciem; świadczenia objęte wsparciem; dostęp do opieki we właściwym czasie), (ii) równość (m.in. równość </w:t>
            </w:r>
            <w:r w:rsidRPr="00763A93">
              <w:rPr>
                <w:rFonts w:eastAsiaTheme="minorHAnsi"/>
                <w:sz w:val="23"/>
                <w:szCs w:val="23"/>
              </w:rPr>
              <w:t xml:space="preserve">w </w:t>
            </w:r>
            <w:r w:rsidRPr="00763A93">
              <w:rPr>
                <w:rFonts w:ascii="TimesNewRomanPSMT" w:eastAsiaTheme="minorHAnsi" w:hAnsi="TimesNewRomanPSMT" w:cs="TimesNewRomanPSMT"/>
                <w:sz w:val="23"/>
                <w:szCs w:val="23"/>
              </w:rPr>
              <w:t>finansowaniu; równość w świadc</w:t>
            </w:r>
            <w:r w:rsidRPr="00763A93">
              <w:rPr>
                <w:rFonts w:eastAsiaTheme="minorHAnsi"/>
                <w:sz w:val="23"/>
                <w:szCs w:val="23"/>
              </w:rPr>
              <w:t xml:space="preserve">zeniu i </w:t>
            </w:r>
            <w:r w:rsidRPr="00763A93">
              <w:rPr>
                <w:rFonts w:ascii="TimesNewRomanPSMT" w:eastAsiaTheme="minorHAnsi" w:hAnsi="TimesNewRomanPSMT" w:cs="TimesNewRomanPSMT"/>
                <w:sz w:val="23"/>
                <w:szCs w:val="23"/>
              </w:rPr>
              <w:t xml:space="preserve">wykorzystywaniu świadczeń; równość w </w:t>
            </w:r>
            <w:r w:rsidRPr="00763A93">
              <w:rPr>
                <w:rFonts w:eastAsiaTheme="minorHAnsi"/>
                <w:sz w:val="23"/>
                <w:szCs w:val="23"/>
              </w:rPr>
              <w:t xml:space="preserve">wynikach </w:t>
            </w:r>
            <w:r w:rsidRPr="00763A93">
              <w:rPr>
                <w:rFonts w:ascii="TimesNewRomanPSMT" w:eastAsiaTheme="minorHAnsi" w:hAnsi="TimesNewRomanPSMT" w:cs="TimesNewRomanPSMT"/>
                <w:sz w:val="23"/>
                <w:szCs w:val="23"/>
              </w:rPr>
              <w:t xml:space="preserve">zdrowotnych), (iii) efektywność, w tym działalności operacyjnej (efektywność w osiąganiu wyników; efektywność w gromadzeniu środków), (iv) jakość opieki oraz (v) dostępność </w:t>
            </w:r>
            <w:r w:rsidRPr="00763A93">
              <w:rPr>
                <w:rFonts w:eastAsiaTheme="minorHAnsi"/>
                <w:sz w:val="23"/>
                <w:szCs w:val="23"/>
              </w:rPr>
              <w:t xml:space="preserve">zasobów (m.in. zasobów ludzkich; zasobów finansowych). </w:t>
            </w:r>
          </w:p>
          <w:p w14:paraId="3A874B01" w14:textId="77777777" w:rsidR="00DB00FD" w:rsidRPr="00763A93" w:rsidRDefault="00DB00FD" w:rsidP="001E2158">
            <w:pPr>
              <w:autoSpaceDE w:val="0"/>
              <w:autoSpaceDN w:val="0"/>
              <w:adjustRightInd w:val="0"/>
              <w:spacing w:after="0" w:line="240" w:lineRule="auto"/>
              <w:jc w:val="left"/>
              <w:rPr>
                <w:rFonts w:ascii="TimesNewRomanPSMT" w:eastAsiaTheme="minorHAnsi" w:hAnsi="TimesNewRomanPSMT" w:cs="TimesNewRomanPSMT"/>
                <w:sz w:val="23"/>
                <w:szCs w:val="23"/>
              </w:rPr>
            </w:pPr>
            <w:r w:rsidRPr="00763A93">
              <w:rPr>
                <w:rFonts w:ascii="TimesNewRomanPSMT" w:eastAsiaTheme="minorHAnsi" w:hAnsi="TimesNewRomanPSMT" w:cs="TimesNewRomanPSMT"/>
                <w:sz w:val="23"/>
                <w:szCs w:val="23"/>
              </w:rPr>
              <w:lastRenderedPageBreak/>
              <w:t xml:space="preserve">Główne kategorie projektów inwestycyjnych obejmą inwestycje w nowy sprzęt medyczny oraz infrastrukturę i </w:t>
            </w:r>
            <w:r w:rsidRPr="00763A93">
              <w:rPr>
                <w:rFonts w:eastAsiaTheme="minorHAnsi"/>
                <w:sz w:val="23"/>
                <w:szCs w:val="23"/>
              </w:rPr>
              <w:t xml:space="preserve">roboty budowlane. </w:t>
            </w:r>
          </w:p>
          <w:p w14:paraId="73554438" w14:textId="77777777" w:rsidR="00DB00FD" w:rsidRPr="00AF3A31" w:rsidRDefault="00DB00FD" w:rsidP="001E2158">
            <w:pPr>
              <w:spacing w:before="60" w:after="60" w:line="252" w:lineRule="auto"/>
              <w:jc w:val="left"/>
              <w:rPr>
                <w:rFonts w:eastAsia="Calibri"/>
                <w:highlight w:val="lightGray"/>
              </w:rPr>
            </w:pPr>
            <w:r w:rsidRPr="00763A93">
              <w:rPr>
                <w:rFonts w:ascii="TimesNewRomanPSMT" w:eastAsiaTheme="minorHAnsi" w:hAnsi="TimesNewRomanPSMT" w:cs="TimesNewRomanPSMT"/>
                <w:sz w:val="23"/>
                <w:szCs w:val="23"/>
              </w:rPr>
              <w:t>Realizacja inwestycji zostanie zakończona do dnia 30 czerwca 2026 r.</w:t>
            </w:r>
          </w:p>
        </w:tc>
        <w:tc>
          <w:tcPr>
            <w:tcW w:w="1835" w:type="pct"/>
            <w:shd w:val="clear" w:color="auto" w:fill="auto"/>
          </w:tcPr>
          <w:p w14:paraId="292716E6" w14:textId="77777777" w:rsidR="00DB00FD" w:rsidRPr="00A821C6" w:rsidRDefault="00DB00FD" w:rsidP="001E2158">
            <w:pPr>
              <w:spacing w:before="60" w:after="60" w:line="252" w:lineRule="auto"/>
              <w:ind w:left="124"/>
              <w:jc w:val="left"/>
              <w:rPr>
                <w:rFonts w:eastAsia="Calibri"/>
                <w:b/>
                <w:bCs/>
                <w:highlight w:val="lightGray"/>
              </w:rPr>
            </w:pPr>
            <w:r w:rsidRPr="008F19AE">
              <w:rPr>
                <w:rFonts w:eastAsia="Calibri"/>
                <w:b/>
                <w:bCs/>
              </w:rPr>
              <w:lastRenderedPageBreak/>
              <w:t xml:space="preserve">D1.1.1 </w:t>
            </w:r>
            <w:r>
              <w:rPr>
                <w:b/>
                <w:bCs/>
                <w:sz w:val="23"/>
                <w:szCs w:val="23"/>
              </w:rPr>
              <w:t>Rozwój i modernizacja infrastruktury centrów opieki wysokospecjalistycznej i innych podmiotów leczniczych</w:t>
            </w:r>
          </w:p>
          <w:p w14:paraId="5BA64773" w14:textId="77777777" w:rsidR="00DB00FD" w:rsidRPr="00763A93" w:rsidRDefault="00DB00FD" w:rsidP="001E2158">
            <w:pPr>
              <w:autoSpaceDE w:val="0"/>
              <w:autoSpaceDN w:val="0"/>
              <w:adjustRightInd w:val="0"/>
              <w:spacing w:after="0" w:line="240" w:lineRule="auto"/>
              <w:jc w:val="left"/>
              <w:rPr>
                <w:rFonts w:ascii="TimesNewRomanPSMT" w:eastAsiaTheme="minorHAnsi" w:hAnsi="TimesNewRomanPSMT" w:cs="TimesNewRomanPSMT"/>
                <w:sz w:val="23"/>
                <w:szCs w:val="23"/>
              </w:rPr>
            </w:pPr>
            <w:r w:rsidRPr="00763A93">
              <w:rPr>
                <w:rFonts w:ascii="TimesNewRomanPSMT" w:eastAsiaTheme="minorHAnsi" w:hAnsi="TimesNewRomanPSMT" w:cs="TimesNewRomanPSMT"/>
                <w:color w:val="000000"/>
                <w:sz w:val="23"/>
                <w:szCs w:val="23"/>
              </w:rPr>
              <w:t>Celem inwestycji jest wsparcie szpitali</w:t>
            </w:r>
            <w:r>
              <w:rPr>
                <w:rFonts w:ascii="TimesNewRomanPSMT" w:eastAsiaTheme="minorHAnsi" w:hAnsi="TimesNewRomanPSMT" w:cs="TimesNewRomanPSMT"/>
                <w:color w:val="000000"/>
                <w:sz w:val="23"/>
                <w:szCs w:val="23"/>
              </w:rPr>
              <w:t xml:space="preserve"> </w:t>
            </w:r>
            <w:r w:rsidRPr="003E3CAA">
              <w:rPr>
                <w:rFonts w:ascii="TimesNewRomanPSMT" w:eastAsiaTheme="minorHAnsi" w:hAnsi="TimesNewRomanPSMT" w:cs="TimesNewRomanPSMT"/>
                <w:color w:val="FF0000"/>
                <w:sz w:val="23"/>
                <w:szCs w:val="23"/>
              </w:rPr>
              <w:t xml:space="preserve">i </w:t>
            </w:r>
            <w:r w:rsidRPr="009D1150">
              <w:rPr>
                <w:rFonts w:ascii="TimesNewRomanPSMT" w:eastAsiaTheme="minorHAnsi" w:hAnsi="TimesNewRomanPSMT" w:cs="TimesNewRomanPSMT"/>
                <w:color w:val="FF0000"/>
                <w:sz w:val="23"/>
                <w:szCs w:val="23"/>
              </w:rPr>
              <w:t>jednostek z nimi współpracujących (stanowiących ośrodki kooperacyjne w KSO)</w:t>
            </w:r>
            <w:r w:rsidRPr="003E3CAA">
              <w:rPr>
                <w:rFonts w:ascii="TimesNewRomanPSMT" w:eastAsiaTheme="minorHAnsi" w:hAnsi="TimesNewRomanPSMT" w:cs="TimesNewRomanPSMT"/>
                <w:color w:val="FF0000"/>
                <w:sz w:val="23"/>
                <w:szCs w:val="23"/>
              </w:rPr>
              <w:t>,</w:t>
            </w:r>
            <w:r w:rsidRPr="0056086B">
              <w:rPr>
                <w:rFonts w:ascii="TimesNewRomanPSMT" w:eastAsiaTheme="minorHAnsi" w:hAnsi="TimesNewRomanPSMT" w:cs="TimesNewRomanPSMT"/>
                <w:color w:val="FF0000"/>
                <w:sz w:val="23"/>
                <w:szCs w:val="23"/>
              </w:rPr>
              <w:t xml:space="preserve"> </w:t>
            </w:r>
            <w:r w:rsidRPr="00763A93">
              <w:rPr>
                <w:rFonts w:ascii="TimesNewRomanPSMT" w:eastAsiaTheme="minorHAnsi" w:hAnsi="TimesNewRomanPSMT" w:cs="TimesNewRomanPSMT"/>
                <w:color w:val="000000"/>
                <w:sz w:val="23"/>
                <w:szCs w:val="23"/>
              </w:rPr>
              <w:t xml:space="preserve">których potrzeby inwestycyjne wynikają z </w:t>
            </w:r>
            <w:r w:rsidRPr="00763A93">
              <w:rPr>
                <w:rFonts w:eastAsiaTheme="minorHAnsi"/>
                <w:color w:val="000000"/>
                <w:sz w:val="23"/>
                <w:szCs w:val="23"/>
              </w:rPr>
              <w:t>procesów reformy, takich jak konsolidacja</w:t>
            </w:r>
            <w:r>
              <w:rPr>
                <w:rFonts w:eastAsiaTheme="minorHAnsi"/>
                <w:color w:val="000000"/>
                <w:sz w:val="23"/>
                <w:szCs w:val="23"/>
              </w:rPr>
              <w:t xml:space="preserve"> </w:t>
            </w:r>
            <w:r w:rsidRPr="008F19AE">
              <w:rPr>
                <w:rFonts w:eastAsiaTheme="minorHAnsi"/>
                <w:color w:val="FF0000"/>
                <w:sz w:val="23"/>
                <w:szCs w:val="23"/>
              </w:rPr>
              <w:t xml:space="preserve">lub </w:t>
            </w:r>
            <w:r w:rsidRPr="00763A93">
              <w:rPr>
                <w:rFonts w:eastAsiaTheme="minorHAnsi"/>
                <w:color w:val="000000"/>
                <w:sz w:val="23"/>
                <w:szCs w:val="23"/>
              </w:rPr>
              <w:t>przeprofilowanie</w:t>
            </w:r>
            <w:r>
              <w:rPr>
                <w:rFonts w:eastAsiaTheme="minorHAnsi"/>
                <w:color w:val="000000"/>
                <w:sz w:val="23"/>
                <w:szCs w:val="23"/>
              </w:rPr>
              <w:t>.</w:t>
            </w:r>
            <w:r w:rsidRPr="00763A93">
              <w:rPr>
                <w:rFonts w:ascii="TimesNewRomanPSMT" w:eastAsiaTheme="minorHAnsi" w:hAnsi="TimesNewRomanPSMT" w:cs="TimesNewRomanPSMT"/>
                <w:color w:val="000000"/>
                <w:sz w:val="23"/>
                <w:szCs w:val="23"/>
              </w:rPr>
              <w:t xml:space="preserve"> Należna </w:t>
            </w:r>
            <w:r w:rsidRPr="00763A93">
              <w:rPr>
                <w:rFonts w:eastAsiaTheme="minorHAnsi"/>
                <w:color w:val="000000"/>
                <w:sz w:val="23"/>
                <w:szCs w:val="23"/>
              </w:rPr>
              <w:t xml:space="preserve">interwencja inwestycyjna w ramach RRF ma na celu wsparcie </w:t>
            </w:r>
            <w:r w:rsidRPr="00763A93">
              <w:rPr>
                <w:rFonts w:ascii="TimesNewRomanPSMT" w:eastAsiaTheme="minorHAnsi" w:hAnsi="TimesNewRomanPSMT" w:cs="TimesNewRomanPSMT"/>
                <w:color w:val="000000"/>
                <w:sz w:val="23"/>
                <w:szCs w:val="23"/>
              </w:rPr>
              <w:t>szpitali</w:t>
            </w:r>
            <w:r w:rsidRPr="0056086B">
              <w:rPr>
                <w:rFonts w:ascii="TimesNewRomanPSMT" w:eastAsiaTheme="minorHAnsi" w:hAnsi="TimesNewRomanPSMT" w:cs="TimesNewRomanPSMT"/>
                <w:color w:val="FF0000"/>
                <w:sz w:val="23"/>
                <w:szCs w:val="23"/>
              </w:rPr>
              <w:t xml:space="preserve"> i jednostek z nimi współpracujących</w:t>
            </w:r>
            <w:r w:rsidRPr="00763A93">
              <w:rPr>
                <w:rFonts w:ascii="TimesNewRomanPSMT" w:eastAsiaTheme="minorHAnsi" w:hAnsi="TimesNewRomanPSMT" w:cs="TimesNewRomanPSMT"/>
                <w:color w:val="000000"/>
                <w:sz w:val="23"/>
                <w:szCs w:val="23"/>
              </w:rPr>
              <w:t xml:space="preserve">, których potrzeby inwestycyjne określono wyłącznie w </w:t>
            </w:r>
            <w:r w:rsidRPr="00763A93">
              <w:rPr>
                <w:rFonts w:eastAsiaTheme="minorHAnsi"/>
                <w:color w:val="000000"/>
                <w:sz w:val="23"/>
                <w:szCs w:val="23"/>
              </w:rPr>
              <w:t xml:space="preserve">wyniku procesów w ramach </w:t>
            </w:r>
            <w:r w:rsidRPr="00763A93">
              <w:rPr>
                <w:rFonts w:ascii="TimesNewRomanPSMT" w:eastAsiaTheme="minorHAnsi" w:hAnsi="TimesNewRomanPSMT" w:cs="TimesNewRomanPSMT"/>
                <w:color w:val="000000"/>
                <w:sz w:val="23"/>
                <w:szCs w:val="23"/>
              </w:rPr>
              <w:t xml:space="preserve">reformy D.1.1. Do podmiotów leczniczych kwalifikujących się do wsparcia zaliczają się </w:t>
            </w:r>
            <w:r w:rsidRPr="00763A93">
              <w:rPr>
                <w:rFonts w:eastAsiaTheme="minorHAnsi"/>
                <w:color w:val="000000"/>
                <w:sz w:val="23"/>
                <w:szCs w:val="23"/>
              </w:rPr>
              <w:t>szpitale</w:t>
            </w:r>
            <w:r w:rsidRPr="0056086B">
              <w:rPr>
                <w:rFonts w:eastAsiaTheme="minorHAnsi"/>
                <w:color w:val="FF0000"/>
                <w:sz w:val="23"/>
                <w:szCs w:val="23"/>
              </w:rPr>
              <w:t xml:space="preserve"> </w:t>
            </w:r>
            <w:r w:rsidRPr="009D1150">
              <w:rPr>
                <w:rFonts w:ascii="TimesNewRomanPSMT" w:eastAsiaTheme="minorHAnsi" w:hAnsi="TimesNewRomanPSMT" w:cs="TimesNewRomanPSMT"/>
                <w:color w:val="FF0000"/>
                <w:sz w:val="23"/>
                <w:szCs w:val="23"/>
              </w:rPr>
              <w:t>i jednostki z nimi współpracujące</w:t>
            </w:r>
            <w:r w:rsidRPr="0056086B">
              <w:rPr>
                <w:rFonts w:eastAsiaTheme="minorHAnsi"/>
                <w:color w:val="FF0000"/>
                <w:sz w:val="23"/>
                <w:szCs w:val="23"/>
              </w:rPr>
              <w:t xml:space="preserve"> </w:t>
            </w:r>
            <w:r w:rsidRPr="00763A93">
              <w:rPr>
                <w:rFonts w:eastAsiaTheme="minorHAnsi"/>
                <w:color w:val="000000"/>
                <w:sz w:val="23"/>
                <w:szCs w:val="23"/>
              </w:rPr>
              <w:t xml:space="preserve">w rozumieniu przepisów ustawy o </w:t>
            </w:r>
            <w:r w:rsidRPr="00763A93">
              <w:rPr>
                <w:rFonts w:ascii="TimesNewRomanPSMT" w:eastAsiaTheme="minorHAnsi" w:hAnsi="TimesNewRomanPSMT" w:cs="TimesNewRomanPSMT"/>
                <w:color w:val="000000"/>
                <w:sz w:val="23"/>
                <w:szCs w:val="23"/>
              </w:rPr>
              <w:t xml:space="preserve">działalności leczniczej z </w:t>
            </w:r>
            <w:r w:rsidRPr="00763A93">
              <w:rPr>
                <w:rFonts w:eastAsiaTheme="minorHAnsi"/>
                <w:color w:val="000000"/>
                <w:sz w:val="23"/>
                <w:szCs w:val="23"/>
              </w:rPr>
              <w:t xml:space="preserve">15 kwietnia 2011 r. </w:t>
            </w:r>
            <w:r w:rsidRPr="00763A93">
              <w:rPr>
                <w:rFonts w:ascii="TimesNewRomanPSMT" w:eastAsiaTheme="minorHAnsi" w:hAnsi="TimesNewRomanPSMT" w:cs="TimesNewRomanPSMT"/>
                <w:color w:val="000000"/>
                <w:sz w:val="23"/>
                <w:szCs w:val="23"/>
              </w:rPr>
              <w:t xml:space="preserve">Wsparcie obejmuje wyłącznie zakres działań związanych z udzielaniem świadczeń </w:t>
            </w:r>
            <w:r w:rsidRPr="00763A93">
              <w:rPr>
                <w:rFonts w:eastAsiaTheme="minorHAnsi"/>
                <w:color w:val="000000"/>
                <w:sz w:val="23"/>
                <w:szCs w:val="23"/>
              </w:rPr>
              <w:t>zdrowotnych finansowanych przez Narodowy Fundusz Zdrowia</w:t>
            </w:r>
            <w:r>
              <w:rPr>
                <w:rFonts w:eastAsiaTheme="minorHAnsi"/>
                <w:color w:val="000000"/>
                <w:sz w:val="23"/>
                <w:szCs w:val="23"/>
              </w:rPr>
              <w:t xml:space="preserve"> </w:t>
            </w:r>
            <w:r w:rsidRPr="008F19AE">
              <w:rPr>
                <w:rFonts w:eastAsiaTheme="minorHAnsi"/>
                <w:color w:val="FF0000"/>
                <w:sz w:val="23"/>
                <w:szCs w:val="23"/>
              </w:rPr>
              <w:t xml:space="preserve">w zakresie opieki szpitalnej lub ambulatoryjnej opieki specjalistycznej, </w:t>
            </w:r>
            <w:r w:rsidRPr="00763A93">
              <w:rPr>
                <w:rFonts w:eastAsiaTheme="minorHAnsi"/>
                <w:color w:val="000000"/>
                <w:sz w:val="23"/>
                <w:szCs w:val="23"/>
              </w:rPr>
              <w:t xml:space="preserve">i </w:t>
            </w:r>
            <w:r w:rsidRPr="00763A93">
              <w:rPr>
                <w:rFonts w:ascii="TimesNewRomanPSMT" w:eastAsiaTheme="minorHAnsi" w:hAnsi="TimesNewRomanPSMT" w:cs="TimesNewRomanPSMT"/>
                <w:color w:val="000000"/>
                <w:sz w:val="23"/>
                <w:szCs w:val="23"/>
              </w:rPr>
              <w:t xml:space="preserve">nie obejmuje działalności </w:t>
            </w:r>
            <w:r w:rsidRPr="00763A93">
              <w:rPr>
                <w:rFonts w:eastAsiaTheme="minorHAnsi"/>
                <w:color w:val="000000"/>
                <w:sz w:val="23"/>
                <w:szCs w:val="23"/>
              </w:rPr>
              <w:t xml:space="preserve">komercyjnej. Kryteria wsparcia </w:t>
            </w:r>
            <w:r w:rsidRPr="00763A93">
              <w:rPr>
                <w:rFonts w:ascii="TimesNewRomanPSMT" w:eastAsiaTheme="minorHAnsi" w:hAnsi="TimesNewRomanPSMT" w:cs="TimesNewRomanPSMT"/>
                <w:color w:val="000000"/>
                <w:sz w:val="23"/>
                <w:szCs w:val="23"/>
              </w:rPr>
              <w:t xml:space="preserve">finansowego zostaną dostosowane do kluczowych obszarów </w:t>
            </w:r>
            <w:r w:rsidRPr="00763A93">
              <w:rPr>
                <w:rFonts w:ascii="TimesNewRomanPSMT" w:eastAsiaTheme="minorHAnsi" w:hAnsi="TimesNewRomanPSMT" w:cstheme="minorBidi"/>
                <w:sz w:val="23"/>
                <w:szCs w:val="23"/>
              </w:rPr>
              <w:t xml:space="preserve">interwencji, takich jak: (i) zasięg (m.in. populacja objęta wsparciem; świadczenia objęte wsparciem; dostęp do opieki we właściwym czasie), (ii) równość (m.in. równość </w:t>
            </w:r>
            <w:r w:rsidRPr="00763A93">
              <w:rPr>
                <w:rFonts w:eastAsiaTheme="minorHAnsi"/>
                <w:sz w:val="23"/>
                <w:szCs w:val="23"/>
              </w:rPr>
              <w:t xml:space="preserve">w </w:t>
            </w:r>
            <w:r w:rsidRPr="00763A93">
              <w:rPr>
                <w:rFonts w:ascii="TimesNewRomanPSMT" w:eastAsiaTheme="minorHAnsi" w:hAnsi="TimesNewRomanPSMT" w:cs="TimesNewRomanPSMT"/>
                <w:sz w:val="23"/>
                <w:szCs w:val="23"/>
              </w:rPr>
              <w:t>finansowaniu; równość w świadc</w:t>
            </w:r>
            <w:r w:rsidRPr="00763A93">
              <w:rPr>
                <w:rFonts w:eastAsiaTheme="minorHAnsi"/>
                <w:sz w:val="23"/>
                <w:szCs w:val="23"/>
              </w:rPr>
              <w:t xml:space="preserve">zeniu i </w:t>
            </w:r>
            <w:r w:rsidRPr="00763A93">
              <w:rPr>
                <w:rFonts w:ascii="TimesNewRomanPSMT" w:eastAsiaTheme="minorHAnsi" w:hAnsi="TimesNewRomanPSMT" w:cs="TimesNewRomanPSMT"/>
                <w:sz w:val="23"/>
                <w:szCs w:val="23"/>
              </w:rPr>
              <w:t xml:space="preserve">wykorzystywaniu świadczeń; równość w </w:t>
            </w:r>
            <w:r w:rsidRPr="00763A93">
              <w:rPr>
                <w:rFonts w:eastAsiaTheme="minorHAnsi"/>
                <w:sz w:val="23"/>
                <w:szCs w:val="23"/>
              </w:rPr>
              <w:t xml:space="preserve">wynikach </w:t>
            </w:r>
            <w:r w:rsidRPr="00763A93">
              <w:rPr>
                <w:rFonts w:ascii="TimesNewRomanPSMT" w:eastAsiaTheme="minorHAnsi" w:hAnsi="TimesNewRomanPSMT" w:cs="TimesNewRomanPSMT"/>
                <w:sz w:val="23"/>
                <w:szCs w:val="23"/>
              </w:rPr>
              <w:t xml:space="preserve">zdrowotnych), (iii) efektywność, w tym </w:t>
            </w:r>
            <w:r w:rsidRPr="00763A93">
              <w:rPr>
                <w:rFonts w:ascii="TimesNewRomanPSMT" w:eastAsiaTheme="minorHAnsi" w:hAnsi="TimesNewRomanPSMT" w:cs="TimesNewRomanPSMT"/>
                <w:sz w:val="23"/>
                <w:szCs w:val="23"/>
              </w:rPr>
              <w:lastRenderedPageBreak/>
              <w:t xml:space="preserve">działalności operacyjnej (efektywność w osiąganiu wyników; efektywność w gromadzeniu środków), (iv) jakość opieki oraz (v) dostępność </w:t>
            </w:r>
            <w:r w:rsidRPr="00763A93">
              <w:rPr>
                <w:rFonts w:eastAsiaTheme="minorHAnsi"/>
                <w:sz w:val="23"/>
                <w:szCs w:val="23"/>
              </w:rPr>
              <w:t xml:space="preserve">zasobów (m.in. zasobów ludzkich; zasobów finansowych). </w:t>
            </w:r>
          </w:p>
          <w:p w14:paraId="150FF513" w14:textId="77777777" w:rsidR="00DB00FD" w:rsidRPr="00763A93" w:rsidRDefault="00DB00FD" w:rsidP="001E2158">
            <w:pPr>
              <w:autoSpaceDE w:val="0"/>
              <w:autoSpaceDN w:val="0"/>
              <w:adjustRightInd w:val="0"/>
              <w:spacing w:after="0" w:line="240" w:lineRule="auto"/>
              <w:jc w:val="left"/>
              <w:rPr>
                <w:rFonts w:ascii="TimesNewRomanPSMT" w:eastAsiaTheme="minorHAnsi" w:hAnsi="TimesNewRomanPSMT" w:cs="TimesNewRomanPSMT"/>
                <w:sz w:val="23"/>
                <w:szCs w:val="23"/>
              </w:rPr>
            </w:pPr>
            <w:r w:rsidRPr="00763A93">
              <w:rPr>
                <w:rFonts w:ascii="TimesNewRomanPSMT" w:eastAsiaTheme="minorHAnsi" w:hAnsi="TimesNewRomanPSMT" w:cs="TimesNewRomanPSMT"/>
                <w:sz w:val="23"/>
                <w:szCs w:val="23"/>
              </w:rPr>
              <w:t xml:space="preserve">Główne kategorie projektów inwestycyjnych obejmą inwestycje w nowy sprzęt medyczny oraz infrastrukturę i </w:t>
            </w:r>
            <w:r w:rsidRPr="00763A93">
              <w:rPr>
                <w:rFonts w:eastAsiaTheme="minorHAnsi"/>
                <w:sz w:val="23"/>
                <w:szCs w:val="23"/>
              </w:rPr>
              <w:t xml:space="preserve">roboty budowlane. </w:t>
            </w:r>
          </w:p>
          <w:p w14:paraId="20399BC4" w14:textId="77777777" w:rsidR="00DB00FD" w:rsidRPr="00AF3A31" w:rsidRDefault="00DB00FD" w:rsidP="001E2158">
            <w:pPr>
              <w:spacing w:before="60" w:after="60" w:line="252" w:lineRule="auto"/>
              <w:rPr>
                <w:rFonts w:eastAsia="Calibri"/>
                <w:highlight w:val="lightGray"/>
              </w:rPr>
            </w:pPr>
            <w:r w:rsidRPr="00763A93">
              <w:rPr>
                <w:rFonts w:ascii="TimesNewRomanPSMT" w:eastAsiaTheme="minorHAnsi" w:hAnsi="TimesNewRomanPSMT" w:cs="TimesNewRomanPSMT"/>
                <w:sz w:val="23"/>
                <w:szCs w:val="23"/>
              </w:rPr>
              <w:t>Realizacja inwestycji zostanie zakończona do dnia 30 czerwca 2026 r.</w:t>
            </w:r>
          </w:p>
        </w:tc>
      </w:tr>
      <w:tr w:rsidR="00DB00FD" w:rsidRPr="00935797" w14:paraId="766CB10C" w14:textId="77777777" w:rsidTr="00A501D9">
        <w:tc>
          <w:tcPr>
            <w:tcW w:w="1230" w:type="pct"/>
            <w:shd w:val="clear" w:color="auto" w:fill="auto"/>
          </w:tcPr>
          <w:p w14:paraId="3593960B" w14:textId="77777777" w:rsidR="00DB00FD" w:rsidRPr="00AF3A31" w:rsidRDefault="00DB00FD" w:rsidP="001E2158">
            <w:pPr>
              <w:spacing w:before="60" w:after="60" w:line="252" w:lineRule="auto"/>
              <w:jc w:val="left"/>
              <w:rPr>
                <w:rFonts w:eastAsia="Calibri"/>
              </w:rPr>
            </w:pPr>
          </w:p>
        </w:tc>
        <w:tc>
          <w:tcPr>
            <w:tcW w:w="1935" w:type="pct"/>
            <w:shd w:val="clear" w:color="auto" w:fill="auto"/>
          </w:tcPr>
          <w:p w14:paraId="79EFED6C" w14:textId="77777777" w:rsidR="00DB00FD" w:rsidRPr="00A501D9" w:rsidRDefault="00DB00FD" w:rsidP="001E2158">
            <w:pPr>
              <w:autoSpaceDE w:val="0"/>
              <w:autoSpaceDN w:val="0"/>
              <w:adjustRightInd w:val="0"/>
              <w:spacing w:after="0" w:line="240" w:lineRule="auto"/>
              <w:jc w:val="left"/>
              <w:rPr>
                <w:rFonts w:eastAsiaTheme="minorHAnsi"/>
                <w:color w:val="000000"/>
                <w:sz w:val="23"/>
                <w:szCs w:val="23"/>
                <w:lang w:val="en-GB"/>
              </w:rPr>
            </w:pPr>
            <w:r w:rsidRPr="00A501D9">
              <w:rPr>
                <w:rFonts w:eastAsiaTheme="minorHAnsi"/>
                <w:color w:val="000000"/>
                <w:sz w:val="23"/>
                <w:szCs w:val="23"/>
                <w:lang w:val="en-GB"/>
              </w:rPr>
              <w:t xml:space="preserve">D1.1.1 Development and modernisation of the infrastructure of highly specialised care centres and other healthcare providers </w:t>
            </w:r>
          </w:p>
          <w:p w14:paraId="5709C34D" w14:textId="77777777" w:rsidR="00A501D9" w:rsidRDefault="00A501D9" w:rsidP="001E2158">
            <w:pPr>
              <w:autoSpaceDE w:val="0"/>
              <w:autoSpaceDN w:val="0"/>
              <w:adjustRightInd w:val="0"/>
              <w:spacing w:after="0" w:line="240" w:lineRule="auto"/>
              <w:jc w:val="left"/>
              <w:rPr>
                <w:rFonts w:eastAsiaTheme="minorHAnsi"/>
                <w:color w:val="000000"/>
                <w:sz w:val="23"/>
                <w:szCs w:val="23"/>
                <w:lang w:val="en-GB"/>
              </w:rPr>
            </w:pPr>
          </w:p>
          <w:p w14:paraId="047448BE" w14:textId="59F99659" w:rsidR="00DB00FD" w:rsidRPr="00A501D9" w:rsidRDefault="00DB00FD" w:rsidP="001E2158">
            <w:pPr>
              <w:autoSpaceDE w:val="0"/>
              <w:autoSpaceDN w:val="0"/>
              <w:adjustRightInd w:val="0"/>
              <w:spacing w:after="0" w:line="240" w:lineRule="auto"/>
              <w:jc w:val="left"/>
              <w:rPr>
                <w:rFonts w:eastAsiaTheme="minorHAnsi"/>
                <w:color w:val="000000"/>
                <w:sz w:val="23"/>
                <w:szCs w:val="23"/>
                <w:lang w:val="en-GB"/>
              </w:rPr>
            </w:pPr>
            <w:r w:rsidRPr="00A501D9">
              <w:rPr>
                <w:rFonts w:eastAsiaTheme="minorHAnsi"/>
                <w:color w:val="000000"/>
                <w:sz w:val="23"/>
                <w:szCs w:val="23"/>
                <w:lang w:val="en-GB"/>
              </w:rPr>
              <w:t xml:space="preserve">The objective of the investment is to support hospitals with investment needs resulting from the reform processes, including consolidation, re-profiling and transformation into long-term care entities. The due RRF investment intervention is to support hospitals only where investment needs have been identified and as a result of the reform processes under reform D.1.1. Medical entities eligible for support shall consist of hospitals within the meaning of the provisions of the Act on Medical Activity of 15 April 2011. The support shall cover only the scope of activities related to the provision of health services financed by the National Health Fund, and it shall not cover the commercial activities. The criteria for financial support shall be aligned with the reform’s key fields of intervention, including: i) coverage (such as population covered, benefits covered and timely access to care), ii) equity (such as equity in financing, equity in delivery and use and equity in health outcomes), iii) efficiency, including operational activity (efficiency in outcomes delivery, efficiency in collection of funds), iv) quality of care and v) availability of resources (such as human resources and financial resources). </w:t>
            </w:r>
          </w:p>
          <w:p w14:paraId="7C1741EA" w14:textId="77777777" w:rsidR="00DB00FD" w:rsidRPr="00A501D9" w:rsidRDefault="00DB00FD" w:rsidP="001E2158">
            <w:pPr>
              <w:autoSpaceDE w:val="0"/>
              <w:autoSpaceDN w:val="0"/>
              <w:adjustRightInd w:val="0"/>
              <w:spacing w:after="0" w:line="240" w:lineRule="auto"/>
              <w:jc w:val="left"/>
              <w:rPr>
                <w:rFonts w:eastAsiaTheme="minorHAnsi"/>
                <w:color w:val="000000"/>
                <w:sz w:val="23"/>
                <w:szCs w:val="23"/>
                <w:lang w:val="en-GB"/>
              </w:rPr>
            </w:pPr>
            <w:r w:rsidRPr="00A501D9">
              <w:rPr>
                <w:rFonts w:eastAsiaTheme="minorHAnsi"/>
                <w:color w:val="000000"/>
                <w:sz w:val="23"/>
                <w:szCs w:val="23"/>
                <w:lang w:val="en-GB"/>
              </w:rPr>
              <w:t xml:space="preserve">The main investment project categories shall consist of investment in new medical equipment and infrastructure and construction works. </w:t>
            </w:r>
          </w:p>
          <w:p w14:paraId="1A696E97" w14:textId="77777777" w:rsidR="00A501D9" w:rsidRDefault="00A501D9" w:rsidP="001E2158">
            <w:pPr>
              <w:spacing w:before="60" w:after="60" w:line="252" w:lineRule="auto"/>
              <w:jc w:val="left"/>
              <w:rPr>
                <w:rFonts w:eastAsiaTheme="minorHAnsi"/>
                <w:color w:val="000000"/>
                <w:sz w:val="23"/>
                <w:szCs w:val="23"/>
                <w:lang w:val="en-GB"/>
              </w:rPr>
            </w:pPr>
          </w:p>
          <w:p w14:paraId="5CFC72AD" w14:textId="77777777" w:rsidR="00A501D9" w:rsidRDefault="00A501D9" w:rsidP="001E2158">
            <w:pPr>
              <w:spacing w:before="60" w:after="60" w:line="252" w:lineRule="auto"/>
              <w:jc w:val="left"/>
              <w:rPr>
                <w:rFonts w:eastAsiaTheme="minorHAnsi"/>
                <w:color w:val="000000"/>
                <w:sz w:val="23"/>
                <w:szCs w:val="23"/>
                <w:lang w:val="en-GB"/>
              </w:rPr>
            </w:pPr>
          </w:p>
          <w:p w14:paraId="2B00761A" w14:textId="77777777" w:rsidR="00A501D9" w:rsidRDefault="00A501D9" w:rsidP="001E2158">
            <w:pPr>
              <w:spacing w:before="60" w:after="60" w:line="252" w:lineRule="auto"/>
              <w:jc w:val="left"/>
              <w:rPr>
                <w:rFonts w:eastAsiaTheme="minorHAnsi"/>
                <w:color w:val="000000"/>
                <w:sz w:val="23"/>
                <w:szCs w:val="23"/>
                <w:lang w:val="en-GB"/>
              </w:rPr>
            </w:pPr>
          </w:p>
          <w:p w14:paraId="0DB79116" w14:textId="77777777" w:rsidR="00A501D9" w:rsidRDefault="00A501D9" w:rsidP="001E2158">
            <w:pPr>
              <w:spacing w:before="60" w:after="60" w:line="252" w:lineRule="auto"/>
              <w:jc w:val="left"/>
              <w:rPr>
                <w:rFonts w:eastAsiaTheme="minorHAnsi"/>
                <w:color w:val="000000"/>
                <w:sz w:val="23"/>
                <w:szCs w:val="23"/>
                <w:lang w:val="en-GB"/>
              </w:rPr>
            </w:pPr>
          </w:p>
          <w:p w14:paraId="4C9F8A9D" w14:textId="77777777" w:rsidR="00A501D9" w:rsidRDefault="00A501D9" w:rsidP="001E2158">
            <w:pPr>
              <w:spacing w:before="60" w:after="60" w:line="252" w:lineRule="auto"/>
              <w:jc w:val="left"/>
              <w:rPr>
                <w:rFonts w:eastAsiaTheme="minorHAnsi"/>
                <w:color w:val="000000"/>
                <w:sz w:val="23"/>
                <w:szCs w:val="23"/>
                <w:lang w:val="en-GB"/>
              </w:rPr>
            </w:pPr>
          </w:p>
          <w:p w14:paraId="48D59A00" w14:textId="77777777" w:rsidR="00A501D9" w:rsidRDefault="00A501D9" w:rsidP="001E2158">
            <w:pPr>
              <w:spacing w:before="60" w:after="60" w:line="252" w:lineRule="auto"/>
              <w:jc w:val="left"/>
              <w:rPr>
                <w:rFonts w:eastAsiaTheme="minorHAnsi"/>
                <w:color w:val="000000"/>
                <w:sz w:val="23"/>
                <w:szCs w:val="23"/>
                <w:lang w:val="en-GB"/>
              </w:rPr>
            </w:pPr>
          </w:p>
          <w:p w14:paraId="1EC0B0ED" w14:textId="77777777" w:rsidR="00A501D9" w:rsidRDefault="00A501D9" w:rsidP="001E2158">
            <w:pPr>
              <w:spacing w:before="60" w:after="60" w:line="252" w:lineRule="auto"/>
              <w:jc w:val="left"/>
              <w:rPr>
                <w:rFonts w:eastAsiaTheme="minorHAnsi"/>
                <w:color w:val="000000"/>
                <w:sz w:val="23"/>
                <w:szCs w:val="23"/>
                <w:lang w:val="en-GB"/>
              </w:rPr>
            </w:pPr>
          </w:p>
          <w:p w14:paraId="5F637206" w14:textId="77777777" w:rsidR="00A501D9" w:rsidRDefault="00A501D9" w:rsidP="001E2158">
            <w:pPr>
              <w:spacing w:before="60" w:after="60" w:line="252" w:lineRule="auto"/>
              <w:jc w:val="left"/>
              <w:rPr>
                <w:rFonts w:eastAsiaTheme="minorHAnsi"/>
                <w:color w:val="000000"/>
                <w:sz w:val="23"/>
                <w:szCs w:val="23"/>
                <w:lang w:val="en-GB"/>
              </w:rPr>
            </w:pPr>
          </w:p>
          <w:p w14:paraId="2348A43F" w14:textId="61504492" w:rsidR="00DB00FD" w:rsidRPr="00A501D9" w:rsidRDefault="00DB00FD" w:rsidP="001E2158">
            <w:pPr>
              <w:spacing w:before="60" w:after="60" w:line="252" w:lineRule="auto"/>
              <w:jc w:val="left"/>
              <w:rPr>
                <w:rFonts w:eastAsia="Calibri"/>
                <w:highlight w:val="lightGray"/>
                <w:lang w:val="en-GB"/>
              </w:rPr>
            </w:pPr>
            <w:r w:rsidRPr="00A501D9">
              <w:rPr>
                <w:rFonts w:eastAsiaTheme="minorHAnsi"/>
                <w:color w:val="000000"/>
                <w:sz w:val="23"/>
                <w:szCs w:val="23"/>
                <w:lang w:val="en-GB"/>
              </w:rPr>
              <w:t>The implementation of the investment shall be completed by 30 June 2026.</w:t>
            </w:r>
          </w:p>
        </w:tc>
        <w:tc>
          <w:tcPr>
            <w:tcW w:w="1835" w:type="pct"/>
            <w:shd w:val="clear" w:color="auto" w:fill="auto"/>
          </w:tcPr>
          <w:p w14:paraId="34D1D0A4" w14:textId="77777777" w:rsidR="00DB00FD" w:rsidRPr="00A501D9" w:rsidRDefault="00DB00FD" w:rsidP="001E2158">
            <w:pPr>
              <w:autoSpaceDE w:val="0"/>
              <w:autoSpaceDN w:val="0"/>
              <w:adjustRightInd w:val="0"/>
              <w:spacing w:after="0" w:line="240" w:lineRule="auto"/>
              <w:jc w:val="left"/>
              <w:rPr>
                <w:rFonts w:eastAsiaTheme="minorHAnsi"/>
                <w:color w:val="000000"/>
                <w:sz w:val="23"/>
                <w:szCs w:val="23"/>
                <w:lang w:val="en-GB"/>
              </w:rPr>
            </w:pPr>
            <w:r w:rsidRPr="00A501D9">
              <w:rPr>
                <w:rFonts w:eastAsiaTheme="minorHAnsi"/>
                <w:color w:val="000000"/>
                <w:sz w:val="23"/>
                <w:szCs w:val="23"/>
                <w:lang w:val="en-GB"/>
              </w:rPr>
              <w:t xml:space="preserve">D1.1.1 Development and modernisation of the infrastructure of highly specialised care centres and other healthcare providers </w:t>
            </w:r>
          </w:p>
          <w:p w14:paraId="703DEF8E" w14:textId="77777777" w:rsidR="00DB00FD" w:rsidRPr="00A501D9" w:rsidRDefault="00DB00FD" w:rsidP="001E2158">
            <w:pPr>
              <w:autoSpaceDE w:val="0"/>
              <w:autoSpaceDN w:val="0"/>
              <w:adjustRightInd w:val="0"/>
              <w:spacing w:after="0" w:line="240" w:lineRule="auto"/>
              <w:jc w:val="left"/>
              <w:rPr>
                <w:rFonts w:eastAsiaTheme="minorHAnsi"/>
                <w:color w:val="000000"/>
                <w:sz w:val="23"/>
                <w:szCs w:val="23"/>
                <w:lang w:val="en-GB"/>
              </w:rPr>
            </w:pPr>
            <w:r w:rsidRPr="00A501D9">
              <w:rPr>
                <w:rFonts w:eastAsiaTheme="minorHAnsi"/>
                <w:color w:val="000000"/>
                <w:sz w:val="23"/>
                <w:szCs w:val="23"/>
                <w:lang w:val="en-GB"/>
              </w:rPr>
              <w:t xml:space="preserve">The objective of the investment is to support hospitals </w:t>
            </w:r>
            <w:r w:rsidRPr="00A501D9">
              <w:rPr>
                <w:rFonts w:eastAsiaTheme="minorHAnsi"/>
                <w:color w:val="FF0000"/>
                <w:sz w:val="23"/>
                <w:szCs w:val="23"/>
                <w:lang w:val="en-GB"/>
              </w:rPr>
              <w:t>and entities cooperating with them (</w:t>
            </w:r>
            <w:r w:rsidRPr="00A501D9">
              <w:rPr>
                <w:rStyle w:val="ui-provider"/>
                <w:color w:val="FF0000"/>
                <w:sz w:val="23"/>
                <w:szCs w:val="23"/>
                <w:lang w:val="en-GB"/>
              </w:rPr>
              <w:t>cooperation centres in NCN</w:t>
            </w:r>
            <w:r w:rsidRPr="00A501D9">
              <w:rPr>
                <w:rFonts w:eastAsiaTheme="minorHAnsi"/>
                <w:color w:val="FF0000"/>
                <w:sz w:val="23"/>
                <w:szCs w:val="23"/>
                <w:lang w:val="en-GB"/>
              </w:rPr>
              <w:t xml:space="preserve">) </w:t>
            </w:r>
            <w:r w:rsidRPr="00A501D9">
              <w:rPr>
                <w:rFonts w:eastAsiaTheme="minorHAnsi"/>
                <w:color w:val="000000"/>
                <w:sz w:val="23"/>
                <w:szCs w:val="23"/>
                <w:lang w:val="en-GB"/>
              </w:rPr>
              <w:t xml:space="preserve">with investment needs resulting from the reform processes, </w:t>
            </w:r>
            <w:r w:rsidRPr="00A501D9">
              <w:rPr>
                <w:rFonts w:eastAsiaTheme="minorHAnsi"/>
                <w:color w:val="FF0000"/>
                <w:sz w:val="23"/>
                <w:szCs w:val="23"/>
                <w:lang w:val="en-GB"/>
              </w:rPr>
              <w:t xml:space="preserve">such as </w:t>
            </w:r>
            <w:r w:rsidRPr="00A501D9">
              <w:rPr>
                <w:rFonts w:eastAsiaTheme="minorHAnsi"/>
                <w:color w:val="000000"/>
                <w:sz w:val="23"/>
                <w:szCs w:val="23"/>
                <w:lang w:val="en-GB"/>
              </w:rPr>
              <w:t>consolidation</w:t>
            </w:r>
            <w:r w:rsidRPr="00A501D9">
              <w:rPr>
                <w:rFonts w:eastAsiaTheme="minorHAnsi"/>
                <w:color w:val="FF0000"/>
                <w:sz w:val="23"/>
                <w:szCs w:val="23"/>
                <w:lang w:val="en-GB"/>
              </w:rPr>
              <w:t xml:space="preserve"> or </w:t>
            </w:r>
            <w:r w:rsidRPr="00A501D9">
              <w:rPr>
                <w:rFonts w:eastAsiaTheme="minorHAnsi"/>
                <w:color w:val="000000"/>
                <w:sz w:val="23"/>
                <w:szCs w:val="23"/>
                <w:lang w:val="en-GB"/>
              </w:rPr>
              <w:t xml:space="preserve">re-profiling. The due RRF investment intervention is to support hospitals </w:t>
            </w:r>
            <w:r w:rsidRPr="00A501D9">
              <w:rPr>
                <w:rFonts w:eastAsiaTheme="minorHAnsi"/>
                <w:color w:val="FF0000"/>
                <w:sz w:val="23"/>
                <w:szCs w:val="23"/>
                <w:lang w:val="en-GB"/>
              </w:rPr>
              <w:t>and entities cooperating with them (</w:t>
            </w:r>
            <w:r w:rsidRPr="00A501D9">
              <w:rPr>
                <w:rStyle w:val="ui-provider"/>
                <w:color w:val="FF0000"/>
                <w:sz w:val="23"/>
                <w:szCs w:val="23"/>
                <w:lang w:val="en-GB"/>
              </w:rPr>
              <w:t>cooperation centres in NCN</w:t>
            </w:r>
            <w:r w:rsidRPr="00A501D9">
              <w:rPr>
                <w:rFonts w:eastAsiaTheme="minorHAnsi"/>
                <w:color w:val="FF0000"/>
                <w:sz w:val="23"/>
                <w:szCs w:val="23"/>
                <w:lang w:val="en-GB"/>
              </w:rPr>
              <w:t xml:space="preserve">) </w:t>
            </w:r>
            <w:r w:rsidRPr="00A501D9">
              <w:rPr>
                <w:rFonts w:eastAsiaTheme="minorHAnsi"/>
                <w:color w:val="000000"/>
                <w:sz w:val="23"/>
                <w:szCs w:val="23"/>
                <w:lang w:val="en-GB"/>
              </w:rPr>
              <w:t xml:space="preserve">only where investment needs have been identified and as a result of the reform processes under reform D.1.1. Medical entities eligible for support shall consist of hospitals </w:t>
            </w:r>
            <w:r w:rsidRPr="00A501D9">
              <w:rPr>
                <w:rFonts w:eastAsiaTheme="minorHAnsi"/>
                <w:color w:val="FF0000"/>
                <w:sz w:val="23"/>
                <w:szCs w:val="23"/>
                <w:lang w:val="en-GB"/>
              </w:rPr>
              <w:t>and entities cooperating with them (</w:t>
            </w:r>
            <w:r w:rsidRPr="00A501D9">
              <w:rPr>
                <w:rStyle w:val="ui-provider"/>
                <w:color w:val="FF0000"/>
                <w:sz w:val="23"/>
                <w:szCs w:val="23"/>
                <w:lang w:val="en-GB"/>
              </w:rPr>
              <w:t>cooperation centres in NCN</w:t>
            </w:r>
            <w:r w:rsidRPr="00A501D9">
              <w:rPr>
                <w:rFonts w:eastAsiaTheme="minorHAnsi"/>
                <w:color w:val="FF0000"/>
                <w:sz w:val="23"/>
                <w:szCs w:val="23"/>
                <w:lang w:val="en-GB"/>
              </w:rPr>
              <w:t xml:space="preserve">) </w:t>
            </w:r>
            <w:r w:rsidRPr="00A501D9">
              <w:rPr>
                <w:rFonts w:eastAsiaTheme="minorHAnsi"/>
                <w:color w:val="000000"/>
                <w:sz w:val="23"/>
                <w:szCs w:val="23"/>
                <w:lang w:val="en-GB"/>
              </w:rPr>
              <w:t xml:space="preserve">within the meaning of the provisions of the Act on Medical Activity of 15 April 2011. The support shall cover only the scope of activities related to the provision of health services financed by the National Health Fund </w:t>
            </w:r>
            <w:r w:rsidRPr="00A501D9">
              <w:rPr>
                <w:rFonts w:eastAsiaTheme="minorHAnsi"/>
                <w:color w:val="FF0000"/>
                <w:sz w:val="23"/>
                <w:szCs w:val="23"/>
                <w:lang w:val="en-GB"/>
              </w:rPr>
              <w:t xml:space="preserve">within hospital care and ambulatory (outpatient) care, </w:t>
            </w:r>
            <w:r w:rsidRPr="00A501D9">
              <w:rPr>
                <w:rFonts w:eastAsiaTheme="minorHAnsi"/>
                <w:color w:val="000000"/>
                <w:sz w:val="23"/>
                <w:szCs w:val="23"/>
                <w:lang w:val="en-GB"/>
              </w:rPr>
              <w:t xml:space="preserve">and it shall not cover the commercial activities. The criteria for financial support shall be aligned with the reform’s key fields of intervention, including: i) coverage (such as population covered, benefits covered and timely access to care), ii) equity (such as equity in financing, equity in delivery and use and equity in health outcomes), iii) efficiency, including operational activity (efficiency in outcomes delivery, efficiency in collection of funds), iv) quality of care and v) availability of resources (such as human resources and financial resources). </w:t>
            </w:r>
          </w:p>
          <w:p w14:paraId="131BFB79" w14:textId="77777777" w:rsidR="00DB00FD" w:rsidRPr="00A501D9" w:rsidRDefault="00DB00FD" w:rsidP="001E2158">
            <w:pPr>
              <w:autoSpaceDE w:val="0"/>
              <w:autoSpaceDN w:val="0"/>
              <w:adjustRightInd w:val="0"/>
              <w:spacing w:after="0" w:line="240" w:lineRule="auto"/>
              <w:jc w:val="left"/>
              <w:rPr>
                <w:rFonts w:eastAsiaTheme="minorHAnsi"/>
                <w:color w:val="000000"/>
                <w:sz w:val="23"/>
                <w:szCs w:val="23"/>
                <w:lang w:val="en-GB"/>
              </w:rPr>
            </w:pPr>
            <w:r w:rsidRPr="00A501D9">
              <w:rPr>
                <w:rFonts w:eastAsiaTheme="minorHAnsi"/>
                <w:color w:val="000000"/>
                <w:sz w:val="23"/>
                <w:szCs w:val="23"/>
                <w:lang w:val="en-GB"/>
              </w:rPr>
              <w:t xml:space="preserve">The main investment project categories shall consist of investment in new medical equipment and infrastructure and construction works. </w:t>
            </w:r>
          </w:p>
          <w:p w14:paraId="338AFF30" w14:textId="77777777" w:rsidR="00DB00FD" w:rsidRPr="00A501D9" w:rsidRDefault="00DB00FD" w:rsidP="001E2158">
            <w:pPr>
              <w:spacing w:before="60" w:after="60" w:line="252" w:lineRule="auto"/>
              <w:jc w:val="left"/>
              <w:rPr>
                <w:rFonts w:eastAsia="Calibri"/>
                <w:highlight w:val="lightGray"/>
                <w:lang w:val="en-GB"/>
              </w:rPr>
            </w:pPr>
            <w:r w:rsidRPr="00A501D9">
              <w:rPr>
                <w:rFonts w:eastAsiaTheme="minorHAnsi"/>
                <w:color w:val="000000"/>
                <w:sz w:val="23"/>
                <w:szCs w:val="23"/>
                <w:lang w:val="en-GB"/>
              </w:rPr>
              <w:t>The implementation of the investment shall be completed by 30 June 2026.</w:t>
            </w:r>
          </w:p>
        </w:tc>
      </w:tr>
      <w:tr w:rsidR="00DB00FD" w:rsidRPr="00AF3A31" w14:paraId="10D642A4" w14:textId="77777777" w:rsidTr="00A501D9">
        <w:tc>
          <w:tcPr>
            <w:tcW w:w="1230" w:type="pct"/>
            <w:vMerge w:val="restart"/>
          </w:tcPr>
          <w:p w14:paraId="42D106AE" w14:textId="77777777" w:rsidR="00DB00FD" w:rsidRPr="008F19AE" w:rsidRDefault="00DB00FD" w:rsidP="001E2158">
            <w:pPr>
              <w:spacing w:before="60" w:after="60" w:line="252" w:lineRule="auto"/>
              <w:jc w:val="left"/>
              <w:rPr>
                <w:rFonts w:eastAsia="Calibri"/>
                <w:lang w:val="en-GB"/>
              </w:rPr>
            </w:pPr>
          </w:p>
        </w:tc>
        <w:tc>
          <w:tcPr>
            <w:tcW w:w="1935" w:type="pct"/>
          </w:tcPr>
          <w:p w14:paraId="67FA1BA6" w14:textId="77777777" w:rsidR="00DB00FD" w:rsidRDefault="00DB00FD" w:rsidP="001E2158">
            <w:pPr>
              <w:spacing w:before="60" w:after="60" w:line="240" w:lineRule="auto"/>
              <w:jc w:val="left"/>
              <w:rPr>
                <w:rFonts w:eastAsia="Calibri"/>
              </w:rPr>
            </w:pPr>
            <w:r w:rsidRPr="00AF3A31">
              <w:rPr>
                <w:rFonts w:eastAsia="Calibri"/>
              </w:rPr>
              <w:t xml:space="preserve">D9G </w:t>
            </w:r>
          </w:p>
          <w:p w14:paraId="0103925D" w14:textId="77777777" w:rsidR="00DB00FD" w:rsidRPr="00AF3A31" w:rsidRDefault="00DB00FD" w:rsidP="001E2158">
            <w:pPr>
              <w:spacing w:before="60" w:after="60" w:line="240" w:lineRule="auto"/>
              <w:jc w:val="left"/>
              <w:rPr>
                <w:rFonts w:eastAsia="Calibri"/>
              </w:rPr>
            </w:pPr>
            <w:r w:rsidRPr="00AF3A31">
              <w:rPr>
                <w:rFonts w:eastAsia="Calibri"/>
              </w:rPr>
              <w:t>Wejście w życie aktu prawnego w sprawie wykazu dokładnych kryteriów kwalifikujących szpitale do poszczególnych kategorii, aby pomóc w określeniu potrzeb inwestycyjnych wynikających z reformy</w:t>
            </w:r>
          </w:p>
          <w:p w14:paraId="0112B236" w14:textId="77777777" w:rsidR="00DB00FD" w:rsidRPr="00AF3A31" w:rsidRDefault="00DB00FD" w:rsidP="001E2158">
            <w:pPr>
              <w:spacing w:before="60" w:after="60" w:line="240" w:lineRule="auto"/>
              <w:jc w:val="left"/>
              <w:rPr>
                <w:rFonts w:eastAsia="Calibri"/>
              </w:rPr>
            </w:pPr>
            <w:r w:rsidRPr="00AF3A31">
              <w:rPr>
                <w:rFonts w:eastAsia="Calibri"/>
              </w:rPr>
              <w:t>Termin realizacji: IV kw. 2022</w:t>
            </w:r>
          </w:p>
          <w:p w14:paraId="454B6C7A" w14:textId="77777777" w:rsidR="00DB00FD" w:rsidRPr="00AF3A31" w:rsidRDefault="00DB00FD" w:rsidP="001E2158">
            <w:pPr>
              <w:spacing w:before="60" w:after="60" w:line="240" w:lineRule="auto"/>
              <w:jc w:val="left"/>
              <w:rPr>
                <w:rFonts w:eastAsia="Calibri"/>
              </w:rPr>
            </w:pPr>
          </w:p>
          <w:p w14:paraId="0A9D95CB" w14:textId="77777777" w:rsidR="00DB00FD" w:rsidRPr="00AF3A31" w:rsidRDefault="00DB00FD" w:rsidP="001E2158">
            <w:pPr>
              <w:spacing w:before="60" w:after="60" w:line="240" w:lineRule="auto"/>
              <w:jc w:val="left"/>
              <w:rPr>
                <w:rFonts w:eastAsia="Calibri"/>
              </w:rPr>
            </w:pPr>
            <w:r w:rsidRPr="00AF3A31">
              <w:rPr>
                <w:rFonts w:eastAsia="Calibri"/>
              </w:rPr>
              <w:t>Opis każdego kamienia milowego i każdej wartości docelowej:</w:t>
            </w:r>
          </w:p>
          <w:p w14:paraId="5A8847B7" w14:textId="77777777" w:rsidR="00DB00FD" w:rsidRPr="00AF3A31" w:rsidRDefault="00DB00FD" w:rsidP="001E2158">
            <w:pPr>
              <w:shd w:val="clear" w:color="auto" w:fill="FFFFFF"/>
              <w:spacing w:before="60" w:after="60" w:line="240" w:lineRule="auto"/>
              <w:jc w:val="left"/>
              <w:rPr>
                <w:rFonts w:eastAsia="Calibri"/>
              </w:rPr>
            </w:pPr>
            <w:r w:rsidRPr="00AF3A31">
              <w:rPr>
                <w:rFonts w:eastAsia="Calibri"/>
              </w:rPr>
              <w:t>Wejście w życie aktu prawnego ustalającego listę kryteriów, na podstawie których szpitale będą przydzielane do poszczególnych kategorii, co pozwoli określić potrzeby inwestycyjne wynikające z reformy modernizacji i poprawy efektywności szpitali.</w:t>
            </w:r>
          </w:p>
          <w:p w14:paraId="39340F72" w14:textId="77777777" w:rsidR="00DB00FD" w:rsidRPr="00AF3A31" w:rsidRDefault="00DB00FD" w:rsidP="001E2158">
            <w:pPr>
              <w:shd w:val="clear" w:color="auto" w:fill="FFFFFF"/>
              <w:spacing w:before="60" w:after="60" w:line="240" w:lineRule="auto"/>
              <w:jc w:val="left"/>
              <w:rPr>
                <w:rFonts w:eastAsia="Calibri"/>
              </w:rPr>
            </w:pPr>
            <w:r w:rsidRPr="00AF3A31">
              <w:rPr>
                <w:rFonts w:eastAsia="Calibri"/>
              </w:rPr>
              <w:t xml:space="preserve">Kryteria kategoryzacji opierają się na: </w:t>
            </w:r>
          </w:p>
          <w:p w14:paraId="1D416BB2" w14:textId="77777777" w:rsidR="00DB00FD" w:rsidRPr="00AF3A31" w:rsidRDefault="00DB00FD" w:rsidP="001E2158">
            <w:pPr>
              <w:shd w:val="clear" w:color="auto" w:fill="FFFFFF"/>
              <w:spacing w:before="60" w:after="60" w:line="240" w:lineRule="auto"/>
              <w:jc w:val="left"/>
              <w:rPr>
                <w:rFonts w:eastAsia="Calibri"/>
              </w:rPr>
            </w:pPr>
            <w:r w:rsidRPr="00AF3A31">
              <w:rPr>
                <w:rFonts w:eastAsia="Calibri"/>
              </w:rPr>
              <w:t>- zasięgu ( jak objęta populacja, objęte świadczenia, terminowość dostępu do opieki);</w:t>
            </w:r>
          </w:p>
          <w:p w14:paraId="71CD58FD" w14:textId="77777777" w:rsidR="00DB00FD" w:rsidRPr="00AF3A31" w:rsidRDefault="00DB00FD" w:rsidP="001E2158">
            <w:pPr>
              <w:shd w:val="clear" w:color="auto" w:fill="FFFFFF"/>
              <w:spacing w:before="60" w:after="60" w:line="240" w:lineRule="auto"/>
              <w:jc w:val="left"/>
              <w:rPr>
                <w:rFonts w:eastAsia="Calibri"/>
              </w:rPr>
            </w:pPr>
            <w:r w:rsidRPr="00AF3A31">
              <w:rPr>
                <w:rFonts w:eastAsia="Calibri"/>
              </w:rPr>
              <w:t>- słuszności (np. słuszność w finansowaniu, słuszność w dostarczaniu i korzystaniu, słuszność w wynikach leczenia);</w:t>
            </w:r>
          </w:p>
          <w:p w14:paraId="6DDBCD21" w14:textId="77777777" w:rsidR="00DB00FD" w:rsidRPr="00AF3A31" w:rsidRDefault="00DB00FD" w:rsidP="001E2158">
            <w:pPr>
              <w:shd w:val="clear" w:color="auto" w:fill="FFFFFF"/>
              <w:spacing w:before="60" w:after="60" w:line="240" w:lineRule="auto"/>
              <w:jc w:val="left"/>
              <w:rPr>
                <w:rFonts w:eastAsia="Calibri"/>
              </w:rPr>
            </w:pPr>
            <w:r w:rsidRPr="00AF3A31">
              <w:rPr>
                <w:rFonts w:eastAsia="Calibri"/>
              </w:rPr>
              <w:t>- skuteczności, w tym działalność operacyjna (skuteczność w osiąganiu wyników; skuteczność w gromadzeniu środków);</w:t>
            </w:r>
          </w:p>
          <w:p w14:paraId="2459687F" w14:textId="77777777" w:rsidR="00DB00FD" w:rsidRPr="00AF3A31" w:rsidRDefault="00DB00FD" w:rsidP="001E2158">
            <w:pPr>
              <w:shd w:val="clear" w:color="auto" w:fill="FFFFFF"/>
              <w:spacing w:before="60" w:after="60" w:line="240" w:lineRule="auto"/>
              <w:jc w:val="left"/>
              <w:rPr>
                <w:rFonts w:eastAsia="Calibri"/>
              </w:rPr>
            </w:pPr>
            <w:r w:rsidRPr="00AF3A31">
              <w:rPr>
                <w:rFonts w:eastAsia="Calibri"/>
              </w:rPr>
              <w:t xml:space="preserve">- jakości opieki; </w:t>
            </w:r>
          </w:p>
          <w:p w14:paraId="150A8D35" w14:textId="77777777" w:rsidR="00DB00FD" w:rsidRPr="00AF3A31" w:rsidRDefault="00DB00FD" w:rsidP="001E2158">
            <w:pPr>
              <w:shd w:val="clear" w:color="auto" w:fill="FFFFFF"/>
              <w:spacing w:before="60" w:after="60" w:line="240" w:lineRule="auto"/>
              <w:jc w:val="left"/>
              <w:rPr>
                <w:rFonts w:eastAsia="Calibri"/>
              </w:rPr>
            </w:pPr>
            <w:r w:rsidRPr="00AF3A31">
              <w:rPr>
                <w:rFonts w:eastAsia="Calibri"/>
              </w:rPr>
              <w:t>- dostępności zasobów (takich jak: zasoby ludzkie; zasoby finansowe).</w:t>
            </w:r>
          </w:p>
        </w:tc>
        <w:tc>
          <w:tcPr>
            <w:tcW w:w="1835" w:type="pct"/>
          </w:tcPr>
          <w:p w14:paraId="50D7DF27" w14:textId="77777777" w:rsidR="00DB00FD" w:rsidRPr="00AF3A31" w:rsidRDefault="00DB00FD" w:rsidP="001E2158">
            <w:pPr>
              <w:spacing w:before="60" w:after="60" w:line="240" w:lineRule="auto"/>
              <w:jc w:val="left"/>
              <w:rPr>
                <w:rFonts w:eastAsia="Calibri"/>
                <w:color w:val="FF0000"/>
              </w:rPr>
            </w:pPr>
            <w:r w:rsidRPr="00AF3A31">
              <w:rPr>
                <w:rFonts w:eastAsia="Calibri"/>
                <w:color w:val="FF0000"/>
              </w:rPr>
              <w:t>D9G</w:t>
            </w:r>
          </w:p>
          <w:p w14:paraId="0498BE27" w14:textId="77777777" w:rsidR="00DB00FD" w:rsidRPr="00AF3A31" w:rsidRDefault="00DB00FD" w:rsidP="001E2158">
            <w:pPr>
              <w:spacing w:before="60" w:after="60" w:line="240" w:lineRule="auto"/>
              <w:jc w:val="left"/>
              <w:rPr>
                <w:rFonts w:eastAsia="Calibri"/>
                <w:color w:val="FF0000"/>
              </w:rPr>
            </w:pPr>
            <w:r w:rsidRPr="00AF3A31">
              <w:rPr>
                <w:rFonts w:eastAsia="Calibri"/>
                <w:color w:val="FF0000"/>
              </w:rPr>
              <w:t>Wejście w życie aktu prawnego w sprawie wykazu dokładnych kryteriów kwalifikujących szpitale do poszczególnych poziomów zabezpieczenia opieki onkologicznej Krajowej Sieci Onkologicznej</w:t>
            </w:r>
          </w:p>
          <w:p w14:paraId="72C38F9E" w14:textId="77777777" w:rsidR="00DB00FD" w:rsidRPr="00AF3A31" w:rsidRDefault="00DB00FD" w:rsidP="001E2158">
            <w:pPr>
              <w:spacing w:before="60" w:after="60" w:line="240" w:lineRule="auto"/>
              <w:jc w:val="left"/>
              <w:rPr>
                <w:rFonts w:eastAsia="Calibri"/>
                <w:color w:val="FF0000"/>
              </w:rPr>
            </w:pPr>
            <w:r w:rsidRPr="00AF3A31">
              <w:rPr>
                <w:rFonts w:eastAsia="Calibri"/>
                <w:color w:val="FF0000"/>
              </w:rPr>
              <w:t>Termin realizacji: II kw. 2024</w:t>
            </w:r>
          </w:p>
          <w:p w14:paraId="5A2F17F1" w14:textId="77777777" w:rsidR="00A501D9" w:rsidRPr="00AF3A31" w:rsidRDefault="00A501D9" w:rsidP="001E2158">
            <w:pPr>
              <w:spacing w:before="60" w:after="60" w:line="240" w:lineRule="auto"/>
              <w:jc w:val="left"/>
              <w:rPr>
                <w:rFonts w:eastAsia="Calibri"/>
                <w:color w:val="FF0000"/>
              </w:rPr>
            </w:pPr>
          </w:p>
          <w:p w14:paraId="4BBD6638" w14:textId="77777777" w:rsidR="00DB00FD" w:rsidRPr="00AF3A31" w:rsidRDefault="00DB00FD" w:rsidP="001E2158">
            <w:pPr>
              <w:spacing w:before="60" w:after="60" w:line="240" w:lineRule="auto"/>
              <w:jc w:val="left"/>
              <w:rPr>
                <w:rFonts w:eastAsia="Calibri"/>
              </w:rPr>
            </w:pPr>
            <w:r w:rsidRPr="00AF3A31">
              <w:rPr>
                <w:rFonts w:eastAsia="Calibri"/>
              </w:rPr>
              <w:t>Opis każdego kamienia milowego i każdej wartości docelowej:</w:t>
            </w:r>
          </w:p>
          <w:p w14:paraId="3C074C55" w14:textId="77777777" w:rsidR="00DB00FD" w:rsidRPr="00AF3A31" w:rsidRDefault="00DB00FD" w:rsidP="001E2158">
            <w:pPr>
              <w:spacing w:before="60" w:after="60" w:line="240" w:lineRule="auto"/>
              <w:jc w:val="left"/>
              <w:rPr>
                <w:rFonts w:eastAsia="Calibri"/>
                <w:color w:val="FF0000"/>
              </w:rPr>
            </w:pPr>
            <w:r w:rsidRPr="00AF3A31">
              <w:rPr>
                <w:rFonts w:eastAsia="Calibri"/>
                <w:color w:val="FF0000"/>
              </w:rPr>
              <w:t>D9G</w:t>
            </w:r>
          </w:p>
          <w:p w14:paraId="7F08387C" w14:textId="77777777" w:rsidR="00DB00FD" w:rsidRPr="00AF3A31" w:rsidRDefault="00DB00FD" w:rsidP="001E2158">
            <w:pPr>
              <w:spacing w:before="60" w:after="60" w:line="240" w:lineRule="auto"/>
              <w:jc w:val="left"/>
              <w:rPr>
                <w:rFonts w:eastAsia="Calibri"/>
                <w:color w:val="FF0000"/>
              </w:rPr>
            </w:pPr>
            <w:r w:rsidRPr="00AF3A31">
              <w:rPr>
                <w:rFonts w:eastAsia="Calibri"/>
                <w:color w:val="FF0000"/>
              </w:rPr>
              <w:t xml:space="preserve">Wejście w życie aktu prawnego ustalającego kryteria kwalifikujące szpitale do poszczególnych poziomów zabezpieczenia opieki onkologicznej Krajowej Sieci Onkologicznej, co pozwoli określić potrzeby inwestycyjne wynikające z reformy. </w:t>
            </w:r>
          </w:p>
          <w:p w14:paraId="796BE48E" w14:textId="77777777" w:rsidR="00DB00FD" w:rsidRPr="00AF3A31" w:rsidRDefault="00DB00FD" w:rsidP="001E2158">
            <w:pPr>
              <w:spacing w:before="60" w:after="60" w:line="240" w:lineRule="auto"/>
              <w:jc w:val="left"/>
              <w:rPr>
                <w:rFonts w:eastAsia="Calibri"/>
                <w:color w:val="FF0000"/>
              </w:rPr>
            </w:pPr>
            <w:r w:rsidRPr="00AF3A31">
              <w:rPr>
                <w:rFonts w:eastAsia="Calibri"/>
                <w:color w:val="FF0000"/>
              </w:rPr>
              <w:t xml:space="preserve">Kryteria kategoryzacji opierają się na: </w:t>
            </w:r>
          </w:p>
          <w:p w14:paraId="3B2C1100" w14:textId="77777777" w:rsidR="00DB00FD" w:rsidRPr="00AF3A31" w:rsidRDefault="00DB00FD" w:rsidP="001E2158">
            <w:pPr>
              <w:spacing w:before="60" w:after="60" w:line="240" w:lineRule="auto"/>
              <w:jc w:val="left"/>
              <w:rPr>
                <w:rFonts w:eastAsia="Calibri"/>
                <w:color w:val="FF0000"/>
              </w:rPr>
            </w:pPr>
            <w:r w:rsidRPr="00AF3A31">
              <w:rPr>
                <w:rFonts w:eastAsia="Calibri"/>
                <w:color w:val="FF0000"/>
              </w:rPr>
              <w:t>- zasięgu (jak objęta populacja, objęte świadczenia, terminowość dostępu do opieki);</w:t>
            </w:r>
          </w:p>
          <w:p w14:paraId="2494F8C1" w14:textId="77777777" w:rsidR="00DB00FD" w:rsidRPr="00AF3A31" w:rsidRDefault="00DB00FD" w:rsidP="001E2158">
            <w:pPr>
              <w:spacing w:before="60" w:after="60" w:line="240" w:lineRule="auto"/>
              <w:jc w:val="left"/>
              <w:rPr>
                <w:rFonts w:eastAsia="Calibri"/>
                <w:color w:val="FF0000"/>
              </w:rPr>
            </w:pPr>
            <w:r w:rsidRPr="00AF3A31">
              <w:rPr>
                <w:rFonts w:eastAsia="Calibri"/>
                <w:color w:val="FF0000"/>
              </w:rPr>
              <w:t>- słuszności (np. słuszność w finansowaniu, słuszność w dostarczaniu i korzystaniu, słuszność w wynikach leczenia);</w:t>
            </w:r>
          </w:p>
          <w:p w14:paraId="0217D018" w14:textId="77777777" w:rsidR="00DB00FD" w:rsidRPr="00AF3A31" w:rsidRDefault="00DB00FD" w:rsidP="001E2158">
            <w:pPr>
              <w:spacing w:before="60" w:after="60" w:line="240" w:lineRule="auto"/>
              <w:jc w:val="left"/>
              <w:rPr>
                <w:rFonts w:eastAsia="Calibri"/>
                <w:color w:val="FF0000"/>
              </w:rPr>
            </w:pPr>
            <w:r w:rsidRPr="00AF3A31">
              <w:rPr>
                <w:rFonts w:eastAsia="Calibri"/>
                <w:color w:val="FF0000"/>
              </w:rPr>
              <w:t>- skuteczności, w tym działalność operacyjna (skuteczność w osiąganiu wyników; skuteczność w gromadzeniu środków);</w:t>
            </w:r>
          </w:p>
          <w:p w14:paraId="6696E33C" w14:textId="77777777" w:rsidR="00DB00FD" w:rsidRPr="00AF3A31" w:rsidRDefault="00DB00FD" w:rsidP="001E2158">
            <w:pPr>
              <w:spacing w:before="60" w:after="60" w:line="240" w:lineRule="auto"/>
              <w:jc w:val="left"/>
              <w:rPr>
                <w:rFonts w:eastAsia="Calibri"/>
                <w:color w:val="FF0000"/>
              </w:rPr>
            </w:pPr>
            <w:r w:rsidRPr="00AF3A31">
              <w:rPr>
                <w:rFonts w:eastAsia="Calibri"/>
                <w:color w:val="FF0000"/>
              </w:rPr>
              <w:lastRenderedPageBreak/>
              <w:t xml:space="preserve">- jakości opieki; </w:t>
            </w:r>
          </w:p>
          <w:p w14:paraId="41D483EF" w14:textId="7D21B0E2" w:rsidR="00DB00FD" w:rsidRPr="00AF3A31" w:rsidRDefault="00DB00FD" w:rsidP="001E2158">
            <w:pPr>
              <w:spacing w:before="60" w:after="60" w:line="240" w:lineRule="auto"/>
              <w:jc w:val="left"/>
              <w:rPr>
                <w:rFonts w:eastAsia="Calibri"/>
                <w:color w:val="FF0000"/>
              </w:rPr>
            </w:pPr>
            <w:r w:rsidRPr="00AF3A31">
              <w:rPr>
                <w:rFonts w:eastAsia="Calibri"/>
                <w:color w:val="FF0000"/>
              </w:rPr>
              <w:t>- dostępności zasobów (takich jak: zasoby ludzkie; zasoby finansowe).</w:t>
            </w:r>
          </w:p>
        </w:tc>
      </w:tr>
      <w:tr w:rsidR="00DB00FD" w:rsidRPr="00935797" w14:paraId="30BAF7A6" w14:textId="77777777" w:rsidTr="00A501D9">
        <w:tc>
          <w:tcPr>
            <w:tcW w:w="1230" w:type="pct"/>
            <w:vMerge/>
          </w:tcPr>
          <w:p w14:paraId="06C746C1" w14:textId="77777777" w:rsidR="00DB00FD" w:rsidRPr="00AF3A31" w:rsidRDefault="00DB00FD" w:rsidP="001E2158">
            <w:pPr>
              <w:spacing w:before="60" w:after="60" w:line="252" w:lineRule="auto"/>
              <w:jc w:val="left"/>
              <w:rPr>
                <w:rFonts w:eastAsia="Calibri"/>
              </w:rPr>
            </w:pPr>
          </w:p>
        </w:tc>
        <w:tc>
          <w:tcPr>
            <w:tcW w:w="1935" w:type="pct"/>
          </w:tcPr>
          <w:p w14:paraId="25F1FDEE"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D9G</w:t>
            </w:r>
          </w:p>
          <w:p w14:paraId="4FA7668E"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Entry into force of a legal act on the list of precise criteria qualifying hospitals to specific categories to help define investment needs resulting from the reform</w:t>
            </w:r>
          </w:p>
          <w:p w14:paraId="64164048"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Implementation date: Q4 2022</w:t>
            </w:r>
          </w:p>
          <w:p w14:paraId="5EEC32B4" w14:textId="77777777" w:rsidR="00A501D9" w:rsidRDefault="00A501D9" w:rsidP="001E2158">
            <w:pPr>
              <w:spacing w:before="60" w:after="60" w:line="240" w:lineRule="auto"/>
              <w:jc w:val="left"/>
              <w:rPr>
                <w:rFonts w:eastAsia="Calibri"/>
                <w:lang w:val="en-GB"/>
              </w:rPr>
            </w:pPr>
          </w:p>
          <w:p w14:paraId="44ACFD2C" w14:textId="108BD161" w:rsidR="00DB00FD" w:rsidRPr="00AF3A31" w:rsidRDefault="00DB00FD" w:rsidP="001E2158">
            <w:pPr>
              <w:spacing w:before="60" w:after="60" w:line="240" w:lineRule="auto"/>
              <w:jc w:val="left"/>
              <w:rPr>
                <w:rFonts w:eastAsia="Calibri"/>
                <w:lang w:val="en-GB"/>
              </w:rPr>
            </w:pPr>
            <w:r w:rsidRPr="00AF3A31">
              <w:rPr>
                <w:rFonts w:eastAsia="Calibri"/>
                <w:lang w:val="en-GB"/>
              </w:rPr>
              <w:t xml:space="preserve">Description of each milestone and target: </w:t>
            </w:r>
          </w:p>
          <w:p w14:paraId="3B7953DB"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 xml:space="preserve">Entry into force of a legal act that shall establish the list of criteria on the basis of which hospitals shall be assigned to specific categories. These categories shall help define investment needs resulting from the hospitals modernisation and efficiency improving reform. The categorisation criteria shall be based on: </w:t>
            </w:r>
          </w:p>
          <w:p w14:paraId="3892CE5A"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 coverage (such as the population covered; benefits covered; need for timely access to care);</w:t>
            </w:r>
          </w:p>
          <w:p w14:paraId="73032BB5"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 equity (such as equity in financing; equity in delivery and use; equity in health outcomes); - efficiency, including operational activity (efficiency in outcomes delivery; efficiency in collection of funds); - quality of care; and - availability of resources (such as human resources and financial resources).</w:t>
            </w:r>
          </w:p>
        </w:tc>
        <w:tc>
          <w:tcPr>
            <w:tcW w:w="1835" w:type="pct"/>
          </w:tcPr>
          <w:p w14:paraId="5BB0B6DD" w14:textId="77777777" w:rsidR="00DB00FD" w:rsidRDefault="00DB00FD" w:rsidP="001E2158">
            <w:pPr>
              <w:spacing w:line="240" w:lineRule="auto"/>
              <w:jc w:val="left"/>
              <w:rPr>
                <w:rFonts w:eastAsia="Calibri"/>
                <w:lang w:val="en-US"/>
              </w:rPr>
            </w:pPr>
            <w:r w:rsidRPr="00AF3A31">
              <w:rPr>
                <w:rFonts w:eastAsia="Calibri"/>
                <w:lang w:val="en-US"/>
              </w:rPr>
              <w:t xml:space="preserve">D9G </w:t>
            </w:r>
          </w:p>
          <w:p w14:paraId="25641CB8" w14:textId="77777777" w:rsidR="00DB00FD" w:rsidRPr="00AF3A31" w:rsidRDefault="00DB00FD" w:rsidP="001E2158">
            <w:pPr>
              <w:spacing w:line="240" w:lineRule="auto"/>
              <w:jc w:val="left"/>
              <w:rPr>
                <w:rFonts w:eastAsia="Calibri"/>
                <w:color w:val="FF0000"/>
                <w:lang w:val="en-US"/>
              </w:rPr>
            </w:pPr>
            <w:r w:rsidRPr="00AF3A31">
              <w:rPr>
                <w:rFonts w:eastAsia="Calibri"/>
                <w:color w:val="FF0000"/>
                <w:lang w:val="en-US"/>
              </w:rPr>
              <w:t>Entry into force of an act on a list of precise criteria for qualifying hospitals for each level of oncology care security of the National Oncology Network</w:t>
            </w:r>
          </w:p>
          <w:p w14:paraId="0CAE8FEB" w14:textId="77777777" w:rsidR="00DB00FD" w:rsidRPr="00AF3A31" w:rsidRDefault="00DB00FD" w:rsidP="001E2158">
            <w:pPr>
              <w:spacing w:line="240" w:lineRule="auto"/>
              <w:jc w:val="left"/>
              <w:rPr>
                <w:rFonts w:eastAsia="Calibri"/>
                <w:color w:val="FF0000"/>
                <w:lang w:val="en-GB"/>
              </w:rPr>
            </w:pPr>
            <w:r w:rsidRPr="00AF3A31">
              <w:rPr>
                <w:rFonts w:eastAsia="Calibri"/>
                <w:lang w:val="en-GB"/>
              </w:rPr>
              <w:t xml:space="preserve">Implementation date: </w:t>
            </w:r>
            <w:r w:rsidRPr="00AF3A31">
              <w:rPr>
                <w:rFonts w:eastAsia="Calibri"/>
                <w:color w:val="FF0000"/>
                <w:lang w:val="en-GB"/>
              </w:rPr>
              <w:t>Q2 2024</w:t>
            </w:r>
          </w:p>
          <w:p w14:paraId="1FD3F261"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 xml:space="preserve">Description of each milestone and target: </w:t>
            </w:r>
          </w:p>
          <w:p w14:paraId="082AF066" w14:textId="77777777" w:rsidR="00DB00FD" w:rsidRPr="00AF3A31" w:rsidRDefault="00DB00FD" w:rsidP="001E2158">
            <w:pPr>
              <w:spacing w:before="60" w:after="60" w:line="240" w:lineRule="auto"/>
              <w:jc w:val="left"/>
              <w:rPr>
                <w:rFonts w:eastAsia="Calibri"/>
                <w:color w:val="FF0000"/>
                <w:lang w:val="en-GB"/>
              </w:rPr>
            </w:pPr>
            <w:r w:rsidRPr="00AF3A31">
              <w:rPr>
                <w:rFonts w:eastAsia="Calibri"/>
                <w:color w:val="FF0000"/>
                <w:lang w:val="en-GB"/>
              </w:rPr>
              <w:t xml:space="preserve">Entry into force of a legal act by the Minster of Health on a list of precise criteria for qualifying hospitals into different levels of the Oncological Network to help identify investment needs arising from the reform. </w:t>
            </w:r>
          </w:p>
          <w:p w14:paraId="72553EF6" w14:textId="77777777" w:rsidR="00DB00FD" w:rsidRPr="00AF3A31" w:rsidRDefault="00DB00FD" w:rsidP="001E2158">
            <w:pPr>
              <w:spacing w:before="60" w:after="60" w:line="240" w:lineRule="auto"/>
              <w:jc w:val="left"/>
              <w:rPr>
                <w:rFonts w:eastAsia="Calibri"/>
                <w:color w:val="FF0000"/>
                <w:lang w:val="en-GB"/>
              </w:rPr>
            </w:pPr>
            <w:r w:rsidRPr="00AF3A31">
              <w:rPr>
                <w:rFonts w:eastAsia="Calibri"/>
                <w:color w:val="FF0000"/>
                <w:lang w:val="en-GB"/>
              </w:rPr>
              <w:t xml:space="preserve">The categorization criteria are based on: </w:t>
            </w:r>
          </w:p>
          <w:p w14:paraId="4B5D4F43" w14:textId="77777777" w:rsidR="00DB00FD" w:rsidRPr="00AF3A31" w:rsidRDefault="00DB00FD" w:rsidP="001E2158">
            <w:pPr>
              <w:spacing w:before="60" w:after="60" w:line="240" w:lineRule="auto"/>
              <w:jc w:val="left"/>
              <w:rPr>
                <w:rFonts w:eastAsia="Calibri"/>
                <w:color w:val="FF0000"/>
                <w:lang w:val="en-GB"/>
              </w:rPr>
            </w:pPr>
            <w:r w:rsidRPr="00AF3A31">
              <w:rPr>
                <w:rFonts w:eastAsia="Calibri"/>
                <w:color w:val="FF0000"/>
                <w:lang w:val="en-GB"/>
              </w:rPr>
              <w:t>- coverage (such as covered population, covered benefits, timeliness of access to care);</w:t>
            </w:r>
          </w:p>
          <w:p w14:paraId="55B6ACC2" w14:textId="77777777" w:rsidR="00DB00FD" w:rsidRPr="00AF3A31" w:rsidRDefault="00DB00FD" w:rsidP="001E2158">
            <w:pPr>
              <w:spacing w:before="60" w:after="60" w:line="240" w:lineRule="auto"/>
              <w:jc w:val="left"/>
              <w:rPr>
                <w:rFonts w:eastAsia="Calibri"/>
                <w:color w:val="FF0000"/>
                <w:lang w:val="en-GB"/>
              </w:rPr>
            </w:pPr>
            <w:r w:rsidRPr="00AF3A31">
              <w:rPr>
                <w:rFonts w:eastAsia="Calibri"/>
                <w:color w:val="FF0000"/>
                <w:lang w:val="en-GB"/>
              </w:rPr>
              <w:t>- equity (such as equity in funding, equity in delivery and use, equity in treatment outcomes);</w:t>
            </w:r>
          </w:p>
          <w:p w14:paraId="5C0E6C23" w14:textId="77777777" w:rsidR="00DB00FD" w:rsidRPr="00AF3A31" w:rsidRDefault="00DB00FD" w:rsidP="001E2158">
            <w:pPr>
              <w:spacing w:before="60" w:after="60" w:line="240" w:lineRule="auto"/>
              <w:jc w:val="left"/>
              <w:rPr>
                <w:rFonts w:eastAsia="Calibri"/>
                <w:color w:val="FF0000"/>
                <w:lang w:val="en-GB"/>
              </w:rPr>
            </w:pPr>
            <w:r w:rsidRPr="00AF3A31">
              <w:rPr>
                <w:rFonts w:eastAsia="Calibri"/>
                <w:color w:val="FF0000"/>
                <w:lang w:val="en-GB"/>
              </w:rPr>
              <w:t>- efficiency, including operations (efficiency in achieving results; efficiency in collecting resources);</w:t>
            </w:r>
          </w:p>
          <w:p w14:paraId="30575681" w14:textId="77777777" w:rsidR="00DB00FD" w:rsidRPr="00AF3A31" w:rsidRDefault="00DB00FD" w:rsidP="001E2158">
            <w:pPr>
              <w:spacing w:before="60" w:after="60" w:line="240" w:lineRule="auto"/>
              <w:jc w:val="left"/>
              <w:rPr>
                <w:rFonts w:eastAsia="Calibri"/>
                <w:color w:val="FF0000"/>
                <w:lang w:val="en-GB"/>
              </w:rPr>
            </w:pPr>
            <w:r w:rsidRPr="00AF3A31">
              <w:rPr>
                <w:rFonts w:eastAsia="Calibri"/>
                <w:color w:val="FF0000"/>
                <w:lang w:val="en-GB"/>
              </w:rPr>
              <w:t xml:space="preserve">- quality of care; </w:t>
            </w:r>
          </w:p>
          <w:p w14:paraId="219E59E6" w14:textId="77777777" w:rsidR="00DB00FD" w:rsidRPr="00AF3A31" w:rsidRDefault="00DB00FD" w:rsidP="001E2158">
            <w:pPr>
              <w:spacing w:before="60" w:after="60" w:line="240" w:lineRule="auto"/>
              <w:jc w:val="left"/>
              <w:rPr>
                <w:rFonts w:eastAsia="Calibri"/>
                <w:color w:val="FF0000"/>
                <w:lang w:val="en-GB"/>
              </w:rPr>
            </w:pPr>
            <w:r w:rsidRPr="00AF3A31">
              <w:rPr>
                <w:rFonts w:eastAsia="Calibri"/>
                <w:color w:val="FF0000"/>
                <w:lang w:val="en-GB"/>
              </w:rPr>
              <w:t>- availability of resources (such as human resources; financial resources).</w:t>
            </w:r>
          </w:p>
          <w:p w14:paraId="52EB8786" w14:textId="77777777" w:rsidR="00DB00FD" w:rsidRPr="00AF3A31" w:rsidRDefault="00DB00FD" w:rsidP="001E2158">
            <w:pPr>
              <w:spacing w:before="60" w:after="60" w:line="240" w:lineRule="auto"/>
              <w:jc w:val="left"/>
              <w:rPr>
                <w:rFonts w:eastAsia="Calibri"/>
                <w:color w:val="FF0000"/>
                <w:lang w:val="en-US"/>
              </w:rPr>
            </w:pPr>
          </w:p>
        </w:tc>
      </w:tr>
      <w:tr w:rsidR="00DB00FD" w:rsidRPr="00AF3A31" w14:paraId="1F06ECCB" w14:textId="77777777" w:rsidTr="00A501D9">
        <w:trPr>
          <w:trHeight w:val="300"/>
        </w:trPr>
        <w:tc>
          <w:tcPr>
            <w:tcW w:w="1230" w:type="pct"/>
            <w:tcBorders>
              <w:top w:val="single" w:sz="4" w:space="0" w:color="auto"/>
              <w:left w:val="single" w:sz="4" w:space="0" w:color="auto"/>
              <w:bottom w:val="single" w:sz="4" w:space="0" w:color="auto"/>
              <w:right w:val="single" w:sz="4" w:space="0" w:color="auto"/>
            </w:tcBorders>
          </w:tcPr>
          <w:p w14:paraId="0FBB583A" w14:textId="77777777" w:rsidR="00DB00FD" w:rsidRPr="00AF3A31" w:rsidRDefault="00DB00FD" w:rsidP="001E2158">
            <w:pPr>
              <w:spacing w:before="60" w:after="60" w:line="252" w:lineRule="auto"/>
              <w:jc w:val="left"/>
              <w:rPr>
                <w:rFonts w:eastAsia="Calibri"/>
                <w:lang w:val="en-GB"/>
              </w:rPr>
            </w:pPr>
          </w:p>
        </w:tc>
        <w:tc>
          <w:tcPr>
            <w:tcW w:w="1935" w:type="pct"/>
            <w:tcBorders>
              <w:top w:val="single" w:sz="4" w:space="0" w:color="auto"/>
              <w:left w:val="single" w:sz="4" w:space="0" w:color="auto"/>
              <w:bottom w:val="single" w:sz="4" w:space="0" w:color="auto"/>
              <w:right w:val="single" w:sz="4" w:space="0" w:color="auto"/>
            </w:tcBorders>
          </w:tcPr>
          <w:p w14:paraId="21345009" w14:textId="77777777" w:rsidR="00DB00FD" w:rsidRPr="00AF3A31" w:rsidRDefault="00DB00FD" w:rsidP="001E2158">
            <w:pPr>
              <w:spacing w:after="120" w:line="240" w:lineRule="auto"/>
              <w:jc w:val="left"/>
              <w:rPr>
                <w:rFonts w:eastAsia="Calibri"/>
              </w:rPr>
            </w:pPr>
            <w:r w:rsidRPr="00AF3A31">
              <w:rPr>
                <w:rFonts w:eastAsia="Calibri"/>
              </w:rPr>
              <w:t xml:space="preserve">D10G </w:t>
            </w:r>
          </w:p>
          <w:p w14:paraId="6EEF2E20" w14:textId="77777777" w:rsidR="00DB00FD" w:rsidRPr="00AF3A31" w:rsidRDefault="00DB00FD" w:rsidP="001E2158">
            <w:pPr>
              <w:spacing w:after="120" w:line="240" w:lineRule="auto"/>
              <w:jc w:val="left"/>
              <w:rPr>
                <w:rFonts w:eastAsia="Calibri"/>
              </w:rPr>
            </w:pPr>
            <w:r w:rsidRPr="00AF3A31">
              <w:rPr>
                <w:rFonts w:eastAsia="Calibri"/>
              </w:rPr>
              <w:t>Pierwszy nabór wniosków dla szpitali ubiegających się o dofinansowanie</w:t>
            </w:r>
          </w:p>
          <w:p w14:paraId="68C97F0E" w14:textId="77777777" w:rsidR="00DB00FD" w:rsidRPr="00AF3A31" w:rsidRDefault="00DB00FD" w:rsidP="001E2158">
            <w:pPr>
              <w:spacing w:after="120" w:line="240" w:lineRule="auto"/>
              <w:jc w:val="left"/>
              <w:rPr>
                <w:rFonts w:eastAsia="Calibri"/>
              </w:rPr>
            </w:pPr>
            <w:r w:rsidRPr="00AF3A31">
              <w:rPr>
                <w:rFonts w:eastAsia="Calibri"/>
              </w:rPr>
              <w:t>Termin realizacji: I kw. 2023</w:t>
            </w:r>
          </w:p>
          <w:p w14:paraId="151C18A0" w14:textId="77777777" w:rsidR="00DB00FD" w:rsidRPr="00AF3A31" w:rsidRDefault="00DB00FD" w:rsidP="001E2158">
            <w:pPr>
              <w:spacing w:after="120" w:line="240" w:lineRule="auto"/>
              <w:jc w:val="left"/>
              <w:rPr>
                <w:rFonts w:eastAsia="Calibri"/>
              </w:rPr>
            </w:pPr>
            <w:r w:rsidRPr="00AF3A31">
              <w:rPr>
                <w:rFonts w:eastAsia="Calibri"/>
              </w:rPr>
              <w:t>Opis każdego kamienia milowego i każdej wartości docelowej</w:t>
            </w:r>
          </w:p>
          <w:p w14:paraId="71E9721C" w14:textId="77777777" w:rsidR="00DB00FD" w:rsidRPr="00AF3A31" w:rsidRDefault="00DB00FD" w:rsidP="001E2158">
            <w:pPr>
              <w:spacing w:after="120" w:line="240" w:lineRule="auto"/>
              <w:jc w:val="left"/>
              <w:rPr>
                <w:rFonts w:eastAsia="Calibri"/>
              </w:rPr>
            </w:pPr>
            <w:r w:rsidRPr="00AF3A31">
              <w:rPr>
                <w:rFonts w:eastAsia="Calibri"/>
              </w:rPr>
              <w:t>Uruchomiony zostanie pierwszy nabór wniosków dla szpitali na zakup lub modernizację sprzętu lub infrastruktury. To zaproszenie i wszystkie kolejne zaproszenia opierają się na kryteriach kategoryzacji oraz jasnych i przejrzystych procedurach.</w:t>
            </w:r>
          </w:p>
          <w:p w14:paraId="23CBA106" w14:textId="77777777" w:rsidR="00DB00FD" w:rsidRPr="00AF3A31" w:rsidRDefault="00DB00FD" w:rsidP="001E2158">
            <w:pPr>
              <w:spacing w:after="120" w:line="240" w:lineRule="auto"/>
              <w:jc w:val="left"/>
              <w:rPr>
                <w:rFonts w:eastAsia="Calibri"/>
              </w:rPr>
            </w:pPr>
            <w:r w:rsidRPr="00AF3A31">
              <w:rPr>
                <w:rFonts w:eastAsia="Calibri"/>
              </w:rPr>
              <w:t>Rozbudowa sprzętu i infrastruktury medycznej przyczyni się do poprawy jakości opieki, dostępności zasobów oraz zapewnienia terminowego i kompleksowego dostępu do opieki szpitalnej.</w:t>
            </w:r>
          </w:p>
          <w:p w14:paraId="55ED189A" w14:textId="77777777" w:rsidR="00DB00FD" w:rsidRPr="00AF3A31" w:rsidRDefault="00DB00FD" w:rsidP="001E2158">
            <w:pPr>
              <w:spacing w:after="120" w:line="240" w:lineRule="auto"/>
              <w:jc w:val="left"/>
              <w:rPr>
                <w:rFonts w:eastAsia="Calibri"/>
              </w:rPr>
            </w:pPr>
            <w:r w:rsidRPr="00AF3A31">
              <w:rPr>
                <w:rFonts w:eastAsia="Calibri"/>
              </w:rPr>
              <w:t>Wsparcie obejmie wyłącznie zakres działalności związanej ze udzielaniem świadczeń zdrowotnych finansowanych przez Narodowy Fundusz Zdrowia i nie obejmie działalności komercyjnej.</w:t>
            </w:r>
          </w:p>
        </w:tc>
        <w:tc>
          <w:tcPr>
            <w:tcW w:w="1835" w:type="pct"/>
            <w:tcBorders>
              <w:top w:val="single" w:sz="4" w:space="0" w:color="auto"/>
              <w:left w:val="single" w:sz="4" w:space="0" w:color="auto"/>
              <w:bottom w:val="single" w:sz="4" w:space="0" w:color="auto"/>
              <w:right w:val="single" w:sz="4" w:space="0" w:color="auto"/>
            </w:tcBorders>
          </w:tcPr>
          <w:p w14:paraId="03D5B958" w14:textId="77777777" w:rsidR="00DB00FD" w:rsidRPr="0056086B" w:rsidRDefault="00DB00FD" w:rsidP="001E2158">
            <w:pPr>
              <w:spacing w:after="120" w:line="240" w:lineRule="auto"/>
              <w:jc w:val="left"/>
              <w:rPr>
                <w:rFonts w:eastAsia="Calibri"/>
                <w:color w:val="FF0000"/>
                <w:sz w:val="23"/>
                <w:szCs w:val="23"/>
              </w:rPr>
            </w:pPr>
            <w:r w:rsidRPr="0056086B">
              <w:rPr>
                <w:rFonts w:eastAsia="Calibri"/>
                <w:color w:val="FF0000"/>
                <w:sz w:val="23"/>
                <w:szCs w:val="23"/>
              </w:rPr>
              <w:t xml:space="preserve">Realizacja kamienia będzie następować poprzez realizację 3 podkamieni </w:t>
            </w:r>
          </w:p>
          <w:p w14:paraId="39341FF0" w14:textId="77777777" w:rsidR="00DB00FD" w:rsidRPr="00AF3A31" w:rsidRDefault="00DB00FD" w:rsidP="001E2158">
            <w:pPr>
              <w:spacing w:after="120" w:line="240" w:lineRule="auto"/>
              <w:jc w:val="left"/>
              <w:rPr>
                <w:rFonts w:eastAsia="Calibri"/>
              </w:rPr>
            </w:pPr>
            <w:r w:rsidRPr="00AF3A31">
              <w:rPr>
                <w:rFonts w:eastAsia="Calibri"/>
              </w:rPr>
              <w:t>D10G</w:t>
            </w:r>
            <w:r w:rsidRPr="0056086B">
              <w:rPr>
                <w:rFonts w:eastAsia="Calibri"/>
                <w:color w:val="FF0000"/>
              </w:rPr>
              <w:t>a</w:t>
            </w:r>
            <w:r w:rsidRPr="00AF3A31">
              <w:rPr>
                <w:rFonts w:eastAsia="Calibri"/>
              </w:rPr>
              <w:t xml:space="preserve"> </w:t>
            </w:r>
          </w:p>
          <w:p w14:paraId="1FBA1228" w14:textId="77777777" w:rsidR="00DB00FD" w:rsidRPr="00AF3A31" w:rsidRDefault="00DB00FD" w:rsidP="001E2158">
            <w:pPr>
              <w:spacing w:after="120" w:line="240" w:lineRule="auto"/>
              <w:jc w:val="left"/>
              <w:rPr>
                <w:rFonts w:eastAsia="Calibri"/>
                <w:color w:val="FF0000"/>
              </w:rPr>
            </w:pPr>
            <w:r w:rsidRPr="00AF3A31">
              <w:rPr>
                <w:rFonts w:eastAsia="Calibri"/>
              </w:rPr>
              <w:t>Pierwszy nabór wniosków dla szpitali ubiegających się o dofinansowanie</w:t>
            </w:r>
          </w:p>
          <w:p w14:paraId="40574573" w14:textId="77777777" w:rsidR="00DB00FD" w:rsidRPr="00AF3A31" w:rsidRDefault="00DB00FD" w:rsidP="001E2158">
            <w:pPr>
              <w:spacing w:after="120" w:line="240" w:lineRule="auto"/>
              <w:jc w:val="left"/>
              <w:rPr>
                <w:rFonts w:eastAsia="Calibri"/>
                <w:color w:val="FF0000"/>
              </w:rPr>
            </w:pPr>
            <w:r w:rsidRPr="00AF3A31">
              <w:rPr>
                <w:rFonts w:eastAsia="Calibri"/>
              </w:rPr>
              <w:t xml:space="preserve">Termin realizacji: </w:t>
            </w:r>
            <w:r w:rsidRPr="00AF3A31">
              <w:rPr>
                <w:rFonts w:eastAsia="Calibri"/>
                <w:color w:val="FF0000"/>
              </w:rPr>
              <w:t>III kw. 2024</w:t>
            </w:r>
          </w:p>
          <w:p w14:paraId="6F101A1A" w14:textId="77777777" w:rsidR="00DB00FD" w:rsidRPr="00AF3A31" w:rsidRDefault="00DB00FD" w:rsidP="001E2158">
            <w:pPr>
              <w:spacing w:after="120" w:line="240" w:lineRule="auto"/>
              <w:jc w:val="left"/>
              <w:rPr>
                <w:rFonts w:eastAsia="Calibri"/>
              </w:rPr>
            </w:pPr>
            <w:r w:rsidRPr="00AF3A31">
              <w:rPr>
                <w:rFonts w:eastAsia="Calibri"/>
              </w:rPr>
              <w:t xml:space="preserve">Opis każdego kamienia milowego i każdej wartości docelowej </w:t>
            </w:r>
          </w:p>
          <w:p w14:paraId="57C642AB" w14:textId="77777777" w:rsidR="00DB00FD" w:rsidRPr="00AF3A31" w:rsidRDefault="00DB00FD" w:rsidP="001E2158">
            <w:pPr>
              <w:spacing w:after="120" w:line="240" w:lineRule="auto"/>
              <w:jc w:val="left"/>
              <w:rPr>
                <w:rFonts w:eastAsia="Calibri"/>
                <w:color w:val="FF0000"/>
              </w:rPr>
            </w:pPr>
            <w:r w:rsidRPr="00AF3A31">
              <w:rPr>
                <w:rFonts w:eastAsia="Calibri"/>
              </w:rPr>
              <w:t>Uruchomiony zostanie pierwszy nabór wniosków dla szpitali</w:t>
            </w:r>
            <w:r>
              <w:rPr>
                <w:rFonts w:eastAsia="Calibri"/>
              </w:rPr>
              <w:t xml:space="preserve"> </w:t>
            </w:r>
            <w:r w:rsidRPr="003E3CAA">
              <w:rPr>
                <w:rFonts w:eastAsia="Calibri"/>
                <w:color w:val="FF0000"/>
                <w:sz w:val="23"/>
                <w:szCs w:val="23"/>
              </w:rPr>
              <w:t>lub jednostek z nimi współpracujących (stanowiących ośrodki kooperacyjne w ramach KSO</w:t>
            </w:r>
            <w:r w:rsidRPr="009D1150">
              <w:rPr>
                <w:rFonts w:eastAsia="Calibri"/>
                <w:sz w:val="23"/>
                <w:szCs w:val="23"/>
              </w:rPr>
              <w:t>)</w:t>
            </w:r>
            <w:r w:rsidRPr="00AF3A31">
              <w:rPr>
                <w:rFonts w:eastAsia="Calibri"/>
              </w:rPr>
              <w:t xml:space="preserve"> na zakup lub modernizację sprzętu lub infrastruktury. To zaproszenie i wszystkie kolejne zaproszenia opierają się na kryteriach </w:t>
            </w:r>
            <w:r w:rsidRPr="00AF3A31">
              <w:rPr>
                <w:rFonts w:eastAsia="Calibri"/>
                <w:color w:val="FF0000"/>
              </w:rPr>
              <w:t>inwestycyjnych (vide D9G) oraz jasnych i przejrzystych procedurach.</w:t>
            </w:r>
          </w:p>
          <w:p w14:paraId="6BF87143" w14:textId="77777777" w:rsidR="00DB00FD" w:rsidRPr="00AF3A31" w:rsidRDefault="00DB00FD" w:rsidP="001E2158">
            <w:pPr>
              <w:spacing w:after="120" w:line="240" w:lineRule="auto"/>
              <w:jc w:val="left"/>
              <w:rPr>
                <w:rFonts w:eastAsia="Calibri"/>
              </w:rPr>
            </w:pPr>
            <w:r w:rsidRPr="009D1150">
              <w:rPr>
                <w:rFonts w:eastAsia="Calibri"/>
                <w:color w:val="FF0000"/>
                <w:sz w:val="23"/>
                <w:szCs w:val="23"/>
              </w:rPr>
              <w:t xml:space="preserve">Inwestycje w infrastrukturę </w:t>
            </w:r>
            <w:r w:rsidRPr="003E3CAA">
              <w:rPr>
                <w:rFonts w:eastAsia="Calibri"/>
                <w:color w:val="FF0000"/>
                <w:sz w:val="23"/>
                <w:szCs w:val="23"/>
              </w:rPr>
              <w:t>lub sprzęt medyczny lub niezbędne wyposażenie</w:t>
            </w:r>
            <w:r>
              <w:rPr>
                <w:rFonts w:eastAsia="Calibri"/>
                <w:color w:val="FF0000"/>
              </w:rPr>
              <w:t xml:space="preserve"> </w:t>
            </w:r>
            <w:r w:rsidRPr="009D1150">
              <w:rPr>
                <w:rFonts w:eastAsia="Calibri"/>
                <w:sz w:val="23"/>
                <w:szCs w:val="23"/>
              </w:rPr>
              <w:t xml:space="preserve">przyczynią się do poprawy jakości opieki, dostępności zasobów oraz zapewnienia terminowego i kompleksowego dostępu do opieki szpitalnej </w:t>
            </w:r>
            <w:r w:rsidRPr="009D1150">
              <w:rPr>
                <w:rFonts w:eastAsia="Calibri"/>
                <w:color w:val="FF0000"/>
                <w:sz w:val="23"/>
                <w:szCs w:val="23"/>
              </w:rPr>
              <w:t>i ambulatoryjnej opieki specjalistycznej.</w:t>
            </w:r>
          </w:p>
          <w:p w14:paraId="351DFAB2" w14:textId="77777777" w:rsidR="00DB00FD" w:rsidRDefault="00DB00FD" w:rsidP="001E2158">
            <w:pPr>
              <w:spacing w:after="120" w:line="240" w:lineRule="auto"/>
              <w:jc w:val="left"/>
              <w:rPr>
                <w:rFonts w:eastAsia="Calibri"/>
              </w:rPr>
            </w:pPr>
            <w:r w:rsidRPr="00AF3A31">
              <w:rPr>
                <w:rFonts w:eastAsia="Calibri"/>
              </w:rPr>
              <w:t>Wsparcie obejmie wyłącznie zakres działalności związanej z udzielaniem świadczeń zdrowotnych finansowanych przez Narodowy Fundusz Zdrowia</w:t>
            </w:r>
            <w:r w:rsidRPr="008F19AE">
              <w:rPr>
                <w:rFonts w:eastAsia="Calibri"/>
                <w:color w:val="FF0000"/>
              </w:rPr>
              <w:t xml:space="preserve">, w zakresie opieki szpitalnej lub ambulatoryjnej opieki specjalistycznej, </w:t>
            </w:r>
            <w:r w:rsidRPr="00AF3A31">
              <w:rPr>
                <w:rFonts w:eastAsia="Calibri"/>
              </w:rPr>
              <w:t>i nie obejmie działalności komercyjnej</w:t>
            </w:r>
            <w:r>
              <w:rPr>
                <w:rFonts w:eastAsia="Calibri"/>
              </w:rPr>
              <w:t>.</w:t>
            </w:r>
          </w:p>
          <w:p w14:paraId="5A27531B" w14:textId="77777777" w:rsidR="00DB00FD" w:rsidRPr="0056086B" w:rsidRDefault="00DB00FD" w:rsidP="001E2158">
            <w:pPr>
              <w:spacing w:after="120" w:line="240" w:lineRule="auto"/>
              <w:rPr>
                <w:color w:val="FF0000"/>
                <w:sz w:val="23"/>
                <w:szCs w:val="23"/>
              </w:rPr>
            </w:pPr>
            <w:r w:rsidRPr="0056086B">
              <w:rPr>
                <w:color w:val="FF0000"/>
                <w:sz w:val="23"/>
                <w:szCs w:val="23"/>
              </w:rPr>
              <w:t xml:space="preserve">D10Gb </w:t>
            </w:r>
          </w:p>
          <w:p w14:paraId="31AC27D9" w14:textId="77777777" w:rsidR="00DB00FD" w:rsidRDefault="00DB00FD" w:rsidP="001E2158">
            <w:pPr>
              <w:spacing w:after="120" w:line="240" w:lineRule="auto"/>
              <w:rPr>
                <w:color w:val="FF0000"/>
                <w:sz w:val="23"/>
                <w:szCs w:val="23"/>
              </w:rPr>
            </w:pPr>
            <w:r w:rsidRPr="0056086B">
              <w:rPr>
                <w:color w:val="FF0000"/>
                <w:sz w:val="23"/>
                <w:szCs w:val="23"/>
              </w:rPr>
              <w:t>Kolejny nabór wniosków dla szpitali ubiegających się o dofinansowanie</w:t>
            </w:r>
          </w:p>
          <w:p w14:paraId="34817F08" w14:textId="77777777" w:rsidR="00DB00FD" w:rsidRPr="0056086B" w:rsidRDefault="00DB00FD" w:rsidP="001E2158">
            <w:pPr>
              <w:spacing w:after="120" w:line="240" w:lineRule="auto"/>
              <w:jc w:val="left"/>
              <w:rPr>
                <w:rFonts w:eastAsia="Calibri"/>
                <w:color w:val="FF0000"/>
                <w:sz w:val="23"/>
                <w:szCs w:val="23"/>
              </w:rPr>
            </w:pPr>
            <w:r w:rsidRPr="0056086B">
              <w:rPr>
                <w:rFonts w:eastAsia="Calibri"/>
                <w:color w:val="FF0000"/>
                <w:sz w:val="23"/>
                <w:szCs w:val="23"/>
              </w:rPr>
              <w:t>Termin realizacji: I kw. 2025</w:t>
            </w:r>
          </w:p>
          <w:p w14:paraId="66F32F85" w14:textId="77777777" w:rsidR="00DB00FD" w:rsidRPr="0056086B" w:rsidRDefault="00DB00FD" w:rsidP="001E2158">
            <w:pPr>
              <w:spacing w:after="120" w:line="240" w:lineRule="auto"/>
              <w:jc w:val="left"/>
              <w:rPr>
                <w:rFonts w:eastAsia="Calibri"/>
                <w:color w:val="FF0000"/>
                <w:sz w:val="23"/>
                <w:szCs w:val="23"/>
              </w:rPr>
            </w:pPr>
            <w:r w:rsidRPr="0056086B">
              <w:rPr>
                <w:rFonts w:eastAsia="Calibri"/>
                <w:color w:val="FF0000"/>
                <w:sz w:val="23"/>
                <w:szCs w:val="23"/>
              </w:rPr>
              <w:t xml:space="preserve">Opis każdego kamienia milowego i każdej wartości docelowej </w:t>
            </w:r>
          </w:p>
          <w:p w14:paraId="1A72E473" w14:textId="77777777" w:rsidR="00DB00FD" w:rsidRPr="0056086B" w:rsidRDefault="00DB00FD" w:rsidP="001E2158">
            <w:pPr>
              <w:spacing w:after="120" w:line="240" w:lineRule="auto"/>
              <w:rPr>
                <w:color w:val="FF0000"/>
                <w:sz w:val="23"/>
                <w:szCs w:val="23"/>
              </w:rPr>
            </w:pPr>
            <w:r w:rsidRPr="0056086B">
              <w:rPr>
                <w:color w:val="FF0000"/>
                <w:sz w:val="23"/>
                <w:szCs w:val="23"/>
              </w:rPr>
              <w:t>Uruchomiony zostanie nabór wniosków dla szpitali na zakup lub modernizację sprzętu lub infrastruktury. Zaproszenie opiera się na kryteriach oraz jasnych i przejrzystych procedurach.</w:t>
            </w:r>
          </w:p>
          <w:p w14:paraId="44B2CF2B" w14:textId="77777777" w:rsidR="00DB00FD" w:rsidRPr="0056086B" w:rsidRDefault="00DB00FD" w:rsidP="001E2158">
            <w:pPr>
              <w:spacing w:before="60" w:after="60" w:line="240" w:lineRule="auto"/>
              <w:rPr>
                <w:color w:val="FF0000"/>
                <w:sz w:val="23"/>
                <w:szCs w:val="23"/>
              </w:rPr>
            </w:pPr>
            <w:r w:rsidRPr="0056086B">
              <w:rPr>
                <w:color w:val="FF0000"/>
                <w:sz w:val="23"/>
                <w:szCs w:val="23"/>
              </w:rPr>
              <w:t xml:space="preserve">Kryteria naboru opierają się na: </w:t>
            </w:r>
          </w:p>
          <w:p w14:paraId="1AC271BA" w14:textId="77777777" w:rsidR="00DB00FD" w:rsidRPr="0056086B" w:rsidRDefault="00DB00FD" w:rsidP="001E2158">
            <w:pPr>
              <w:spacing w:before="60" w:after="60" w:line="240" w:lineRule="auto"/>
              <w:rPr>
                <w:color w:val="FF0000"/>
                <w:sz w:val="23"/>
                <w:szCs w:val="23"/>
              </w:rPr>
            </w:pPr>
            <w:r w:rsidRPr="0056086B">
              <w:rPr>
                <w:color w:val="FF0000"/>
                <w:sz w:val="23"/>
                <w:szCs w:val="23"/>
              </w:rPr>
              <w:t>- zasięgu (np. objęta populacja, objęte świadczenia, terminowość dostępu do opieki);</w:t>
            </w:r>
          </w:p>
          <w:p w14:paraId="30919C87" w14:textId="77777777" w:rsidR="00DB00FD" w:rsidRPr="0056086B" w:rsidRDefault="00DB00FD" w:rsidP="001E2158">
            <w:pPr>
              <w:spacing w:before="60" w:after="60" w:line="240" w:lineRule="auto"/>
              <w:rPr>
                <w:color w:val="FF0000"/>
                <w:sz w:val="23"/>
                <w:szCs w:val="23"/>
              </w:rPr>
            </w:pPr>
            <w:r w:rsidRPr="0056086B">
              <w:rPr>
                <w:color w:val="FF0000"/>
                <w:sz w:val="23"/>
                <w:szCs w:val="23"/>
              </w:rPr>
              <w:t xml:space="preserve">- jakości opieki; </w:t>
            </w:r>
          </w:p>
          <w:p w14:paraId="615AA16F" w14:textId="266213A3" w:rsidR="00DB00FD" w:rsidRPr="00A501D9" w:rsidRDefault="00DB00FD" w:rsidP="00A501D9">
            <w:pPr>
              <w:spacing w:before="60" w:after="60" w:line="240" w:lineRule="auto"/>
              <w:rPr>
                <w:color w:val="FF0000"/>
                <w:sz w:val="23"/>
                <w:szCs w:val="23"/>
              </w:rPr>
            </w:pPr>
            <w:r w:rsidRPr="0056086B">
              <w:rPr>
                <w:color w:val="FF0000"/>
                <w:sz w:val="23"/>
                <w:szCs w:val="23"/>
              </w:rPr>
              <w:t>- dostępności zasobów (takich jak: zasoby ludzkie; zasoby finansowe).</w:t>
            </w:r>
          </w:p>
          <w:p w14:paraId="6CF0024D" w14:textId="77777777" w:rsidR="00DB00FD" w:rsidRPr="0056086B" w:rsidRDefault="00DB00FD" w:rsidP="001E2158">
            <w:pPr>
              <w:spacing w:after="120" w:line="240" w:lineRule="auto"/>
              <w:jc w:val="left"/>
              <w:rPr>
                <w:rFonts w:eastAsia="Calibri"/>
                <w:color w:val="FF0000"/>
                <w:sz w:val="23"/>
                <w:szCs w:val="23"/>
              </w:rPr>
            </w:pPr>
            <w:r w:rsidRPr="0056086B">
              <w:rPr>
                <w:rFonts w:eastAsia="Calibri"/>
                <w:color w:val="FF0000"/>
                <w:sz w:val="23"/>
                <w:szCs w:val="23"/>
              </w:rPr>
              <w:t>Inwestycje w infrastrukturę lub sprzęt medyczny lub niezbędne  wyposażenie</w:t>
            </w:r>
            <w:r w:rsidRPr="0056086B">
              <w:rPr>
                <w:rFonts w:eastAsia="Calibri"/>
                <w:i/>
                <w:iCs/>
                <w:color w:val="FF0000"/>
                <w:sz w:val="23"/>
                <w:szCs w:val="23"/>
              </w:rPr>
              <w:t xml:space="preserve"> </w:t>
            </w:r>
            <w:r w:rsidRPr="0056086B">
              <w:rPr>
                <w:rFonts w:eastAsia="Calibri"/>
                <w:color w:val="FF0000"/>
                <w:sz w:val="23"/>
                <w:szCs w:val="23"/>
              </w:rPr>
              <w:t xml:space="preserve">przyczynią się do poprawy jakości opieki, dostępności zasobów oraz zapewnienia </w:t>
            </w:r>
            <w:r w:rsidRPr="0056086B">
              <w:rPr>
                <w:rFonts w:eastAsia="Calibri"/>
                <w:color w:val="FF0000"/>
                <w:sz w:val="23"/>
                <w:szCs w:val="23"/>
              </w:rPr>
              <w:lastRenderedPageBreak/>
              <w:t>terminowego i kompleksowego dostępu do opieki szpitalnej.</w:t>
            </w:r>
          </w:p>
          <w:p w14:paraId="4F17A783" w14:textId="1B980B71" w:rsidR="00DB00FD" w:rsidRPr="0056086B" w:rsidRDefault="00DB00FD" w:rsidP="001E2158">
            <w:pPr>
              <w:spacing w:after="120" w:line="240" w:lineRule="auto"/>
              <w:rPr>
                <w:color w:val="FF0000"/>
                <w:sz w:val="23"/>
                <w:szCs w:val="23"/>
              </w:rPr>
            </w:pPr>
            <w:r w:rsidRPr="0056086B">
              <w:rPr>
                <w:rFonts w:eastAsia="Calibri"/>
                <w:color w:val="FF0000"/>
                <w:sz w:val="23"/>
                <w:szCs w:val="23"/>
              </w:rPr>
              <w:t>Wsparcie obejmie wyłącznie zakres działalności związanej ze udzielaniem świadczeń zdrowotnych finansowanych przez Narodowy Fundusz Zdrowia i nie obejmie działalności komercyjnej.</w:t>
            </w:r>
          </w:p>
          <w:p w14:paraId="59822228" w14:textId="77777777" w:rsidR="00DB00FD" w:rsidRPr="0056086B" w:rsidRDefault="00DB00FD" w:rsidP="001E2158">
            <w:pPr>
              <w:spacing w:after="120" w:line="240" w:lineRule="auto"/>
              <w:rPr>
                <w:color w:val="FF0000"/>
                <w:sz w:val="23"/>
                <w:szCs w:val="23"/>
              </w:rPr>
            </w:pPr>
            <w:r w:rsidRPr="0056086B">
              <w:rPr>
                <w:color w:val="FF0000"/>
                <w:sz w:val="23"/>
                <w:szCs w:val="23"/>
              </w:rPr>
              <w:t xml:space="preserve">D10Gc </w:t>
            </w:r>
          </w:p>
          <w:p w14:paraId="70654300" w14:textId="77777777" w:rsidR="00DB00FD" w:rsidRDefault="00DB00FD" w:rsidP="001E2158">
            <w:pPr>
              <w:spacing w:after="120" w:line="240" w:lineRule="auto"/>
              <w:rPr>
                <w:color w:val="FF0000"/>
                <w:sz w:val="23"/>
                <w:szCs w:val="23"/>
              </w:rPr>
            </w:pPr>
            <w:r w:rsidRPr="0056086B">
              <w:rPr>
                <w:color w:val="FF0000"/>
                <w:sz w:val="23"/>
                <w:szCs w:val="23"/>
              </w:rPr>
              <w:t>Kolejny nabór wniosków dla szpitali ubiegających się o dofinansowanie</w:t>
            </w:r>
          </w:p>
          <w:p w14:paraId="77C85B78" w14:textId="77777777" w:rsidR="00DB00FD" w:rsidRPr="00AA0548" w:rsidRDefault="00DB00FD" w:rsidP="001E2158">
            <w:pPr>
              <w:spacing w:after="120" w:line="240" w:lineRule="auto"/>
              <w:jc w:val="left"/>
              <w:rPr>
                <w:rFonts w:eastAsia="Calibri"/>
                <w:color w:val="FF0000"/>
                <w:sz w:val="23"/>
                <w:szCs w:val="23"/>
              </w:rPr>
            </w:pPr>
            <w:r w:rsidRPr="00AA0548">
              <w:rPr>
                <w:rFonts w:eastAsia="Calibri"/>
                <w:color w:val="FF0000"/>
                <w:sz w:val="23"/>
                <w:szCs w:val="23"/>
              </w:rPr>
              <w:t>Termin realizacji: I kw. 2025</w:t>
            </w:r>
          </w:p>
          <w:p w14:paraId="5C6A1031" w14:textId="77777777" w:rsidR="00DB00FD" w:rsidRPr="00AA0548" w:rsidRDefault="00DB00FD" w:rsidP="001E2158">
            <w:pPr>
              <w:spacing w:after="120" w:line="240" w:lineRule="auto"/>
              <w:jc w:val="left"/>
              <w:rPr>
                <w:rFonts w:eastAsia="Calibri"/>
                <w:color w:val="FF0000"/>
                <w:sz w:val="23"/>
                <w:szCs w:val="23"/>
              </w:rPr>
            </w:pPr>
            <w:r w:rsidRPr="00AA0548">
              <w:rPr>
                <w:rFonts w:eastAsia="Calibri"/>
                <w:color w:val="FF0000"/>
                <w:sz w:val="23"/>
                <w:szCs w:val="23"/>
              </w:rPr>
              <w:t xml:space="preserve">Opis każdego kamienia milowego i każdej wartości docelowej </w:t>
            </w:r>
          </w:p>
          <w:p w14:paraId="6BFBFC8B" w14:textId="77777777" w:rsidR="00DB00FD" w:rsidRPr="0056086B" w:rsidRDefault="00DB00FD" w:rsidP="001E2158">
            <w:pPr>
              <w:spacing w:after="120" w:line="240" w:lineRule="auto"/>
              <w:rPr>
                <w:color w:val="FF0000"/>
                <w:sz w:val="23"/>
                <w:szCs w:val="23"/>
              </w:rPr>
            </w:pPr>
            <w:r w:rsidRPr="0056086B">
              <w:rPr>
                <w:color w:val="FF0000"/>
                <w:sz w:val="23"/>
                <w:szCs w:val="23"/>
              </w:rPr>
              <w:t>Uruchomiony zostanie nabór wniosków dla szpitali na zakup lub modernizację sprzętu lub infrastruktury. Zaproszenie opiera się na kryteriach określonych dla sieci szpitali oraz jasnych i przejrzystych procedurach.</w:t>
            </w:r>
          </w:p>
          <w:p w14:paraId="3D144B0B" w14:textId="77777777" w:rsidR="00DB00FD" w:rsidRPr="0056086B" w:rsidRDefault="00DB00FD" w:rsidP="001E2158">
            <w:pPr>
              <w:spacing w:before="60" w:after="60" w:line="240" w:lineRule="auto"/>
              <w:rPr>
                <w:color w:val="FF0000"/>
                <w:sz w:val="23"/>
                <w:szCs w:val="23"/>
              </w:rPr>
            </w:pPr>
            <w:r w:rsidRPr="0056086B">
              <w:rPr>
                <w:color w:val="FF0000"/>
                <w:sz w:val="23"/>
                <w:szCs w:val="23"/>
              </w:rPr>
              <w:t xml:space="preserve">Kryteria naboru opierają się na: </w:t>
            </w:r>
          </w:p>
          <w:p w14:paraId="4E8FCA39" w14:textId="77777777" w:rsidR="00DB00FD" w:rsidRPr="0056086B" w:rsidRDefault="00DB00FD" w:rsidP="001E2158">
            <w:pPr>
              <w:spacing w:before="60" w:after="60" w:line="240" w:lineRule="auto"/>
              <w:rPr>
                <w:color w:val="FF0000"/>
                <w:sz w:val="23"/>
                <w:szCs w:val="23"/>
              </w:rPr>
            </w:pPr>
            <w:r w:rsidRPr="0056086B">
              <w:rPr>
                <w:color w:val="FF0000"/>
                <w:sz w:val="23"/>
                <w:szCs w:val="23"/>
              </w:rPr>
              <w:t>- zasięgu (np. objęta populacja, objęte świadczenia,);</w:t>
            </w:r>
          </w:p>
          <w:p w14:paraId="2E0E4048" w14:textId="32FB9C82" w:rsidR="00DB00FD" w:rsidRPr="00A501D9" w:rsidRDefault="00DB00FD" w:rsidP="00A501D9">
            <w:pPr>
              <w:spacing w:before="60" w:after="60" w:line="240" w:lineRule="auto"/>
              <w:rPr>
                <w:color w:val="FF0000"/>
                <w:sz w:val="23"/>
                <w:szCs w:val="23"/>
              </w:rPr>
            </w:pPr>
            <w:r w:rsidRPr="0056086B">
              <w:rPr>
                <w:color w:val="FF0000"/>
                <w:sz w:val="23"/>
                <w:szCs w:val="23"/>
              </w:rPr>
              <w:t>- dostępności zasobów (takich jak: zasoby ludzkie).</w:t>
            </w:r>
          </w:p>
          <w:p w14:paraId="73C4C4AC" w14:textId="77777777" w:rsidR="00DB00FD" w:rsidRPr="0056086B" w:rsidRDefault="00DB00FD" w:rsidP="001E2158">
            <w:pPr>
              <w:spacing w:after="120" w:line="240" w:lineRule="auto"/>
              <w:jc w:val="left"/>
              <w:rPr>
                <w:rFonts w:eastAsia="Calibri"/>
                <w:color w:val="FF0000"/>
                <w:sz w:val="23"/>
                <w:szCs w:val="23"/>
              </w:rPr>
            </w:pPr>
            <w:r w:rsidRPr="0056086B">
              <w:rPr>
                <w:rFonts w:eastAsia="Calibri"/>
                <w:color w:val="FF0000"/>
                <w:sz w:val="23"/>
                <w:szCs w:val="23"/>
              </w:rPr>
              <w:t xml:space="preserve">Inwestycje w infrastrukturę lub sprzęt medyczny lub </w:t>
            </w:r>
            <w:r>
              <w:rPr>
                <w:rFonts w:eastAsia="Calibri"/>
                <w:color w:val="FF0000"/>
                <w:sz w:val="23"/>
                <w:szCs w:val="23"/>
              </w:rPr>
              <w:t xml:space="preserve">niezbędne </w:t>
            </w:r>
            <w:r w:rsidRPr="0056086B">
              <w:rPr>
                <w:rFonts w:eastAsia="Calibri"/>
                <w:color w:val="FF0000"/>
                <w:sz w:val="23"/>
                <w:szCs w:val="23"/>
              </w:rPr>
              <w:t>wyposażenie przyczynią się do poprawy jakości opieki, dostępności zasobów oraz zapewnienia terminowego i kompleksowego dostępu do opieki szpitalnej.</w:t>
            </w:r>
          </w:p>
          <w:p w14:paraId="5EB9F55D" w14:textId="77777777" w:rsidR="00DB00FD" w:rsidRPr="003E6212" w:rsidRDefault="00DB00FD" w:rsidP="001E2158">
            <w:pPr>
              <w:spacing w:after="120" w:line="240" w:lineRule="auto"/>
            </w:pPr>
            <w:r w:rsidRPr="0056086B">
              <w:rPr>
                <w:rFonts w:eastAsia="Calibri"/>
                <w:color w:val="FF0000"/>
                <w:sz w:val="23"/>
                <w:szCs w:val="23"/>
              </w:rPr>
              <w:t>Wsparcie obejmie wyłącznie zakres działalności związanej ze udzielaniem świadczeń zdrowotnych finansowanych przez Narodowy Fundusz Zdrowia i nie obejmie działalności komercyjnej</w:t>
            </w:r>
            <w:r w:rsidRPr="002E2403">
              <w:rPr>
                <w:rFonts w:eastAsia="Calibri"/>
              </w:rPr>
              <w:t>.</w:t>
            </w:r>
          </w:p>
        </w:tc>
      </w:tr>
      <w:tr w:rsidR="00DB00FD" w:rsidRPr="00935797" w14:paraId="0DA1BBA1" w14:textId="77777777" w:rsidTr="00A501D9">
        <w:trPr>
          <w:trHeight w:val="300"/>
        </w:trPr>
        <w:tc>
          <w:tcPr>
            <w:tcW w:w="1230" w:type="pct"/>
            <w:tcBorders>
              <w:top w:val="single" w:sz="4" w:space="0" w:color="auto"/>
              <w:left w:val="single" w:sz="4" w:space="0" w:color="auto"/>
              <w:bottom w:val="single" w:sz="4" w:space="0" w:color="auto"/>
              <w:right w:val="single" w:sz="4" w:space="0" w:color="auto"/>
            </w:tcBorders>
          </w:tcPr>
          <w:p w14:paraId="67B6F2D2" w14:textId="77777777" w:rsidR="00DB00FD" w:rsidRPr="00AF3A31" w:rsidRDefault="00DB00FD" w:rsidP="001E2158">
            <w:pPr>
              <w:spacing w:before="60" w:after="60" w:line="252" w:lineRule="auto"/>
              <w:jc w:val="left"/>
              <w:rPr>
                <w:rFonts w:eastAsia="Calibri"/>
              </w:rPr>
            </w:pPr>
          </w:p>
        </w:tc>
        <w:tc>
          <w:tcPr>
            <w:tcW w:w="1935" w:type="pct"/>
            <w:tcBorders>
              <w:top w:val="single" w:sz="4" w:space="0" w:color="auto"/>
              <w:left w:val="single" w:sz="4" w:space="0" w:color="auto"/>
              <w:bottom w:val="single" w:sz="4" w:space="0" w:color="auto"/>
              <w:right w:val="single" w:sz="4" w:space="0" w:color="auto"/>
            </w:tcBorders>
          </w:tcPr>
          <w:p w14:paraId="708E62A3" w14:textId="5352AB12" w:rsidR="00DB00FD" w:rsidRPr="00AF3A31" w:rsidRDefault="00DB00FD" w:rsidP="001E2158">
            <w:pPr>
              <w:spacing w:after="120" w:line="240" w:lineRule="auto"/>
              <w:jc w:val="left"/>
              <w:rPr>
                <w:rFonts w:eastAsia="Calibri"/>
                <w:lang w:val="en-GB"/>
              </w:rPr>
            </w:pPr>
            <w:r w:rsidRPr="00AF3A31">
              <w:rPr>
                <w:rFonts w:eastAsia="Calibri"/>
                <w:lang w:val="en-GB"/>
              </w:rPr>
              <w:t xml:space="preserve">D10G </w:t>
            </w:r>
          </w:p>
          <w:p w14:paraId="6DF25431" w14:textId="77777777" w:rsidR="00A501D9" w:rsidRDefault="00A501D9" w:rsidP="001E2158">
            <w:pPr>
              <w:spacing w:after="120" w:line="240" w:lineRule="auto"/>
              <w:jc w:val="left"/>
              <w:rPr>
                <w:rFonts w:eastAsia="Calibri"/>
                <w:lang w:val="en-GB"/>
              </w:rPr>
            </w:pPr>
          </w:p>
          <w:p w14:paraId="5E0DE101" w14:textId="77777777" w:rsidR="00A501D9" w:rsidRDefault="00A501D9" w:rsidP="001E2158">
            <w:pPr>
              <w:spacing w:after="120" w:line="240" w:lineRule="auto"/>
              <w:jc w:val="left"/>
              <w:rPr>
                <w:rFonts w:eastAsia="Calibri"/>
                <w:lang w:val="en-GB"/>
              </w:rPr>
            </w:pPr>
          </w:p>
          <w:p w14:paraId="57373E60" w14:textId="77777777" w:rsidR="00A501D9" w:rsidRDefault="00A501D9" w:rsidP="001E2158">
            <w:pPr>
              <w:spacing w:after="120" w:line="240" w:lineRule="auto"/>
              <w:jc w:val="left"/>
              <w:rPr>
                <w:rFonts w:eastAsia="Calibri"/>
                <w:lang w:val="en-GB"/>
              </w:rPr>
            </w:pPr>
          </w:p>
          <w:p w14:paraId="216B0D30" w14:textId="557DD3E8" w:rsidR="00DB00FD" w:rsidRPr="00AF3A31" w:rsidRDefault="00DB00FD" w:rsidP="001E2158">
            <w:pPr>
              <w:spacing w:after="120" w:line="240" w:lineRule="auto"/>
              <w:jc w:val="left"/>
              <w:rPr>
                <w:rFonts w:eastAsia="Calibri"/>
                <w:lang w:val="en-GB"/>
              </w:rPr>
            </w:pPr>
            <w:r w:rsidRPr="00AF3A31">
              <w:rPr>
                <w:rFonts w:eastAsia="Calibri"/>
                <w:lang w:val="en-GB"/>
              </w:rPr>
              <w:t>First call for proposals for hospitals requesting financing</w:t>
            </w:r>
          </w:p>
          <w:p w14:paraId="22E5BB96" w14:textId="77777777" w:rsidR="00DB00FD" w:rsidRPr="00AF3A31" w:rsidRDefault="00DB00FD" w:rsidP="001E2158">
            <w:pPr>
              <w:spacing w:after="120" w:line="240" w:lineRule="auto"/>
              <w:jc w:val="left"/>
              <w:rPr>
                <w:rFonts w:eastAsia="Calibri"/>
                <w:lang w:val="en-GB"/>
              </w:rPr>
            </w:pPr>
            <w:r w:rsidRPr="00AF3A31">
              <w:rPr>
                <w:rFonts w:eastAsia="Calibri"/>
                <w:lang w:val="en-GB"/>
              </w:rPr>
              <w:t>Implementation date: Q1 2023</w:t>
            </w:r>
          </w:p>
          <w:p w14:paraId="625A3877" w14:textId="77777777" w:rsidR="00DB00FD" w:rsidRPr="00AF3A31" w:rsidRDefault="00DB00FD" w:rsidP="001E2158">
            <w:pPr>
              <w:spacing w:after="120" w:line="240" w:lineRule="auto"/>
              <w:jc w:val="left"/>
              <w:rPr>
                <w:rFonts w:eastAsia="Calibri"/>
                <w:lang w:val="en-GB"/>
              </w:rPr>
            </w:pPr>
            <w:r w:rsidRPr="00AF3A31">
              <w:rPr>
                <w:rFonts w:eastAsia="Calibri"/>
                <w:lang w:val="en-GB"/>
              </w:rPr>
              <w:t xml:space="preserve">Decription of each milestone and target: </w:t>
            </w:r>
          </w:p>
          <w:p w14:paraId="3A35184E" w14:textId="77777777" w:rsidR="00DB00FD" w:rsidRPr="00AF3A31" w:rsidRDefault="00DB00FD" w:rsidP="001E2158">
            <w:pPr>
              <w:spacing w:after="120" w:line="240" w:lineRule="auto"/>
              <w:jc w:val="left"/>
              <w:rPr>
                <w:rFonts w:eastAsia="Calibri"/>
                <w:lang w:val="en-GB"/>
              </w:rPr>
            </w:pPr>
            <w:r w:rsidRPr="00AF3A31">
              <w:rPr>
                <w:rFonts w:eastAsia="Calibri"/>
                <w:lang w:val="en-GB"/>
              </w:rPr>
              <w:t>The first call for proposals for hospitals to finance acquisition or upgrade of equipment or infrastructure shall be launched. This call and all subsequent calls shall be based on the categorisation criteria and clear and transparent procedures. The medical equipment and infrastructure enhancement shall contribute to improving the quality of care, availability of resources and ensuring timely and comprehensive access to hospital care. The support shall cover only the scope of activities related to the provision of health services financed by the National Health Fund, and it shall not cover the commercial activities.</w:t>
            </w:r>
          </w:p>
        </w:tc>
        <w:tc>
          <w:tcPr>
            <w:tcW w:w="1835" w:type="pct"/>
            <w:tcBorders>
              <w:top w:val="single" w:sz="4" w:space="0" w:color="auto"/>
              <w:left w:val="single" w:sz="4" w:space="0" w:color="auto"/>
              <w:bottom w:val="single" w:sz="4" w:space="0" w:color="auto"/>
              <w:right w:val="single" w:sz="4" w:space="0" w:color="auto"/>
            </w:tcBorders>
          </w:tcPr>
          <w:p w14:paraId="21F23178" w14:textId="77777777" w:rsidR="00DB00FD" w:rsidRPr="0056086B" w:rsidRDefault="00DB00FD" w:rsidP="001E2158">
            <w:pPr>
              <w:spacing w:line="240" w:lineRule="auto"/>
              <w:jc w:val="left"/>
              <w:rPr>
                <w:rFonts w:eastAsia="Calibri"/>
                <w:color w:val="FF0000"/>
                <w:sz w:val="23"/>
                <w:szCs w:val="23"/>
                <w:lang w:val="en-US"/>
              </w:rPr>
            </w:pPr>
            <w:r w:rsidRPr="0056086B">
              <w:rPr>
                <w:rFonts w:eastAsia="Calibri"/>
                <w:color w:val="FF0000"/>
                <w:sz w:val="23"/>
                <w:szCs w:val="23"/>
                <w:lang w:val="en-US"/>
              </w:rPr>
              <w:t>The milestone will be implemented by 3 independent sub-stones (sub-milestones):</w:t>
            </w:r>
          </w:p>
          <w:p w14:paraId="636086DB" w14:textId="77777777" w:rsidR="00DB00FD" w:rsidRPr="00AF3A31" w:rsidRDefault="00DB00FD" w:rsidP="001E2158">
            <w:pPr>
              <w:spacing w:after="120" w:line="240" w:lineRule="auto"/>
              <w:jc w:val="left"/>
              <w:rPr>
                <w:rFonts w:eastAsia="Calibri"/>
                <w:lang w:val="en-GB"/>
              </w:rPr>
            </w:pPr>
            <w:r w:rsidRPr="00AF3A31">
              <w:rPr>
                <w:rFonts w:eastAsia="Calibri"/>
                <w:lang w:val="en-GB"/>
              </w:rPr>
              <w:t xml:space="preserve">D10G </w:t>
            </w:r>
          </w:p>
          <w:p w14:paraId="09227D97" w14:textId="77777777" w:rsidR="00DB00FD" w:rsidRPr="00AF3A31" w:rsidRDefault="00DB00FD" w:rsidP="001E2158">
            <w:pPr>
              <w:spacing w:after="120" w:line="240" w:lineRule="auto"/>
              <w:jc w:val="left"/>
              <w:rPr>
                <w:rFonts w:eastAsia="Calibri"/>
                <w:color w:val="FF0000"/>
                <w:lang w:val="en-GB"/>
              </w:rPr>
            </w:pPr>
            <w:r w:rsidRPr="00AF3A31">
              <w:rPr>
                <w:rFonts w:eastAsia="Calibri"/>
                <w:color w:val="FF0000"/>
                <w:lang w:val="en-GB"/>
              </w:rPr>
              <w:t xml:space="preserve">First call for proposals for hospitals </w:t>
            </w:r>
            <w:r w:rsidRPr="0056086B">
              <w:rPr>
                <w:rFonts w:eastAsia="Calibri"/>
                <w:color w:val="FF0000"/>
                <w:sz w:val="23"/>
                <w:szCs w:val="23"/>
                <w:lang w:val="en-GB"/>
              </w:rPr>
              <w:t>and entities cooperating with them (</w:t>
            </w:r>
            <w:r w:rsidRPr="0056086B">
              <w:rPr>
                <w:rStyle w:val="ui-provider"/>
                <w:color w:val="FF0000"/>
                <w:sz w:val="23"/>
                <w:szCs w:val="23"/>
                <w:lang w:val="en-GB"/>
              </w:rPr>
              <w:t>cooperation centres in NCN)</w:t>
            </w:r>
            <w:r w:rsidRPr="0056086B">
              <w:rPr>
                <w:rStyle w:val="ui-provider"/>
                <w:color w:val="FF0000"/>
                <w:lang w:val="en-GB"/>
              </w:rPr>
              <w:t xml:space="preserve"> </w:t>
            </w:r>
            <w:r w:rsidRPr="00AF3A31">
              <w:rPr>
                <w:rFonts w:eastAsia="Calibri"/>
                <w:color w:val="FF0000"/>
                <w:lang w:val="en-GB"/>
              </w:rPr>
              <w:t>requesting financing</w:t>
            </w:r>
          </w:p>
          <w:p w14:paraId="0B38D144" w14:textId="77777777" w:rsidR="00DB00FD" w:rsidRPr="00AF3A31" w:rsidRDefault="00DB00FD" w:rsidP="001E2158">
            <w:pPr>
              <w:spacing w:after="120" w:line="240" w:lineRule="auto"/>
              <w:jc w:val="left"/>
              <w:rPr>
                <w:rFonts w:eastAsia="Calibri"/>
                <w:color w:val="FF0000"/>
                <w:lang w:val="en-GB"/>
              </w:rPr>
            </w:pPr>
            <w:r w:rsidRPr="009D1150">
              <w:rPr>
                <w:rFonts w:eastAsia="Calibri"/>
                <w:lang w:val="en-GB"/>
              </w:rPr>
              <w:t xml:space="preserve">Implementation date: </w:t>
            </w:r>
            <w:r w:rsidRPr="00AF3A31">
              <w:rPr>
                <w:rFonts w:eastAsia="Calibri"/>
                <w:color w:val="FF0000"/>
                <w:lang w:val="en-GB"/>
              </w:rPr>
              <w:t>Q3 2024</w:t>
            </w:r>
          </w:p>
          <w:p w14:paraId="1DC0D527" w14:textId="77777777" w:rsidR="00DB00FD" w:rsidRPr="009D1150" w:rsidRDefault="00DB00FD" w:rsidP="001E2158">
            <w:pPr>
              <w:spacing w:after="120" w:line="240" w:lineRule="auto"/>
              <w:jc w:val="left"/>
              <w:rPr>
                <w:rFonts w:eastAsia="Calibri"/>
                <w:lang w:val="en-GB"/>
              </w:rPr>
            </w:pPr>
            <w:r w:rsidRPr="009D1150">
              <w:rPr>
                <w:rFonts w:eastAsia="Calibri"/>
                <w:lang w:val="en-GB"/>
              </w:rPr>
              <w:t xml:space="preserve">Decription of each milestone and target: </w:t>
            </w:r>
          </w:p>
          <w:p w14:paraId="09BDFC88" w14:textId="77777777" w:rsidR="00DB00FD" w:rsidRPr="00AF3A31" w:rsidRDefault="00DB00FD" w:rsidP="001E2158">
            <w:pPr>
              <w:spacing w:after="120" w:line="240" w:lineRule="auto"/>
              <w:jc w:val="left"/>
              <w:rPr>
                <w:rFonts w:eastAsia="Calibri"/>
                <w:color w:val="FF0000"/>
                <w:lang w:val="en-GB"/>
              </w:rPr>
            </w:pPr>
            <w:r w:rsidRPr="00AF3A31">
              <w:rPr>
                <w:rFonts w:eastAsia="Calibri"/>
                <w:lang w:val="en-GB"/>
              </w:rPr>
              <w:t xml:space="preserve">The first call for proposals for hospitals </w:t>
            </w:r>
            <w:r w:rsidRPr="00862A8F">
              <w:rPr>
                <w:rFonts w:eastAsiaTheme="minorHAnsi"/>
                <w:color w:val="FF0000"/>
                <w:lang w:val="en-GB"/>
              </w:rPr>
              <w:t>and entities cooperating with them</w:t>
            </w:r>
            <w:r w:rsidRPr="00AF3A31">
              <w:rPr>
                <w:rFonts w:eastAsia="Calibri"/>
                <w:lang w:val="en-GB"/>
              </w:rPr>
              <w:t xml:space="preserve"> to purchase or upgrade equipment or infrastructure will be launched. This call and all subsequent calls are based on</w:t>
            </w:r>
            <w:r w:rsidRPr="00AF3A31">
              <w:rPr>
                <w:rFonts w:eastAsia="Calibri"/>
                <w:color w:val="FF0000"/>
                <w:lang w:val="en-GB"/>
              </w:rPr>
              <w:t xml:space="preserve"> investment criteria (vide D9G) and clear and transparent procedures.</w:t>
            </w:r>
          </w:p>
          <w:p w14:paraId="588DAC32" w14:textId="77777777" w:rsidR="00DB00FD" w:rsidRDefault="00DB00FD" w:rsidP="001E2158">
            <w:pPr>
              <w:spacing w:after="120" w:line="240" w:lineRule="auto"/>
              <w:jc w:val="left"/>
              <w:rPr>
                <w:rFonts w:eastAsia="Calibri"/>
                <w:lang w:val="en-GB"/>
              </w:rPr>
            </w:pPr>
            <w:r w:rsidRPr="008F19AE">
              <w:rPr>
                <w:rFonts w:eastAsia="Calibri"/>
                <w:color w:val="FF0000"/>
                <w:lang w:val="en-GB"/>
              </w:rPr>
              <w:t xml:space="preserve">Investments in infrastructure </w:t>
            </w:r>
            <w:r>
              <w:rPr>
                <w:rFonts w:eastAsia="Calibri"/>
                <w:color w:val="FF0000"/>
                <w:lang w:val="en-GB"/>
              </w:rPr>
              <w:t>or</w:t>
            </w:r>
            <w:r w:rsidRPr="008F19AE">
              <w:rPr>
                <w:rFonts w:eastAsia="Calibri"/>
                <w:color w:val="FF0000"/>
                <w:lang w:val="en-GB"/>
              </w:rPr>
              <w:t xml:space="preserve"> medical equipmen</w:t>
            </w:r>
            <w:r w:rsidRPr="00AF0026">
              <w:rPr>
                <w:rFonts w:eastAsia="Calibri"/>
                <w:color w:val="FF0000"/>
                <w:lang w:val="en-GB"/>
              </w:rPr>
              <w:t>t or other necessary equipment</w:t>
            </w:r>
            <w:r w:rsidRPr="0056086B">
              <w:rPr>
                <w:rFonts w:eastAsia="Calibri"/>
                <w:color w:val="FF0000"/>
                <w:lang w:val="en-GB"/>
              </w:rPr>
              <w:t xml:space="preserve"> </w:t>
            </w:r>
            <w:r w:rsidRPr="00AF3A31">
              <w:rPr>
                <w:rFonts w:eastAsia="Calibri"/>
                <w:lang w:val="en-GB"/>
              </w:rPr>
              <w:t xml:space="preserve">shall contribute to improving the quality of care, availability of resources and ensuring timely and comprehensive access to hospital </w:t>
            </w:r>
            <w:r w:rsidRPr="008F19AE">
              <w:rPr>
                <w:rFonts w:eastAsia="Calibri"/>
                <w:color w:val="FF0000"/>
                <w:lang w:val="en-GB"/>
              </w:rPr>
              <w:t xml:space="preserve">and ambulatory </w:t>
            </w:r>
            <w:r w:rsidRPr="00AF3A31">
              <w:rPr>
                <w:rFonts w:eastAsia="Calibri"/>
                <w:lang w:val="en-GB"/>
              </w:rPr>
              <w:t>care. The support shall cover only the scope of activities related to the provision of health services financed by the National Health Fund</w:t>
            </w:r>
            <w:r>
              <w:rPr>
                <w:rFonts w:eastAsia="Calibri"/>
                <w:lang w:val="en-GB"/>
              </w:rPr>
              <w:t xml:space="preserve"> </w:t>
            </w:r>
            <w:r w:rsidRPr="008F19AE">
              <w:rPr>
                <w:rFonts w:eastAsia="Calibri"/>
                <w:color w:val="FF0000"/>
                <w:lang w:val="en-GB"/>
              </w:rPr>
              <w:t xml:space="preserve">within hospital </w:t>
            </w:r>
            <w:r w:rsidRPr="0056086B">
              <w:rPr>
                <w:rFonts w:eastAsiaTheme="minorHAnsi"/>
                <w:color w:val="FF0000"/>
                <w:sz w:val="23"/>
                <w:szCs w:val="23"/>
                <w:lang w:val="en-GB"/>
              </w:rPr>
              <w:t>and entities cooperating with it</w:t>
            </w:r>
            <w:r w:rsidRPr="008F19AE">
              <w:rPr>
                <w:rFonts w:eastAsia="Calibri"/>
                <w:color w:val="FF0000"/>
                <w:lang w:val="en-GB"/>
              </w:rPr>
              <w:t xml:space="preserve">, </w:t>
            </w:r>
            <w:r w:rsidRPr="00AF3A31">
              <w:rPr>
                <w:rFonts w:eastAsia="Calibri"/>
                <w:lang w:val="en-GB"/>
              </w:rPr>
              <w:t>and it shall not cover the commercial activities.</w:t>
            </w:r>
          </w:p>
          <w:p w14:paraId="4E13DC3F" w14:textId="77777777" w:rsidR="00DB00FD" w:rsidRPr="0056086B" w:rsidRDefault="00DB00FD" w:rsidP="001E2158">
            <w:pPr>
              <w:spacing w:after="120" w:line="240" w:lineRule="auto"/>
              <w:jc w:val="left"/>
              <w:rPr>
                <w:rFonts w:eastAsia="Calibri"/>
                <w:color w:val="FF0000"/>
                <w:sz w:val="23"/>
                <w:szCs w:val="23"/>
                <w:lang w:val="en-GB"/>
              </w:rPr>
            </w:pPr>
            <w:r w:rsidRPr="0056086B">
              <w:rPr>
                <w:rFonts w:eastAsia="Calibri"/>
                <w:color w:val="FF0000"/>
                <w:sz w:val="23"/>
                <w:szCs w:val="23"/>
                <w:lang w:val="en-GB"/>
              </w:rPr>
              <w:t xml:space="preserve">D10Gb </w:t>
            </w:r>
          </w:p>
          <w:p w14:paraId="6AF52DCF" w14:textId="77777777" w:rsidR="00DB00FD" w:rsidRDefault="00DB00FD" w:rsidP="001E2158">
            <w:pPr>
              <w:spacing w:after="120" w:line="240" w:lineRule="auto"/>
              <w:jc w:val="left"/>
              <w:rPr>
                <w:rFonts w:eastAsia="Calibri"/>
                <w:color w:val="FF0000"/>
                <w:sz w:val="23"/>
                <w:szCs w:val="23"/>
                <w:lang w:val="en-GB"/>
              </w:rPr>
            </w:pPr>
            <w:r w:rsidRPr="0056086B">
              <w:rPr>
                <w:rFonts w:eastAsia="Calibri"/>
                <w:color w:val="FF0000"/>
                <w:sz w:val="23"/>
                <w:szCs w:val="23"/>
                <w:lang w:val="en-GB"/>
              </w:rPr>
              <w:t>Next call for applications for hospitals requesting financing</w:t>
            </w:r>
          </w:p>
          <w:p w14:paraId="5AEB3EA1" w14:textId="77777777" w:rsidR="00DB00FD" w:rsidRPr="0056086B" w:rsidRDefault="00DB00FD" w:rsidP="001E2158">
            <w:pPr>
              <w:spacing w:after="120" w:line="240" w:lineRule="auto"/>
              <w:jc w:val="left"/>
              <w:rPr>
                <w:rFonts w:eastAsia="Calibri"/>
                <w:color w:val="FF0000"/>
                <w:sz w:val="23"/>
                <w:szCs w:val="23"/>
                <w:lang w:val="en-GB"/>
              </w:rPr>
            </w:pPr>
            <w:r w:rsidRPr="0056086B">
              <w:rPr>
                <w:rFonts w:eastAsia="Calibri"/>
                <w:color w:val="FF0000"/>
                <w:sz w:val="23"/>
                <w:szCs w:val="23"/>
                <w:lang w:val="en-GB"/>
              </w:rPr>
              <w:t>Implementation date: Q</w:t>
            </w:r>
            <w:r>
              <w:rPr>
                <w:rFonts w:eastAsia="Calibri"/>
                <w:color w:val="FF0000"/>
                <w:sz w:val="23"/>
                <w:szCs w:val="23"/>
                <w:lang w:val="en-GB"/>
              </w:rPr>
              <w:t>1</w:t>
            </w:r>
            <w:r w:rsidRPr="0056086B">
              <w:rPr>
                <w:rFonts w:eastAsia="Calibri"/>
                <w:color w:val="FF0000"/>
                <w:sz w:val="23"/>
                <w:szCs w:val="23"/>
                <w:lang w:val="en-GB"/>
              </w:rPr>
              <w:t xml:space="preserve"> 202</w:t>
            </w:r>
            <w:r>
              <w:rPr>
                <w:rFonts w:eastAsia="Calibri"/>
                <w:color w:val="FF0000"/>
                <w:sz w:val="23"/>
                <w:szCs w:val="23"/>
                <w:lang w:val="en-GB"/>
              </w:rPr>
              <w:t>5</w:t>
            </w:r>
          </w:p>
          <w:p w14:paraId="0DCE9E01" w14:textId="77777777" w:rsidR="00DB00FD" w:rsidRPr="0056086B" w:rsidRDefault="00DB00FD" w:rsidP="001E2158">
            <w:pPr>
              <w:spacing w:after="120" w:line="240" w:lineRule="auto"/>
              <w:jc w:val="left"/>
              <w:rPr>
                <w:rFonts w:eastAsia="Calibri"/>
                <w:color w:val="FF0000"/>
                <w:sz w:val="23"/>
                <w:szCs w:val="23"/>
                <w:lang w:val="en-GB"/>
              </w:rPr>
            </w:pPr>
            <w:r w:rsidRPr="0056086B">
              <w:rPr>
                <w:rFonts w:eastAsia="Calibri"/>
                <w:color w:val="FF0000"/>
                <w:sz w:val="23"/>
                <w:szCs w:val="23"/>
                <w:lang w:val="en-GB"/>
              </w:rPr>
              <w:t xml:space="preserve">Decription of each milestone and target: </w:t>
            </w:r>
          </w:p>
          <w:p w14:paraId="4A9034F9" w14:textId="77777777" w:rsidR="00DB00FD" w:rsidRPr="0056086B" w:rsidRDefault="00DB00FD" w:rsidP="001E2158">
            <w:pPr>
              <w:spacing w:after="120" w:line="240" w:lineRule="auto"/>
              <w:jc w:val="left"/>
              <w:rPr>
                <w:rFonts w:eastAsia="Calibri"/>
                <w:color w:val="FF0000"/>
                <w:sz w:val="23"/>
                <w:szCs w:val="23"/>
                <w:lang w:val="en-GB"/>
              </w:rPr>
            </w:pPr>
            <w:r w:rsidRPr="0056086B">
              <w:rPr>
                <w:rFonts w:eastAsia="Calibri"/>
                <w:color w:val="FF0000"/>
                <w:sz w:val="23"/>
                <w:szCs w:val="23"/>
                <w:lang w:val="en-GB"/>
              </w:rPr>
              <w:t xml:space="preserve">A call for proposals for hospitals to finance acquisition or upgrade of equipment or infrastructure shall be launched. The call is based on criteria and clear and transparent procedures. </w:t>
            </w:r>
          </w:p>
          <w:p w14:paraId="194D1F88" w14:textId="77777777" w:rsidR="00DB00FD" w:rsidRPr="0056086B" w:rsidRDefault="00DB00FD" w:rsidP="001E2158">
            <w:pPr>
              <w:spacing w:after="120" w:line="240" w:lineRule="auto"/>
              <w:jc w:val="left"/>
              <w:rPr>
                <w:rFonts w:eastAsia="Calibri"/>
                <w:color w:val="FF0000"/>
                <w:sz w:val="23"/>
                <w:szCs w:val="23"/>
                <w:lang w:val="en-GB"/>
              </w:rPr>
            </w:pPr>
            <w:r w:rsidRPr="0056086B">
              <w:rPr>
                <w:rFonts w:eastAsia="Calibri"/>
                <w:color w:val="FF0000"/>
                <w:sz w:val="23"/>
                <w:szCs w:val="23"/>
                <w:lang w:val="en-GB"/>
              </w:rPr>
              <w:t xml:space="preserve">The call’s criteria are based on: </w:t>
            </w:r>
          </w:p>
          <w:p w14:paraId="3EBF6D89" w14:textId="77777777" w:rsidR="00DB00FD" w:rsidRPr="0056086B" w:rsidRDefault="00DB00FD" w:rsidP="001E2158">
            <w:pPr>
              <w:spacing w:after="120" w:line="240" w:lineRule="auto"/>
              <w:jc w:val="left"/>
              <w:rPr>
                <w:rFonts w:eastAsia="Calibri"/>
                <w:color w:val="FF0000"/>
                <w:sz w:val="23"/>
                <w:szCs w:val="23"/>
                <w:lang w:val="en-GB"/>
              </w:rPr>
            </w:pPr>
            <w:r w:rsidRPr="0056086B">
              <w:rPr>
                <w:rFonts w:eastAsia="Calibri"/>
                <w:color w:val="FF0000"/>
                <w:sz w:val="23"/>
                <w:szCs w:val="23"/>
                <w:lang w:val="en-GB"/>
              </w:rPr>
              <w:t>- coverage (e.g. population covered, benefits covered; need for timely access to care);</w:t>
            </w:r>
          </w:p>
          <w:p w14:paraId="50DA0566" w14:textId="77777777" w:rsidR="00DB00FD" w:rsidRPr="0056086B" w:rsidRDefault="00DB00FD" w:rsidP="001E2158">
            <w:pPr>
              <w:spacing w:after="120" w:line="240" w:lineRule="auto"/>
              <w:jc w:val="left"/>
              <w:rPr>
                <w:rFonts w:eastAsia="Calibri"/>
                <w:color w:val="FF0000"/>
                <w:sz w:val="23"/>
                <w:szCs w:val="23"/>
                <w:lang w:val="en-GB"/>
              </w:rPr>
            </w:pPr>
            <w:r w:rsidRPr="0056086B">
              <w:rPr>
                <w:rFonts w:eastAsia="Calibri"/>
                <w:color w:val="FF0000"/>
                <w:sz w:val="23"/>
                <w:szCs w:val="23"/>
                <w:lang w:val="en-GB"/>
              </w:rPr>
              <w:t xml:space="preserve">- quality of care; </w:t>
            </w:r>
          </w:p>
          <w:p w14:paraId="570DF1B8" w14:textId="77777777" w:rsidR="00DB00FD" w:rsidRPr="0056086B" w:rsidRDefault="00DB00FD" w:rsidP="001E2158">
            <w:pPr>
              <w:spacing w:after="120" w:line="240" w:lineRule="auto"/>
              <w:jc w:val="left"/>
              <w:rPr>
                <w:rFonts w:eastAsia="Calibri"/>
                <w:color w:val="FF0000"/>
                <w:sz w:val="23"/>
                <w:szCs w:val="23"/>
                <w:lang w:val="en-GB"/>
              </w:rPr>
            </w:pPr>
            <w:r w:rsidRPr="0056086B">
              <w:rPr>
                <w:rFonts w:eastAsia="Calibri"/>
                <w:color w:val="FF0000"/>
                <w:sz w:val="23"/>
                <w:szCs w:val="23"/>
                <w:lang w:val="en-GB"/>
              </w:rPr>
              <w:t>- availability of resources (such as: human resources; financial resources).</w:t>
            </w:r>
          </w:p>
          <w:p w14:paraId="4CFF0D9D" w14:textId="77777777" w:rsidR="00DB00FD" w:rsidRPr="0056086B" w:rsidRDefault="00DB00FD" w:rsidP="001E2158">
            <w:pPr>
              <w:spacing w:after="120" w:line="240" w:lineRule="auto"/>
              <w:jc w:val="left"/>
              <w:rPr>
                <w:rFonts w:eastAsia="Calibri"/>
                <w:color w:val="FF0000"/>
                <w:sz w:val="23"/>
                <w:szCs w:val="23"/>
                <w:lang w:val="en-GB"/>
              </w:rPr>
            </w:pPr>
            <w:r w:rsidRPr="0056086B">
              <w:rPr>
                <w:rFonts w:eastAsia="Calibri"/>
                <w:color w:val="FF0000"/>
                <w:sz w:val="23"/>
                <w:szCs w:val="23"/>
                <w:lang w:val="en-GB"/>
              </w:rPr>
              <w:t xml:space="preserve">Investments in infrastructure or medical equipment or other equipment shall contribute to improving the quality of care, availability of resources and ensuring </w:t>
            </w:r>
            <w:r w:rsidRPr="0056086B">
              <w:rPr>
                <w:rFonts w:eastAsia="Calibri"/>
                <w:color w:val="FF0000"/>
                <w:sz w:val="23"/>
                <w:szCs w:val="23"/>
                <w:lang w:val="en-GB"/>
              </w:rPr>
              <w:lastRenderedPageBreak/>
              <w:t xml:space="preserve">timely and comprehensive access to hospital care. </w:t>
            </w:r>
          </w:p>
          <w:p w14:paraId="6FBA1DD8" w14:textId="77777777" w:rsidR="00DB00FD" w:rsidRPr="0056086B" w:rsidRDefault="00DB00FD" w:rsidP="001E2158">
            <w:pPr>
              <w:spacing w:after="120" w:line="240" w:lineRule="auto"/>
              <w:jc w:val="left"/>
              <w:rPr>
                <w:rFonts w:eastAsia="Calibri"/>
                <w:color w:val="FF0000"/>
                <w:sz w:val="23"/>
                <w:szCs w:val="23"/>
                <w:lang w:val="en-GB"/>
              </w:rPr>
            </w:pPr>
            <w:r w:rsidRPr="0056086B">
              <w:rPr>
                <w:rFonts w:eastAsia="Calibri"/>
                <w:color w:val="FF0000"/>
                <w:sz w:val="23"/>
                <w:szCs w:val="23"/>
                <w:lang w:val="en-GB"/>
              </w:rPr>
              <w:t>The support shall cover only the scope of activities related to the provision of health services financed by the National Health Fund, and it shall not cover the commercial activities.</w:t>
            </w:r>
          </w:p>
          <w:p w14:paraId="5217D131" w14:textId="77777777" w:rsidR="00DB00FD" w:rsidRPr="0056086B" w:rsidRDefault="00DB00FD" w:rsidP="001E2158">
            <w:pPr>
              <w:spacing w:after="120" w:line="240" w:lineRule="auto"/>
              <w:jc w:val="left"/>
              <w:rPr>
                <w:rFonts w:eastAsia="Calibri"/>
                <w:color w:val="FF0000"/>
                <w:sz w:val="23"/>
                <w:szCs w:val="23"/>
                <w:lang w:val="en-GB"/>
              </w:rPr>
            </w:pPr>
            <w:r w:rsidRPr="0056086B">
              <w:rPr>
                <w:rFonts w:eastAsia="Calibri"/>
                <w:color w:val="FF0000"/>
                <w:sz w:val="23"/>
                <w:szCs w:val="23"/>
                <w:lang w:val="en-GB"/>
              </w:rPr>
              <w:t xml:space="preserve">D10Gc </w:t>
            </w:r>
          </w:p>
          <w:p w14:paraId="76C12A07" w14:textId="77777777" w:rsidR="00DB00FD" w:rsidRDefault="00DB00FD" w:rsidP="001E2158">
            <w:pPr>
              <w:spacing w:after="120" w:line="240" w:lineRule="auto"/>
              <w:jc w:val="left"/>
              <w:rPr>
                <w:rFonts w:eastAsia="Calibri"/>
                <w:color w:val="FF0000"/>
                <w:sz w:val="23"/>
                <w:szCs w:val="23"/>
                <w:lang w:val="en-GB"/>
              </w:rPr>
            </w:pPr>
            <w:r w:rsidRPr="0056086B">
              <w:rPr>
                <w:rFonts w:eastAsia="Calibri"/>
                <w:color w:val="FF0000"/>
                <w:sz w:val="23"/>
                <w:szCs w:val="23"/>
                <w:lang w:val="en-GB"/>
              </w:rPr>
              <w:t>Next call for applications for hospitals requesting financing</w:t>
            </w:r>
          </w:p>
          <w:p w14:paraId="6B763797" w14:textId="77777777" w:rsidR="00DB00FD" w:rsidRPr="00AA0548" w:rsidRDefault="00DB00FD" w:rsidP="001E2158">
            <w:pPr>
              <w:spacing w:after="120" w:line="240" w:lineRule="auto"/>
              <w:jc w:val="left"/>
              <w:rPr>
                <w:rFonts w:eastAsia="Calibri"/>
                <w:color w:val="FF0000"/>
                <w:sz w:val="23"/>
                <w:szCs w:val="23"/>
                <w:lang w:val="en-GB"/>
              </w:rPr>
            </w:pPr>
            <w:r w:rsidRPr="00AA0548">
              <w:rPr>
                <w:rFonts w:eastAsia="Calibri"/>
                <w:color w:val="FF0000"/>
                <w:sz w:val="23"/>
                <w:szCs w:val="23"/>
                <w:lang w:val="en-GB"/>
              </w:rPr>
              <w:t>Implementation date: Q</w:t>
            </w:r>
            <w:r>
              <w:rPr>
                <w:rFonts w:eastAsia="Calibri"/>
                <w:color w:val="FF0000"/>
                <w:sz w:val="23"/>
                <w:szCs w:val="23"/>
                <w:lang w:val="en-GB"/>
              </w:rPr>
              <w:t>1</w:t>
            </w:r>
            <w:r w:rsidRPr="00AA0548">
              <w:rPr>
                <w:rFonts w:eastAsia="Calibri"/>
                <w:color w:val="FF0000"/>
                <w:sz w:val="23"/>
                <w:szCs w:val="23"/>
                <w:lang w:val="en-GB"/>
              </w:rPr>
              <w:t xml:space="preserve"> 202</w:t>
            </w:r>
            <w:r>
              <w:rPr>
                <w:rFonts w:eastAsia="Calibri"/>
                <w:color w:val="FF0000"/>
                <w:sz w:val="23"/>
                <w:szCs w:val="23"/>
                <w:lang w:val="en-GB"/>
              </w:rPr>
              <w:t>5</w:t>
            </w:r>
          </w:p>
          <w:p w14:paraId="313F8F2C" w14:textId="77777777" w:rsidR="00DB00FD" w:rsidRPr="00AA0548" w:rsidRDefault="00DB00FD" w:rsidP="001E2158">
            <w:pPr>
              <w:spacing w:after="120" w:line="240" w:lineRule="auto"/>
              <w:jc w:val="left"/>
              <w:rPr>
                <w:rFonts w:eastAsia="Calibri"/>
                <w:color w:val="FF0000"/>
                <w:sz w:val="23"/>
                <w:szCs w:val="23"/>
                <w:lang w:val="en-GB"/>
              </w:rPr>
            </w:pPr>
            <w:r w:rsidRPr="00AA0548">
              <w:rPr>
                <w:rFonts w:eastAsia="Calibri"/>
                <w:color w:val="FF0000"/>
                <w:sz w:val="23"/>
                <w:szCs w:val="23"/>
                <w:lang w:val="en-GB"/>
              </w:rPr>
              <w:t xml:space="preserve">Decription of each milestone and target: </w:t>
            </w:r>
          </w:p>
          <w:p w14:paraId="6E645370" w14:textId="77777777" w:rsidR="00DB00FD" w:rsidRPr="0056086B" w:rsidRDefault="00DB00FD" w:rsidP="001E2158">
            <w:pPr>
              <w:spacing w:after="120" w:line="240" w:lineRule="auto"/>
              <w:jc w:val="left"/>
              <w:rPr>
                <w:rFonts w:eastAsia="Calibri"/>
                <w:color w:val="FF0000"/>
                <w:sz w:val="23"/>
                <w:szCs w:val="23"/>
                <w:lang w:val="en-GB"/>
              </w:rPr>
            </w:pPr>
            <w:r w:rsidRPr="0056086B">
              <w:rPr>
                <w:rFonts w:eastAsia="Calibri"/>
                <w:color w:val="FF0000"/>
                <w:sz w:val="23"/>
                <w:szCs w:val="23"/>
                <w:lang w:val="en-GB"/>
              </w:rPr>
              <w:t xml:space="preserve">A call for proposals for hospitals to finance acquisition or upgrade of equipment or infrastructure shall be launched. The call is based on the criteria set out for the hospital network and clear and transparent procedures. </w:t>
            </w:r>
          </w:p>
          <w:p w14:paraId="19E1E255" w14:textId="77777777" w:rsidR="00DB00FD" w:rsidRPr="0056086B" w:rsidRDefault="00DB00FD" w:rsidP="001E2158">
            <w:pPr>
              <w:spacing w:after="120" w:line="240" w:lineRule="auto"/>
              <w:jc w:val="left"/>
              <w:rPr>
                <w:rFonts w:eastAsia="Calibri"/>
                <w:color w:val="FF0000"/>
                <w:sz w:val="23"/>
                <w:szCs w:val="23"/>
                <w:lang w:val="en-GB"/>
              </w:rPr>
            </w:pPr>
            <w:r w:rsidRPr="0056086B">
              <w:rPr>
                <w:rFonts w:eastAsia="Calibri"/>
                <w:color w:val="FF0000"/>
                <w:sz w:val="23"/>
                <w:szCs w:val="23"/>
                <w:lang w:val="en-GB"/>
              </w:rPr>
              <w:t xml:space="preserve">The call’s criteria are based on: </w:t>
            </w:r>
          </w:p>
          <w:p w14:paraId="09B48710" w14:textId="77777777" w:rsidR="00DB00FD" w:rsidRPr="0056086B" w:rsidRDefault="00DB00FD" w:rsidP="001E2158">
            <w:pPr>
              <w:spacing w:after="120" w:line="240" w:lineRule="auto"/>
              <w:jc w:val="left"/>
              <w:rPr>
                <w:rFonts w:eastAsia="Calibri"/>
                <w:color w:val="FF0000"/>
                <w:sz w:val="23"/>
                <w:szCs w:val="23"/>
                <w:lang w:val="en-GB"/>
              </w:rPr>
            </w:pPr>
            <w:r w:rsidRPr="0056086B">
              <w:rPr>
                <w:rFonts w:eastAsia="Calibri"/>
                <w:color w:val="FF0000"/>
                <w:sz w:val="23"/>
                <w:szCs w:val="23"/>
                <w:lang w:val="en-GB"/>
              </w:rPr>
              <w:t>- coverage (e.g. population covered, benefits covered; need for timely access to care);</w:t>
            </w:r>
          </w:p>
          <w:p w14:paraId="6DAE1C6B" w14:textId="77777777" w:rsidR="00DB00FD" w:rsidRPr="0056086B" w:rsidRDefault="00DB00FD" w:rsidP="001E2158">
            <w:pPr>
              <w:spacing w:after="120" w:line="240" w:lineRule="auto"/>
              <w:jc w:val="left"/>
              <w:rPr>
                <w:rFonts w:eastAsia="Calibri"/>
                <w:color w:val="FF0000"/>
                <w:sz w:val="23"/>
                <w:szCs w:val="23"/>
                <w:lang w:val="en-GB"/>
              </w:rPr>
            </w:pPr>
            <w:r w:rsidRPr="0056086B">
              <w:rPr>
                <w:rFonts w:eastAsia="Calibri"/>
                <w:color w:val="FF0000"/>
                <w:sz w:val="23"/>
                <w:szCs w:val="23"/>
                <w:lang w:val="en-GB"/>
              </w:rPr>
              <w:t>- availability of resources (such as: human resources; financial resources).</w:t>
            </w:r>
          </w:p>
          <w:p w14:paraId="4B852A22" w14:textId="77777777" w:rsidR="00DB00FD" w:rsidRPr="0056086B" w:rsidRDefault="00DB00FD" w:rsidP="001E2158">
            <w:pPr>
              <w:spacing w:after="120" w:line="240" w:lineRule="auto"/>
              <w:jc w:val="left"/>
              <w:rPr>
                <w:rFonts w:eastAsia="Calibri"/>
                <w:color w:val="FF0000"/>
                <w:sz w:val="23"/>
                <w:szCs w:val="23"/>
                <w:lang w:val="en-GB"/>
              </w:rPr>
            </w:pPr>
            <w:r w:rsidRPr="0056086B">
              <w:rPr>
                <w:rFonts w:eastAsia="Calibri"/>
                <w:color w:val="FF0000"/>
                <w:sz w:val="23"/>
                <w:szCs w:val="23"/>
                <w:lang w:val="en-GB"/>
              </w:rPr>
              <w:t xml:space="preserve">Investments in infrastructure or medical equipment or other equipment shall contribute to improving the quality of care, availability of resources and ensuring timely and comprehensive access to hospital care. </w:t>
            </w:r>
          </w:p>
          <w:p w14:paraId="4EAE3E88" w14:textId="77777777" w:rsidR="00DB00FD" w:rsidRPr="003E6212" w:rsidRDefault="00DB00FD" w:rsidP="001E2158">
            <w:pPr>
              <w:spacing w:after="120" w:line="240" w:lineRule="auto"/>
              <w:jc w:val="left"/>
              <w:rPr>
                <w:rFonts w:eastAsia="Calibri"/>
                <w:color w:val="FF0000"/>
                <w:sz w:val="23"/>
                <w:szCs w:val="23"/>
                <w:lang w:val="en-GB"/>
              </w:rPr>
            </w:pPr>
            <w:r w:rsidRPr="0056086B">
              <w:rPr>
                <w:rFonts w:eastAsia="Calibri"/>
                <w:color w:val="FF0000"/>
                <w:sz w:val="23"/>
                <w:szCs w:val="23"/>
                <w:lang w:val="en-GB"/>
              </w:rPr>
              <w:t>The support shall cover only the scope of activities related to the provision of health services financed by the National Health Fund, and it shall not cover the commercial activities.</w:t>
            </w:r>
          </w:p>
        </w:tc>
      </w:tr>
      <w:tr w:rsidR="00DB00FD" w:rsidRPr="00AF3A31" w14:paraId="6496F548" w14:textId="77777777" w:rsidTr="00A501D9">
        <w:trPr>
          <w:trHeight w:val="300"/>
        </w:trPr>
        <w:tc>
          <w:tcPr>
            <w:tcW w:w="1230" w:type="pct"/>
            <w:tcBorders>
              <w:top w:val="single" w:sz="4" w:space="0" w:color="auto"/>
              <w:left w:val="single" w:sz="4" w:space="0" w:color="auto"/>
              <w:bottom w:val="single" w:sz="4" w:space="0" w:color="auto"/>
              <w:right w:val="single" w:sz="4" w:space="0" w:color="auto"/>
            </w:tcBorders>
          </w:tcPr>
          <w:p w14:paraId="10A7C943" w14:textId="77777777" w:rsidR="00DB00FD" w:rsidRPr="00AF3A31" w:rsidRDefault="00DB00FD" w:rsidP="001E2158">
            <w:pPr>
              <w:spacing w:before="60" w:after="60" w:line="252" w:lineRule="auto"/>
              <w:jc w:val="left"/>
              <w:rPr>
                <w:rFonts w:eastAsia="Calibri"/>
                <w:lang w:val="en-GB"/>
              </w:rPr>
            </w:pPr>
          </w:p>
        </w:tc>
        <w:tc>
          <w:tcPr>
            <w:tcW w:w="1935" w:type="pct"/>
            <w:tcBorders>
              <w:top w:val="single" w:sz="4" w:space="0" w:color="auto"/>
              <w:left w:val="single" w:sz="4" w:space="0" w:color="auto"/>
              <w:bottom w:val="single" w:sz="4" w:space="0" w:color="auto"/>
              <w:right w:val="single" w:sz="4" w:space="0" w:color="auto"/>
            </w:tcBorders>
          </w:tcPr>
          <w:p w14:paraId="0FE0C48B" w14:textId="77777777" w:rsidR="00DB00FD" w:rsidRPr="00AF3A31" w:rsidRDefault="00DB00FD" w:rsidP="001E2158">
            <w:pPr>
              <w:spacing w:after="120" w:line="240" w:lineRule="auto"/>
              <w:jc w:val="left"/>
              <w:rPr>
                <w:rFonts w:eastAsia="Calibri"/>
              </w:rPr>
            </w:pPr>
            <w:r w:rsidRPr="00AF3A31">
              <w:rPr>
                <w:rFonts w:eastAsia="Calibri"/>
              </w:rPr>
              <w:t>D11G W1</w:t>
            </w:r>
          </w:p>
          <w:p w14:paraId="3CE0BAA0" w14:textId="77777777" w:rsidR="00DB00FD" w:rsidRPr="00AF3A31" w:rsidRDefault="00DB00FD" w:rsidP="001E2158">
            <w:pPr>
              <w:spacing w:after="120" w:line="240" w:lineRule="auto"/>
              <w:jc w:val="left"/>
              <w:rPr>
                <w:rFonts w:eastAsia="Calibri"/>
              </w:rPr>
            </w:pPr>
            <w:r w:rsidRPr="00AF3A31">
              <w:t>Umowy podpisane pomiędzy szpitalami a Ministerstwem Zdrowia na zakup sprzętu medycznego lub wsparcie inwestycji infrastrukturalnych</w:t>
            </w:r>
          </w:p>
          <w:p w14:paraId="14645376" w14:textId="77777777" w:rsidR="00DB00FD" w:rsidRPr="00AF3A31" w:rsidRDefault="00DB00FD" w:rsidP="001E2158">
            <w:pPr>
              <w:spacing w:after="120" w:line="240" w:lineRule="auto"/>
              <w:jc w:val="left"/>
              <w:rPr>
                <w:rFonts w:eastAsia="Calibri"/>
              </w:rPr>
            </w:pPr>
            <w:r w:rsidRPr="00AF3A31">
              <w:rPr>
                <w:rFonts w:eastAsia="Calibri"/>
              </w:rPr>
              <w:t xml:space="preserve">Termin realizacji: IV kw. </w:t>
            </w:r>
            <w:r w:rsidRPr="00AF3A31">
              <w:t>2023</w:t>
            </w:r>
          </w:p>
          <w:p w14:paraId="67E28658" w14:textId="77777777" w:rsidR="00DB00FD" w:rsidRPr="00AF3A31" w:rsidRDefault="00DB00FD" w:rsidP="001E2158">
            <w:pPr>
              <w:spacing w:after="120" w:line="240" w:lineRule="auto"/>
              <w:jc w:val="left"/>
              <w:rPr>
                <w:rFonts w:eastAsia="Calibri"/>
              </w:rPr>
            </w:pPr>
            <w:r w:rsidRPr="00AF3A31">
              <w:rPr>
                <w:rFonts w:eastAsia="Calibri"/>
              </w:rPr>
              <w:t>Wskaźniki ilościowe (dla wartości docelowych) – cel: 61</w:t>
            </w:r>
          </w:p>
          <w:p w14:paraId="7848CBCF" w14:textId="77777777" w:rsidR="00DB00FD" w:rsidRPr="00AF3A31" w:rsidRDefault="00DB00FD" w:rsidP="001E2158">
            <w:pPr>
              <w:spacing w:after="120" w:line="240" w:lineRule="auto"/>
              <w:jc w:val="left"/>
              <w:rPr>
                <w:rFonts w:eastAsia="Calibri"/>
              </w:rPr>
            </w:pPr>
            <w:r w:rsidRPr="00AF3A31">
              <w:rPr>
                <w:rFonts w:eastAsia="Calibri"/>
              </w:rPr>
              <w:t>Opis każdego kamienia milowego i każdej wartości docelowej:</w:t>
            </w:r>
          </w:p>
          <w:p w14:paraId="1BBFCF58" w14:textId="77777777" w:rsidR="00DB00FD" w:rsidRPr="00AF3A31" w:rsidRDefault="00DB00FD" w:rsidP="001E2158">
            <w:pPr>
              <w:spacing w:after="120" w:line="240" w:lineRule="auto"/>
              <w:jc w:val="left"/>
              <w:rPr>
                <w:rFonts w:eastAsia="Calibri"/>
              </w:rPr>
            </w:pPr>
            <w:r w:rsidRPr="00AF3A31">
              <w:rPr>
                <w:rFonts w:eastAsia="Calibri"/>
              </w:rPr>
              <w:t>Liczba podpisanych umów pomiędzy szpitalami a Ministerstwem Zdrowia (lub inną instytucją wskazaną przez Ministerstwo) na zakup sprzętu medycznego lub na infrastrukturę.</w:t>
            </w:r>
          </w:p>
          <w:p w14:paraId="28822249" w14:textId="77777777" w:rsidR="00DB00FD" w:rsidRPr="00AF3A31" w:rsidRDefault="00DB00FD" w:rsidP="001E2158">
            <w:pPr>
              <w:spacing w:after="120" w:line="240" w:lineRule="auto"/>
              <w:jc w:val="left"/>
              <w:rPr>
                <w:rFonts w:eastAsia="Calibri"/>
              </w:rPr>
            </w:pPr>
            <w:r w:rsidRPr="00AF3A31">
              <w:rPr>
                <w:rFonts w:eastAsia="Calibri"/>
              </w:rPr>
              <w:t>Sprzęt medyczny przyczyni się do poprawy jakości opieki, dostępności zasobów oraz zapewnienia terminowego i kompleksowego dostępu do opieki szpitalnej.</w:t>
            </w:r>
          </w:p>
          <w:p w14:paraId="236A10A8" w14:textId="77777777" w:rsidR="00DB00FD" w:rsidRPr="00AF3A31" w:rsidRDefault="00DB00FD" w:rsidP="001E2158">
            <w:pPr>
              <w:spacing w:after="120" w:line="240" w:lineRule="auto"/>
              <w:jc w:val="left"/>
              <w:rPr>
                <w:rFonts w:eastAsia="Calibri"/>
              </w:rPr>
            </w:pPr>
            <w:r w:rsidRPr="00AF3A31">
              <w:rPr>
                <w:rFonts w:eastAsia="Calibri"/>
              </w:rPr>
              <w:t>Rozbudowa infrastruktury przyczyni się do poprawy jakości opieki, dostępności zasobów oraz zapewnienia terminowego i kompleksowego dostępu do opieki szpitalnej.</w:t>
            </w:r>
          </w:p>
          <w:p w14:paraId="370DB11B" w14:textId="77777777" w:rsidR="00DB00FD" w:rsidRPr="00AF3A31" w:rsidRDefault="00DB00FD" w:rsidP="001E2158">
            <w:pPr>
              <w:spacing w:after="120" w:line="240" w:lineRule="auto"/>
              <w:jc w:val="left"/>
              <w:rPr>
                <w:rFonts w:eastAsia="Calibri"/>
              </w:rPr>
            </w:pPr>
            <w:r w:rsidRPr="00AF3A31">
              <w:rPr>
                <w:rFonts w:eastAsia="Calibri"/>
              </w:rPr>
              <w:t>Wsparcie obejmie wyłącznie zakres działalności związanej ze udzielaniem świadczeń zdrowotnych finansowanych przez Narodowy Fundusz Zdrowia i nie obejmie działalności komercyjnej.</w:t>
            </w:r>
          </w:p>
        </w:tc>
        <w:tc>
          <w:tcPr>
            <w:tcW w:w="1835" w:type="pct"/>
            <w:tcBorders>
              <w:top w:val="single" w:sz="4" w:space="0" w:color="auto"/>
              <w:left w:val="single" w:sz="4" w:space="0" w:color="auto"/>
              <w:bottom w:val="single" w:sz="4" w:space="0" w:color="auto"/>
              <w:right w:val="single" w:sz="4" w:space="0" w:color="auto"/>
            </w:tcBorders>
          </w:tcPr>
          <w:p w14:paraId="23503BDE" w14:textId="77777777" w:rsidR="00DB00FD" w:rsidRPr="00AF3A31" w:rsidRDefault="00DB00FD" w:rsidP="001E2158">
            <w:pPr>
              <w:spacing w:after="120" w:line="240" w:lineRule="auto"/>
              <w:jc w:val="left"/>
              <w:rPr>
                <w:rFonts w:eastAsia="Calibri"/>
              </w:rPr>
            </w:pPr>
            <w:r w:rsidRPr="00AF3A31">
              <w:rPr>
                <w:rFonts w:eastAsia="Calibri"/>
              </w:rPr>
              <w:t>D11G W1</w:t>
            </w:r>
          </w:p>
          <w:p w14:paraId="58156C11" w14:textId="77777777" w:rsidR="00DB00FD" w:rsidRPr="00AF3A31" w:rsidRDefault="00DB00FD" w:rsidP="001E2158">
            <w:pPr>
              <w:spacing w:after="120" w:line="240" w:lineRule="auto"/>
              <w:jc w:val="left"/>
              <w:rPr>
                <w:rFonts w:eastAsia="Calibri"/>
              </w:rPr>
            </w:pPr>
            <w:r w:rsidRPr="00AF3A31">
              <w:rPr>
                <w:rFonts w:eastAsia="Calibri"/>
              </w:rPr>
              <w:t xml:space="preserve">Umowy podpisane pomiędzy szpitalami </w:t>
            </w:r>
            <w:r w:rsidRPr="0056086B">
              <w:rPr>
                <w:rFonts w:eastAsia="Calibri"/>
                <w:color w:val="FF0000"/>
                <w:sz w:val="23"/>
                <w:szCs w:val="23"/>
              </w:rPr>
              <w:t>lub jednostkami z nimi współpracującymi  (ośrodkami kooperującymi w ramach KSO)</w:t>
            </w:r>
            <w:r w:rsidRPr="00AF0026">
              <w:rPr>
                <w:rFonts w:eastAsia="Calibri"/>
                <w:color w:val="FF0000"/>
              </w:rPr>
              <w:t xml:space="preserve"> </w:t>
            </w:r>
            <w:r w:rsidRPr="00AF3A31">
              <w:rPr>
                <w:rFonts w:eastAsia="Calibri"/>
              </w:rPr>
              <w:t>a Ministerstwem Zdrowia na zakup sprzętu medycznego lub wsparcie inwestycji infrastrukturalnych</w:t>
            </w:r>
          </w:p>
          <w:p w14:paraId="48DFBFC3" w14:textId="77777777" w:rsidR="00DB00FD" w:rsidRPr="00AF3A31" w:rsidRDefault="00DB00FD" w:rsidP="001E2158">
            <w:pPr>
              <w:spacing w:after="120" w:line="240" w:lineRule="auto"/>
              <w:jc w:val="left"/>
              <w:rPr>
                <w:rFonts w:eastAsia="Calibri"/>
                <w:color w:val="FF0000"/>
              </w:rPr>
            </w:pPr>
            <w:r w:rsidRPr="00AF3A31">
              <w:rPr>
                <w:rFonts w:eastAsia="Calibri"/>
              </w:rPr>
              <w:t xml:space="preserve">Termin realizacji: </w:t>
            </w:r>
            <w:r w:rsidRPr="00AF3A31">
              <w:rPr>
                <w:rFonts w:eastAsia="Calibri"/>
                <w:color w:val="FF0000"/>
              </w:rPr>
              <w:t xml:space="preserve">I kw. </w:t>
            </w:r>
            <w:r w:rsidRPr="00AF3A31">
              <w:rPr>
                <w:color w:val="FF0000"/>
              </w:rPr>
              <w:t>2025</w:t>
            </w:r>
          </w:p>
          <w:p w14:paraId="4ACC71C8" w14:textId="77777777" w:rsidR="00DB00FD" w:rsidRPr="00AF3A31" w:rsidRDefault="00DB00FD" w:rsidP="001E2158">
            <w:pPr>
              <w:spacing w:after="120" w:line="240" w:lineRule="auto"/>
              <w:jc w:val="left"/>
              <w:rPr>
                <w:rFonts w:eastAsia="Calibri"/>
              </w:rPr>
            </w:pPr>
            <w:r w:rsidRPr="00AF3A31">
              <w:rPr>
                <w:rFonts w:eastAsia="Calibri"/>
              </w:rPr>
              <w:t>Wskaźniki ilościowe (dla wartości docelowych) – cel: bez zmian</w:t>
            </w:r>
          </w:p>
          <w:p w14:paraId="2035EC9C" w14:textId="77777777" w:rsidR="00DB00FD" w:rsidRPr="00AF3A31" w:rsidRDefault="00DB00FD" w:rsidP="001E2158">
            <w:pPr>
              <w:spacing w:after="120" w:line="240" w:lineRule="auto"/>
              <w:jc w:val="left"/>
              <w:rPr>
                <w:rFonts w:eastAsia="Calibri"/>
              </w:rPr>
            </w:pPr>
            <w:r w:rsidRPr="00AF3A31">
              <w:rPr>
                <w:rFonts w:eastAsia="Calibri"/>
              </w:rPr>
              <w:t>Opis każdego kamienia milowego i każdej wartości docelowej:</w:t>
            </w:r>
          </w:p>
          <w:p w14:paraId="4FC2E62D" w14:textId="77777777" w:rsidR="00DB00FD" w:rsidRPr="00AF3A31" w:rsidRDefault="00DB00FD" w:rsidP="001E2158">
            <w:pPr>
              <w:spacing w:after="120" w:line="240" w:lineRule="auto"/>
              <w:jc w:val="left"/>
              <w:rPr>
                <w:rFonts w:eastAsia="Calibri"/>
              </w:rPr>
            </w:pPr>
            <w:r w:rsidRPr="00AF3A31">
              <w:rPr>
                <w:rFonts w:eastAsia="Calibri"/>
              </w:rPr>
              <w:t>Liczba podpisanych umów pomiędzy szpitalami</w:t>
            </w:r>
            <w:r>
              <w:rPr>
                <w:rFonts w:eastAsia="Calibri"/>
              </w:rPr>
              <w:t xml:space="preserve"> </w:t>
            </w:r>
            <w:r w:rsidRPr="0056086B">
              <w:rPr>
                <w:rFonts w:eastAsia="Calibri"/>
                <w:color w:val="FF0000"/>
                <w:sz w:val="23"/>
                <w:szCs w:val="23"/>
              </w:rPr>
              <w:t>lub jednostkami z nimi współpracującymi  (ośrodkami kooperującymi w ramach KSO)</w:t>
            </w:r>
            <w:r w:rsidRPr="00AF0026">
              <w:rPr>
                <w:rFonts w:eastAsia="Calibri"/>
                <w:color w:val="FF0000"/>
              </w:rPr>
              <w:t xml:space="preserve"> </w:t>
            </w:r>
            <w:r w:rsidRPr="0056086B">
              <w:rPr>
                <w:rFonts w:eastAsia="Calibri"/>
                <w:color w:val="FF0000"/>
              </w:rPr>
              <w:t xml:space="preserve"> </w:t>
            </w:r>
            <w:r w:rsidRPr="00AF3A31">
              <w:rPr>
                <w:rFonts w:eastAsia="Calibri"/>
              </w:rPr>
              <w:t>a Ministerstwem Zdrowia (lub inną instytucją wskazaną przez Ministerstwo) na zakup sprzętu medycznego lub na infrastrukturę.</w:t>
            </w:r>
          </w:p>
          <w:p w14:paraId="03052D75" w14:textId="77777777" w:rsidR="00DB00FD" w:rsidRPr="00AF3A31" w:rsidRDefault="00DB00FD" w:rsidP="001E2158">
            <w:pPr>
              <w:spacing w:after="120" w:line="240" w:lineRule="auto"/>
              <w:jc w:val="left"/>
              <w:rPr>
                <w:rFonts w:eastAsia="Calibri"/>
              </w:rPr>
            </w:pPr>
            <w:r w:rsidRPr="00AF3A31">
              <w:rPr>
                <w:rFonts w:eastAsia="Calibri"/>
              </w:rPr>
              <w:t>Sprzęt medyczny przyczyni się do poprawy jakości opieki, dostępności zasobów oraz zapewnienia terminowego i kompleksowego dostępu do opieki szpitalnej</w:t>
            </w:r>
            <w:r>
              <w:rPr>
                <w:rFonts w:eastAsia="Calibri"/>
              </w:rPr>
              <w:t xml:space="preserve"> </w:t>
            </w:r>
            <w:r w:rsidRPr="008F19AE">
              <w:rPr>
                <w:rFonts w:eastAsia="Calibri"/>
                <w:color w:val="FF0000"/>
              </w:rPr>
              <w:t>lub ambulatoryjnej</w:t>
            </w:r>
            <w:r w:rsidRPr="00AF3A31">
              <w:rPr>
                <w:rFonts w:eastAsia="Calibri"/>
              </w:rPr>
              <w:t>.</w:t>
            </w:r>
          </w:p>
          <w:p w14:paraId="78ADA490" w14:textId="77777777" w:rsidR="00DB00FD" w:rsidRPr="00AF3A31" w:rsidRDefault="00DB00FD" w:rsidP="001E2158">
            <w:pPr>
              <w:spacing w:after="120" w:line="240" w:lineRule="auto"/>
              <w:jc w:val="left"/>
              <w:rPr>
                <w:rFonts w:eastAsia="Calibri"/>
              </w:rPr>
            </w:pPr>
            <w:r w:rsidRPr="00AF3A31">
              <w:rPr>
                <w:rFonts w:eastAsia="Calibri"/>
              </w:rPr>
              <w:t>Rozbudowa infrastruktury przyczyni się do poprawy jakości opieki, dostępności zasobów oraz zapewnienia terminowego i kompleksowego dostępu do opieki szpitalnej</w:t>
            </w:r>
            <w:r>
              <w:rPr>
                <w:rFonts w:eastAsia="Calibri"/>
              </w:rPr>
              <w:t xml:space="preserve"> </w:t>
            </w:r>
            <w:r w:rsidRPr="008F19AE">
              <w:rPr>
                <w:rFonts w:eastAsia="Calibri"/>
                <w:color w:val="FF0000"/>
              </w:rPr>
              <w:t>lub ambulatoryjnej</w:t>
            </w:r>
            <w:r w:rsidRPr="00AF3A31">
              <w:rPr>
                <w:rFonts w:eastAsia="Calibri"/>
              </w:rPr>
              <w:t>.</w:t>
            </w:r>
          </w:p>
          <w:p w14:paraId="388F17F5" w14:textId="77777777" w:rsidR="00DB00FD" w:rsidRPr="00AF3A31" w:rsidRDefault="00DB00FD" w:rsidP="001E2158">
            <w:pPr>
              <w:spacing w:after="120" w:line="240" w:lineRule="auto"/>
              <w:jc w:val="left"/>
              <w:rPr>
                <w:rFonts w:eastAsia="Calibri"/>
              </w:rPr>
            </w:pPr>
            <w:r w:rsidRPr="00AF3A31">
              <w:rPr>
                <w:rFonts w:eastAsia="Calibri"/>
              </w:rPr>
              <w:t>Wsparcie obejmie wyłącznie zakres działalności związanej ze udzielaniem świadczeń zdrowotnych finansowanych przez Narodowy Fundusz Zdrowia</w:t>
            </w:r>
            <w:r w:rsidRPr="008F19AE">
              <w:rPr>
                <w:rFonts w:eastAsia="Calibri"/>
                <w:color w:val="FF0000"/>
              </w:rPr>
              <w:t>,</w:t>
            </w:r>
            <w:r w:rsidRPr="00AF3A31">
              <w:rPr>
                <w:rFonts w:eastAsia="Calibri"/>
              </w:rPr>
              <w:t xml:space="preserve"> i nie obejmie działalności komercyjnej.</w:t>
            </w:r>
          </w:p>
        </w:tc>
      </w:tr>
      <w:tr w:rsidR="00DB00FD" w:rsidRPr="00935797" w14:paraId="2B25D6B5" w14:textId="77777777" w:rsidTr="00A501D9">
        <w:trPr>
          <w:trHeight w:val="300"/>
        </w:trPr>
        <w:tc>
          <w:tcPr>
            <w:tcW w:w="1230" w:type="pct"/>
            <w:tcBorders>
              <w:top w:val="single" w:sz="4" w:space="0" w:color="auto"/>
              <w:left w:val="single" w:sz="4" w:space="0" w:color="auto"/>
              <w:bottom w:val="single" w:sz="4" w:space="0" w:color="auto"/>
              <w:right w:val="single" w:sz="4" w:space="0" w:color="auto"/>
            </w:tcBorders>
          </w:tcPr>
          <w:p w14:paraId="0E4CBED9" w14:textId="77777777" w:rsidR="00DB00FD" w:rsidRPr="00AF3A31" w:rsidRDefault="00DB00FD" w:rsidP="001E2158">
            <w:pPr>
              <w:spacing w:before="60" w:after="60" w:line="252" w:lineRule="auto"/>
              <w:jc w:val="left"/>
              <w:rPr>
                <w:rFonts w:eastAsia="Calibri"/>
              </w:rPr>
            </w:pPr>
          </w:p>
        </w:tc>
        <w:tc>
          <w:tcPr>
            <w:tcW w:w="1935" w:type="pct"/>
            <w:tcBorders>
              <w:top w:val="single" w:sz="4" w:space="0" w:color="auto"/>
              <w:left w:val="single" w:sz="4" w:space="0" w:color="auto"/>
              <w:bottom w:val="single" w:sz="4" w:space="0" w:color="auto"/>
              <w:right w:val="single" w:sz="4" w:space="0" w:color="auto"/>
            </w:tcBorders>
          </w:tcPr>
          <w:p w14:paraId="31424FB1" w14:textId="77777777" w:rsidR="00DB00FD" w:rsidRPr="00AF3A31" w:rsidRDefault="00DB00FD" w:rsidP="001E2158">
            <w:pPr>
              <w:spacing w:after="120" w:line="240" w:lineRule="auto"/>
              <w:jc w:val="left"/>
              <w:rPr>
                <w:rFonts w:eastAsia="Calibri"/>
                <w:lang w:val="en-GB"/>
              </w:rPr>
            </w:pPr>
            <w:r w:rsidRPr="00AF3A31">
              <w:rPr>
                <w:rFonts w:eastAsia="Calibri"/>
                <w:lang w:val="en-GB"/>
              </w:rPr>
              <w:t>D11G W1</w:t>
            </w:r>
          </w:p>
          <w:p w14:paraId="57F8105E" w14:textId="77777777" w:rsidR="00DB00FD" w:rsidRPr="00AF3A31" w:rsidRDefault="00DB00FD" w:rsidP="001E2158">
            <w:pPr>
              <w:spacing w:after="120" w:line="240" w:lineRule="auto"/>
              <w:jc w:val="left"/>
              <w:rPr>
                <w:rFonts w:eastAsia="Calibri"/>
                <w:lang w:val="en-GB"/>
              </w:rPr>
            </w:pPr>
            <w:r w:rsidRPr="00AF3A31">
              <w:rPr>
                <w:rFonts w:eastAsia="Calibri"/>
                <w:lang w:val="en-GB"/>
              </w:rPr>
              <w:t>Contracts signed between hospitals and the Ministry of Health for the purchase of medical equipment or support for infrastructure investments</w:t>
            </w:r>
          </w:p>
          <w:p w14:paraId="6298C289" w14:textId="77777777" w:rsidR="00DB00FD" w:rsidRPr="00AF3A31" w:rsidRDefault="00DB00FD" w:rsidP="001E2158">
            <w:pPr>
              <w:spacing w:after="120" w:line="240" w:lineRule="auto"/>
              <w:jc w:val="left"/>
              <w:rPr>
                <w:rFonts w:eastAsia="Calibri"/>
                <w:lang w:val="en-GB"/>
              </w:rPr>
            </w:pPr>
            <w:r w:rsidRPr="00AF3A31">
              <w:rPr>
                <w:rFonts w:eastAsia="Calibri"/>
                <w:lang w:val="en-GB"/>
              </w:rPr>
              <w:t>Implementation date: Q4 2023</w:t>
            </w:r>
          </w:p>
          <w:p w14:paraId="196BDA30" w14:textId="77777777" w:rsidR="00DB00FD" w:rsidRPr="00AF3A31" w:rsidRDefault="00DB00FD" w:rsidP="001E2158">
            <w:pPr>
              <w:spacing w:after="120" w:line="240" w:lineRule="auto"/>
              <w:jc w:val="left"/>
              <w:rPr>
                <w:rFonts w:eastAsia="Calibri"/>
                <w:lang w:val="en-GB"/>
              </w:rPr>
            </w:pPr>
            <w:r w:rsidRPr="00AF3A31">
              <w:rPr>
                <w:rFonts w:eastAsia="Calibri"/>
                <w:lang w:val="en-GB"/>
              </w:rPr>
              <w:t>Quantitative indicators (for targets) – Goal: 61</w:t>
            </w:r>
          </w:p>
          <w:p w14:paraId="599E23CD" w14:textId="77777777" w:rsidR="00DB00FD" w:rsidRPr="00AF3A31" w:rsidRDefault="00DB00FD" w:rsidP="001E2158">
            <w:pPr>
              <w:spacing w:after="120" w:line="240" w:lineRule="auto"/>
              <w:jc w:val="left"/>
              <w:rPr>
                <w:rFonts w:eastAsia="Calibri"/>
                <w:lang w:val="en-GB"/>
              </w:rPr>
            </w:pPr>
            <w:r w:rsidRPr="00AF3A31">
              <w:rPr>
                <w:rFonts w:eastAsia="Calibri"/>
                <w:lang w:val="en-GB"/>
              </w:rPr>
              <w:t xml:space="preserve">Decription of each milestone and target: </w:t>
            </w:r>
          </w:p>
          <w:p w14:paraId="22D04A70" w14:textId="77777777" w:rsidR="00DB00FD" w:rsidRPr="00AF3A31" w:rsidRDefault="00DB00FD" w:rsidP="001E2158">
            <w:pPr>
              <w:spacing w:after="120" w:line="240" w:lineRule="auto"/>
              <w:jc w:val="left"/>
              <w:rPr>
                <w:rFonts w:eastAsia="Calibri"/>
                <w:lang w:val="en-GB"/>
              </w:rPr>
            </w:pPr>
            <w:r w:rsidRPr="00AF3A31">
              <w:rPr>
                <w:rFonts w:eastAsia="Calibri"/>
                <w:lang w:val="en-GB"/>
              </w:rPr>
              <w:t xml:space="preserve">Number of signed contracts between hospitals and the Ministry of Health (or another institution indicated by the Ministry) for medical equipment purchased </w:t>
            </w:r>
            <w:r w:rsidRPr="00AF3A31">
              <w:rPr>
                <w:rFonts w:eastAsia="Calibri"/>
                <w:lang w:val="en-GB"/>
              </w:rPr>
              <w:lastRenderedPageBreak/>
              <w:t>or for infrastructure. The medical equipment shall contribute to improving the quality of care, availability of resources and ensuring timely and comprehensive access to hospital care. The infrastructure enhancement shall contribute to improving the quality of care, availability of resources and ensuring timely and comprehensive access to hospital care. The support shall cover only the scope of activities related to the provision of health services financed by the National Health Fund, and it shall not cover the commercial activities.</w:t>
            </w:r>
          </w:p>
        </w:tc>
        <w:tc>
          <w:tcPr>
            <w:tcW w:w="1835" w:type="pct"/>
            <w:tcBorders>
              <w:top w:val="single" w:sz="4" w:space="0" w:color="auto"/>
              <w:left w:val="single" w:sz="4" w:space="0" w:color="auto"/>
              <w:bottom w:val="single" w:sz="4" w:space="0" w:color="auto"/>
              <w:right w:val="single" w:sz="4" w:space="0" w:color="auto"/>
            </w:tcBorders>
          </w:tcPr>
          <w:p w14:paraId="2BC471CC" w14:textId="77777777" w:rsidR="00DB00FD" w:rsidRPr="00AF3A31" w:rsidRDefault="00DB00FD" w:rsidP="001E2158">
            <w:pPr>
              <w:spacing w:after="120" w:line="240" w:lineRule="auto"/>
              <w:jc w:val="left"/>
              <w:rPr>
                <w:rFonts w:eastAsia="Calibri"/>
                <w:lang w:val="en-GB"/>
              </w:rPr>
            </w:pPr>
            <w:r w:rsidRPr="00AF3A31">
              <w:rPr>
                <w:rFonts w:eastAsia="Calibri"/>
                <w:lang w:val="en-GB"/>
              </w:rPr>
              <w:lastRenderedPageBreak/>
              <w:t>D11G W1</w:t>
            </w:r>
          </w:p>
          <w:p w14:paraId="2A4E610C" w14:textId="77777777" w:rsidR="00DB00FD" w:rsidRPr="00AF3A31" w:rsidRDefault="00DB00FD" w:rsidP="001E2158">
            <w:pPr>
              <w:spacing w:after="120" w:line="240" w:lineRule="auto"/>
              <w:jc w:val="left"/>
              <w:rPr>
                <w:rFonts w:eastAsia="Calibri"/>
                <w:color w:val="FF0000"/>
                <w:lang w:val="en-GB"/>
              </w:rPr>
            </w:pPr>
            <w:r w:rsidRPr="00AF3A31">
              <w:rPr>
                <w:rFonts w:eastAsia="Calibri"/>
                <w:color w:val="FF0000"/>
                <w:lang w:val="en-GB"/>
              </w:rPr>
              <w:t>Contracts signed between hospitals</w:t>
            </w:r>
            <w:r>
              <w:rPr>
                <w:rFonts w:eastAsia="Calibri"/>
                <w:color w:val="FF0000"/>
                <w:lang w:val="en-GB"/>
              </w:rPr>
              <w:t xml:space="preserve"> </w:t>
            </w:r>
            <w:r w:rsidRPr="0056086B">
              <w:rPr>
                <w:rFonts w:eastAsiaTheme="minorHAnsi"/>
                <w:color w:val="FF0000"/>
                <w:sz w:val="23"/>
                <w:szCs w:val="23"/>
                <w:lang w:val="en-GB"/>
              </w:rPr>
              <w:t>or entities cooperating with them</w:t>
            </w:r>
            <w:r w:rsidRPr="0056086B">
              <w:rPr>
                <w:rFonts w:eastAsia="Calibri"/>
                <w:color w:val="FF0000"/>
                <w:sz w:val="23"/>
                <w:szCs w:val="23"/>
                <w:lang w:val="en-GB"/>
              </w:rPr>
              <w:t xml:space="preserve"> (cooperating centres within NCN)</w:t>
            </w:r>
            <w:r w:rsidRPr="00AF0026">
              <w:rPr>
                <w:rFonts w:eastAsia="Calibri"/>
                <w:color w:val="FF0000"/>
                <w:lang w:val="en-GB"/>
              </w:rPr>
              <w:t xml:space="preserve"> </w:t>
            </w:r>
            <w:r w:rsidRPr="00AF3A31">
              <w:rPr>
                <w:rFonts w:eastAsia="Calibri"/>
                <w:color w:val="FF0000"/>
                <w:lang w:val="en-GB"/>
              </w:rPr>
              <w:t>and the Ministry of Health for the purchase of medical equipment or support for infrastructure investments</w:t>
            </w:r>
          </w:p>
          <w:p w14:paraId="1BEDDD35" w14:textId="77777777" w:rsidR="00DB00FD" w:rsidRPr="009D1150" w:rsidRDefault="00DB00FD" w:rsidP="001E2158">
            <w:pPr>
              <w:spacing w:after="120" w:line="240" w:lineRule="auto"/>
              <w:jc w:val="left"/>
              <w:rPr>
                <w:rFonts w:eastAsia="Calibri"/>
                <w:lang w:val="en-GB"/>
              </w:rPr>
            </w:pPr>
            <w:r w:rsidRPr="009D1150">
              <w:rPr>
                <w:rFonts w:eastAsia="Calibri"/>
                <w:lang w:val="en-GB"/>
              </w:rPr>
              <w:t xml:space="preserve">Indicative schedule for completing the measure </w:t>
            </w:r>
          </w:p>
          <w:p w14:paraId="0F4BF78C" w14:textId="77777777" w:rsidR="00DB00FD" w:rsidRPr="00AF3A31" w:rsidRDefault="00DB00FD" w:rsidP="001E2158">
            <w:pPr>
              <w:spacing w:after="120" w:line="240" w:lineRule="auto"/>
              <w:jc w:val="left"/>
              <w:rPr>
                <w:rFonts w:eastAsia="Calibri"/>
                <w:color w:val="FF0000"/>
                <w:lang w:val="en-GB"/>
              </w:rPr>
            </w:pPr>
            <w:r w:rsidRPr="00AF3A31">
              <w:rPr>
                <w:rFonts w:eastAsia="Calibri"/>
                <w:lang w:val="en-GB"/>
              </w:rPr>
              <w:t xml:space="preserve">Implementation date: </w:t>
            </w:r>
            <w:r w:rsidRPr="00AF3A31">
              <w:rPr>
                <w:rFonts w:eastAsia="Calibri"/>
                <w:color w:val="FF0000"/>
                <w:lang w:val="en-GB"/>
              </w:rPr>
              <w:t>Q1 2025</w:t>
            </w:r>
          </w:p>
          <w:p w14:paraId="70647FA9" w14:textId="77777777" w:rsidR="00DB00FD" w:rsidRPr="00AF3A31" w:rsidRDefault="00DB00FD" w:rsidP="001E2158">
            <w:pPr>
              <w:spacing w:after="120" w:line="240" w:lineRule="auto"/>
              <w:jc w:val="left"/>
              <w:rPr>
                <w:rFonts w:eastAsia="Calibri"/>
                <w:lang w:val="en-GB"/>
              </w:rPr>
            </w:pPr>
            <w:r w:rsidRPr="00AF3A31">
              <w:rPr>
                <w:rFonts w:eastAsia="Calibri"/>
                <w:lang w:val="en-GB"/>
              </w:rPr>
              <w:t>Quantitative indicators (for targets) – Goal: Without changes.</w:t>
            </w:r>
          </w:p>
          <w:p w14:paraId="5A827360" w14:textId="77777777" w:rsidR="00DB00FD" w:rsidRPr="00AF3A31" w:rsidRDefault="00DB00FD" w:rsidP="001E2158">
            <w:pPr>
              <w:spacing w:after="120" w:line="240" w:lineRule="auto"/>
              <w:jc w:val="left"/>
              <w:rPr>
                <w:rFonts w:eastAsia="Calibri"/>
                <w:lang w:val="en-GB"/>
              </w:rPr>
            </w:pPr>
            <w:r w:rsidRPr="00AF3A31">
              <w:rPr>
                <w:rFonts w:eastAsia="Calibri"/>
                <w:lang w:val="en-GB"/>
              </w:rPr>
              <w:t xml:space="preserve">Decription of each milestone and target: </w:t>
            </w:r>
          </w:p>
          <w:p w14:paraId="599102D0" w14:textId="77777777" w:rsidR="00DB00FD" w:rsidRPr="008F19AE" w:rsidRDefault="00DB00FD" w:rsidP="001E2158">
            <w:pPr>
              <w:spacing w:after="120" w:line="240" w:lineRule="auto"/>
              <w:jc w:val="left"/>
              <w:rPr>
                <w:rFonts w:eastAsia="Calibri"/>
                <w:lang w:val="en-GB"/>
              </w:rPr>
            </w:pPr>
            <w:r w:rsidRPr="00AF3A31">
              <w:rPr>
                <w:rFonts w:eastAsia="Calibri"/>
                <w:lang w:val="en-GB"/>
              </w:rPr>
              <w:lastRenderedPageBreak/>
              <w:t xml:space="preserve">Number of signed contracts between hospitals </w:t>
            </w:r>
            <w:r w:rsidRPr="00AF0026">
              <w:rPr>
                <w:rFonts w:eastAsiaTheme="minorHAnsi"/>
                <w:color w:val="FF0000"/>
                <w:sz w:val="23"/>
                <w:szCs w:val="23"/>
                <w:lang w:val="en-GB"/>
              </w:rPr>
              <w:t>or entities cooperating with them</w:t>
            </w:r>
            <w:r w:rsidRPr="00AF0026">
              <w:rPr>
                <w:rFonts w:eastAsia="Calibri"/>
                <w:color w:val="FF0000"/>
                <w:sz w:val="23"/>
                <w:szCs w:val="23"/>
                <w:lang w:val="en-GB"/>
              </w:rPr>
              <w:t xml:space="preserve"> </w:t>
            </w:r>
            <w:r w:rsidRPr="00AF3A31">
              <w:rPr>
                <w:rFonts w:eastAsia="Calibri"/>
                <w:lang w:val="en-GB"/>
              </w:rPr>
              <w:t>and the Ministry of Health (or another institution indicated by the Ministry) for medical equipment purchased or for infrastructure. The medical equipment shall contribute to improving the quality of care, availability of resources and ensuring timely and comprehensive access to hospital</w:t>
            </w:r>
            <w:r>
              <w:rPr>
                <w:rFonts w:eastAsia="Calibri"/>
                <w:lang w:val="en-GB"/>
              </w:rPr>
              <w:t xml:space="preserve"> </w:t>
            </w:r>
            <w:r w:rsidRPr="008F19AE">
              <w:rPr>
                <w:rFonts w:eastAsia="Calibri"/>
                <w:color w:val="FF0000"/>
                <w:lang w:val="en-GB"/>
              </w:rPr>
              <w:t xml:space="preserve">and ambulatory </w:t>
            </w:r>
            <w:r w:rsidRPr="00AF3A31">
              <w:rPr>
                <w:rFonts w:eastAsia="Calibri"/>
                <w:lang w:val="en-GB"/>
              </w:rPr>
              <w:t>care. The infrastructure enhancement shall contribute to improving the quality of care, availability of resources and ensuring timely and comprehensive access to hospital</w:t>
            </w:r>
            <w:r>
              <w:rPr>
                <w:rFonts w:eastAsia="Calibri"/>
                <w:lang w:val="en-GB"/>
              </w:rPr>
              <w:t xml:space="preserve"> </w:t>
            </w:r>
            <w:r w:rsidRPr="008F19AE">
              <w:rPr>
                <w:rFonts w:eastAsia="Calibri"/>
                <w:color w:val="FF0000"/>
                <w:lang w:val="en-GB"/>
              </w:rPr>
              <w:t>and ambulatory</w:t>
            </w:r>
            <w:r w:rsidRPr="00AF3A31">
              <w:rPr>
                <w:rFonts w:eastAsia="Calibri"/>
                <w:lang w:val="en-GB"/>
              </w:rPr>
              <w:t xml:space="preserve"> care. The support shall cover only the scope of activities related to the provision of health services financed by the National Health Fund, and it shall not cover the commercial activities.</w:t>
            </w:r>
          </w:p>
        </w:tc>
      </w:tr>
      <w:tr w:rsidR="00DB00FD" w:rsidRPr="00AF3A31" w14:paraId="5011A9C5" w14:textId="77777777" w:rsidTr="00A501D9">
        <w:trPr>
          <w:trHeight w:val="300"/>
        </w:trPr>
        <w:tc>
          <w:tcPr>
            <w:tcW w:w="1230" w:type="pct"/>
            <w:tcBorders>
              <w:top w:val="single" w:sz="4" w:space="0" w:color="auto"/>
              <w:left w:val="single" w:sz="4" w:space="0" w:color="auto"/>
              <w:bottom w:val="single" w:sz="4" w:space="0" w:color="auto"/>
              <w:right w:val="single" w:sz="4" w:space="0" w:color="auto"/>
            </w:tcBorders>
          </w:tcPr>
          <w:p w14:paraId="65AA9BDE" w14:textId="77777777" w:rsidR="00DB00FD" w:rsidRPr="008F19AE" w:rsidRDefault="00DB00FD" w:rsidP="001E2158">
            <w:pPr>
              <w:spacing w:before="60" w:after="60" w:line="252" w:lineRule="auto"/>
              <w:jc w:val="left"/>
              <w:rPr>
                <w:rFonts w:eastAsia="Calibri"/>
                <w:lang w:val="en-GB"/>
              </w:rPr>
            </w:pPr>
          </w:p>
        </w:tc>
        <w:tc>
          <w:tcPr>
            <w:tcW w:w="1935" w:type="pct"/>
            <w:tcBorders>
              <w:top w:val="single" w:sz="4" w:space="0" w:color="auto"/>
              <w:left w:val="single" w:sz="4" w:space="0" w:color="auto"/>
              <w:bottom w:val="single" w:sz="4" w:space="0" w:color="auto"/>
              <w:right w:val="single" w:sz="4" w:space="0" w:color="auto"/>
            </w:tcBorders>
          </w:tcPr>
          <w:p w14:paraId="5D2A83BD" w14:textId="77777777" w:rsidR="00DB00FD" w:rsidRPr="00AF3A31" w:rsidRDefault="00DB00FD" w:rsidP="001E2158">
            <w:pPr>
              <w:spacing w:before="60" w:after="60" w:line="240" w:lineRule="auto"/>
              <w:jc w:val="left"/>
              <w:rPr>
                <w:rFonts w:eastAsia="Calibri"/>
              </w:rPr>
            </w:pPr>
            <w:r w:rsidRPr="00AF3A31">
              <w:rPr>
                <w:rFonts w:eastAsia="Calibri"/>
              </w:rPr>
              <w:t>D12G W2</w:t>
            </w:r>
          </w:p>
          <w:p w14:paraId="430CDFAC" w14:textId="77777777" w:rsidR="00DB00FD" w:rsidRPr="00AF3A31" w:rsidRDefault="00DB00FD" w:rsidP="001E2158">
            <w:pPr>
              <w:spacing w:before="60" w:after="60" w:line="240" w:lineRule="auto"/>
              <w:jc w:val="left"/>
              <w:rPr>
                <w:rFonts w:eastAsia="Calibri"/>
              </w:rPr>
            </w:pPr>
            <w:r w:rsidRPr="00AF3A31">
              <w:rPr>
                <w:rFonts w:eastAsia="Calibri"/>
              </w:rPr>
              <w:t>Umowy podpisane pomiędzy szpitalami a Ministerstwem Zdrowia na zakup sprzętu medycznego lub wsparcie inwestycji infrastrukturalnych</w:t>
            </w:r>
          </w:p>
          <w:p w14:paraId="5FEDA68B" w14:textId="77777777" w:rsidR="00DB00FD" w:rsidRPr="00AF3A31" w:rsidRDefault="00DB00FD" w:rsidP="001E2158">
            <w:pPr>
              <w:spacing w:before="60" w:after="60" w:line="240" w:lineRule="auto"/>
              <w:jc w:val="left"/>
              <w:rPr>
                <w:rFonts w:eastAsia="Calibri"/>
              </w:rPr>
            </w:pPr>
            <w:r w:rsidRPr="00AF3A31">
              <w:rPr>
                <w:rFonts w:eastAsia="Calibri"/>
              </w:rPr>
              <w:t xml:space="preserve">Termin realizacji: IV kw. </w:t>
            </w:r>
            <w:r w:rsidRPr="00AF3A31">
              <w:t>2024</w:t>
            </w:r>
          </w:p>
          <w:p w14:paraId="3B1B1344" w14:textId="77777777" w:rsidR="00DB00FD" w:rsidRPr="00AF3A31" w:rsidRDefault="00DB00FD" w:rsidP="001E2158">
            <w:pPr>
              <w:spacing w:before="60" w:after="60" w:line="240" w:lineRule="auto"/>
              <w:jc w:val="left"/>
              <w:rPr>
                <w:rFonts w:eastAsia="Calibri"/>
              </w:rPr>
            </w:pPr>
            <w:r w:rsidRPr="00AF3A31">
              <w:rPr>
                <w:rFonts w:eastAsia="Calibri"/>
              </w:rPr>
              <w:t>Wskaźniki ilościowe (dla wartości docelowych) – cel: 249</w:t>
            </w:r>
          </w:p>
          <w:p w14:paraId="18BED958" w14:textId="77777777" w:rsidR="00DB00FD" w:rsidRPr="00AF3A31" w:rsidRDefault="00DB00FD" w:rsidP="001E2158">
            <w:pPr>
              <w:spacing w:before="60" w:after="60" w:line="240" w:lineRule="auto"/>
              <w:jc w:val="left"/>
              <w:rPr>
                <w:rFonts w:eastAsia="Calibri"/>
              </w:rPr>
            </w:pPr>
            <w:r w:rsidRPr="00AF3A31">
              <w:rPr>
                <w:rFonts w:eastAsia="Calibri"/>
              </w:rPr>
              <w:t>Opis każdego kamienia milowego i każdej wartości docelowej:</w:t>
            </w:r>
          </w:p>
          <w:p w14:paraId="6CA4BCF0" w14:textId="77777777" w:rsidR="00DB00FD" w:rsidRPr="00AF3A31" w:rsidRDefault="00DB00FD" w:rsidP="001E2158">
            <w:pPr>
              <w:spacing w:before="60" w:after="60" w:line="240" w:lineRule="auto"/>
              <w:jc w:val="left"/>
              <w:rPr>
                <w:rFonts w:eastAsia="Calibri"/>
              </w:rPr>
            </w:pPr>
            <w:r w:rsidRPr="00AF3A31">
              <w:rPr>
                <w:rFonts w:eastAsia="Calibri"/>
              </w:rPr>
              <w:t>Liczba podpisanych umów pomiędzy szpitalem a Ministerstwem Zdrowia (lub inną instytucją wskazaną przez Ministerstwo) na zakup sprzętu medycznego lub rozbudowę infrastruktury.</w:t>
            </w:r>
          </w:p>
          <w:p w14:paraId="06F13755" w14:textId="77777777" w:rsidR="00DB00FD" w:rsidRPr="00AF3A31" w:rsidRDefault="00DB00FD" w:rsidP="001E2158">
            <w:pPr>
              <w:spacing w:before="60" w:after="60" w:line="240" w:lineRule="auto"/>
              <w:jc w:val="left"/>
              <w:rPr>
                <w:rFonts w:eastAsia="Calibri"/>
              </w:rPr>
            </w:pPr>
            <w:r w:rsidRPr="00AF3A31">
              <w:rPr>
                <w:rFonts w:eastAsia="Calibri"/>
              </w:rPr>
              <w:t>Sprzęt medyczny przyczyni się do poprawy jakości opieki, dostępności zasobów oraz zapewnienia terminowego i kompleksowego dostępu do opieki zdrowotnej.</w:t>
            </w:r>
          </w:p>
          <w:p w14:paraId="6EE459F8" w14:textId="77777777" w:rsidR="00DB00FD" w:rsidRPr="00AF3A31" w:rsidRDefault="00DB00FD" w:rsidP="001E2158">
            <w:pPr>
              <w:spacing w:before="60" w:after="60" w:line="240" w:lineRule="auto"/>
              <w:jc w:val="left"/>
              <w:rPr>
                <w:rFonts w:eastAsia="Calibri"/>
              </w:rPr>
            </w:pPr>
            <w:r w:rsidRPr="00AF3A31">
              <w:rPr>
                <w:rFonts w:eastAsia="Calibri"/>
              </w:rPr>
              <w:t>Rozbudowa infrastruktury przyczyni się do poprawy jakości opieki, dostępności zasobów oraz zapewnienia terminowego i kompleksowego dostępu do opieki zdrowotnej.</w:t>
            </w:r>
          </w:p>
          <w:p w14:paraId="495C71BC" w14:textId="77777777" w:rsidR="00DB00FD" w:rsidRPr="00AF3A31" w:rsidRDefault="00DB00FD" w:rsidP="001E2158">
            <w:pPr>
              <w:spacing w:before="60" w:after="60" w:line="240" w:lineRule="auto"/>
              <w:jc w:val="left"/>
              <w:rPr>
                <w:rFonts w:eastAsia="Calibri"/>
              </w:rPr>
            </w:pPr>
            <w:r w:rsidRPr="00AF3A31">
              <w:rPr>
                <w:rFonts w:eastAsia="Calibri"/>
              </w:rPr>
              <w:t>Wsparcie obejmuje wyłącznie zakres działalności związanej ze udzielaniem świadczeń zdrowotnych finansowanych przez Narodowy Fundusz Zdrowia i nie obejmuje działalności komercyjnej.</w:t>
            </w:r>
          </w:p>
        </w:tc>
        <w:tc>
          <w:tcPr>
            <w:tcW w:w="1835" w:type="pct"/>
            <w:tcBorders>
              <w:top w:val="single" w:sz="4" w:space="0" w:color="auto"/>
              <w:left w:val="single" w:sz="4" w:space="0" w:color="auto"/>
              <w:bottom w:val="single" w:sz="4" w:space="0" w:color="auto"/>
              <w:right w:val="single" w:sz="4" w:space="0" w:color="auto"/>
            </w:tcBorders>
          </w:tcPr>
          <w:p w14:paraId="7A840FD6" w14:textId="77777777" w:rsidR="00DB00FD" w:rsidRPr="00AF3A31" w:rsidRDefault="00DB00FD" w:rsidP="001E2158">
            <w:pPr>
              <w:spacing w:before="60" w:after="60" w:line="240" w:lineRule="auto"/>
              <w:jc w:val="left"/>
              <w:rPr>
                <w:rFonts w:eastAsia="Calibri"/>
              </w:rPr>
            </w:pPr>
            <w:r w:rsidRPr="00AF3A31">
              <w:rPr>
                <w:rFonts w:eastAsia="Calibri"/>
              </w:rPr>
              <w:t>D12G W2</w:t>
            </w:r>
          </w:p>
          <w:p w14:paraId="37607D14" w14:textId="77777777" w:rsidR="00DB00FD" w:rsidRPr="00AF3A31" w:rsidRDefault="00DB00FD" w:rsidP="001E2158">
            <w:pPr>
              <w:spacing w:before="60" w:after="60" w:line="240" w:lineRule="auto"/>
              <w:jc w:val="left"/>
              <w:rPr>
                <w:rFonts w:eastAsia="Calibri"/>
              </w:rPr>
            </w:pPr>
            <w:r w:rsidRPr="00AF3A31">
              <w:rPr>
                <w:rFonts w:eastAsia="Calibri"/>
              </w:rPr>
              <w:t xml:space="preserve">Umowy podpisane pomiędzy szpitalami </w:t>
            </w:r>
            <w:r w:rsidRPr="00AA0548">
              <w:rPr>
                <w:rFonts w:eastAsia="Calibri"/>
                <w:color w:val="FF0000"/>
                <w:sz w:val="23"/>
                <w:szCs w:val="23"/>
              </w:rPr>
              <w:t>lub jednostkami z nimi współpracującymi  (ośrodkami kooperującymi w ramach KSO)</w:t>
            </w:r>
            <w:r w:rsidRPr="00AF0026">
              <w:rPr>
                <w:rFonts w:eastAsia="Calibri"/>
                <w:color w:val="FF0000"/>
              </w:rPr>
              <w:t xml:space="preserve"> </w:t>
            </w:r>
            <w:r w:rsidRPr="00AF3A31">
              <w:rPr>
                <w:rFonts w:eastAsia="Calibri"/>
              </w:rPr>
              <w:t>a Ministerstwem Zdrowia na zakup sprzętu medycznego lub wsparcie inwestycji infrastrukturalnych.</w:t>
            </w:r>
          </w:p>
          <w:p w14:paraId="0BAB3752" w14:textId="77777777" w:rsidR="00DB00FD" w:rsidRPr="00AF3A31" w:rsidRDefault="00DB00FD" w:rsidP="001E2158">
            <w:pPr>
              <w:spacing w:before="60" w:after="60" w:line="240" w:lineRule="auto"/>
              <w:jc w:val="left"/>
              <w:rPr>
                <w:rFonts w:eastAsia="Calibri"/>
                <w:color w:val="FF0000"/>
              </w:rPr>
            </w:pPr>
            <w:r w:rsidRPr="00AF3A31">
              <w:rPr>
                <w:rFonts w:eastAsia="Calibri"/>
              </w:rPr>
              <w:t xml:space="preserve">Termin realizacji: </w:t>
            </w:r>
            <w:r w:rsidRPr="00AF3A31">
              <w:rPr>
                <w:rFonts w:eastAsia="Calibri"/>
                <w:color w:val="FF0000"/>
              </w:rPr>
              <w:t xml:space="preserve">II kw. </w:t>
            </w:r>
            <w:r w:rsidRPr="00AF3A31">
              <w:rPr>
                <w:color w:val="FF0000"/>
              </w:rPr>
              <w:t>2025</w:t>
            </w:r>
          </w:p>
          <w:p w14:paraId="4275EA1B" w14:textId="77777777" w:rsidR="00DB00FD" w:rsidRPr="00AF3A31" w:rsidRDefault="00DB00FD" w:rsidP="001E2158">
            <w:pPr>
              <w:spacing w:before="60" w:after="60" w:line="240" w:lineRule="auto"/>
              <w:jc w:val="left"/>
              <w:rPr>
                <w:rFonts w:eastAsia="Calibri"/>
              </w:rPr>
            </w:pPr>
            <w:r w:rsidRPr="00AF3A31">
              <w:rPr>
                <w:rFonts w:eastAsia="Calibri"/>
              </w:rPr>
              <w:t xml:space="preserve">Wskaźniki ilościowe (dla wartości docelowych) – cel: </w:t>
            </w:r>
            <w:r w:rsidRPr="0056086B">
              <w:rPr>
                <w:rFonts w:eastAsia="Calibri"/>
                <w:color w:val="FF0000"/>
              </w:rPr>
              <w:t>130</w:t>
            </w:r>
          </w:p>
          <w:p w14:paraId="40A2D2D1" w14:textId="77777777" w:rsidR="00DB00FD" w:rsidRPr="00AF3A31" w:rsidRDefault="00DB00FD" w:rsidP="001E2158">
            <w:pPr>
              <w:spacing w:before="60" w:after="60" w:line="240" w:lineRule="auto"/>
              <w:jc w:val="left"/>
              <w:rPr>
                <w:rFonts w:eastAsia="Calibri"/>
              </w:rPr>
            </w:pPr>
            <w:r w:rsidRPr="00AF3A31">
              <w:rPr>
                <w:rFonts w:eastAsia="Calibri"/>
              </w:rPr>
              <w:t>Opis każdego kamienia milowego i każdej wartości docelowej:</w:t>
            </w:r>
          </w:p>
          <w:p w14:paraId="417E80EE" w14:textId="77777777" w:rsidR="00DB00FD" w:rsidRPr="0056086B" w:rsidRDefault="00DB00FD" w:rsidP="001E2158">
            <w:pPr>
              <w:spacing w:after="120" w:line="240" w:lineRule="auto"/>
              <w:jc w:val="left"/>
              <w:rPr>
                <w:rFonts w:eastAsia="Calibri"/>
                <w:sz w:val="23"/>
                <w:szCs w:val="23"/>
              </w:rPr>
            </w:pPr>
            <w:r w:rsidRPr="0056086B">
              <w:rPr>
                <w:rFonts w:eastAsia="Calibri"/>
                <w:sz w:val="23"/>
                <w:szCs w:val="23"/>
              </w:rPr>
              <w:t xml:space="preserve">Liczba podpisanych umów pomiędzy szpitalami </w:t>
            </w:r>
            <w:r w:rsidRPr="0056086B">
              <w:rPr>
                <w:rFonts w:eastAsia="Calibri"/>
                <w:color w:val="FF0000"/>
                <w:sz w:val="23"/>
                <w:szCs w:val="23"/>
              </w:rPr>
              <w:t>lub jednostkami z nimi współpracującymi</w:t>
            </w:r>
            <w:r w:rsidRPr="0056086B">
              <w:rPr>
                <w:rFonts w:eastAsia="Calibri"/>
                <w:sz w:val="23"/>
                <w:szCs w:val="23"/>
              </w:rPr>
              <w:t xml:space="preserve"> a Ministerstwem Zdrowia (lub inną instytucją wskazaną przez Ministerstwo) na zakup sprzętu medycznego lub rozbudowę infrastruktury.</w:t>
            </w:r>
          </w:p>
          <w:p w14:paraId="2D24FE9B" w14:textId="77777777" w:rsidR="00DB00FD" w:rsidRPr="0056086B" w:rsidRDefault="00DB00FD" w:rsidP="001E2158">
            <w:pPr>
              <w:spacing w:after="120" w:line="240" w:lineRule="auto"/>
              <w:jc w:val="left"/>
              <w:rPr>
                <w:rFonts w:eastAsia="Calibri"/>
                <w:sz w:val="23"/>
                <w:szCs w:val="23"/>
              </w:rPr>
            </w:pPr>
            <w:r w:rsidRPr="0056086B">
              <w:rPr>
                <w:rFonts w:eastAsia="Calibri"/>
                <w:sz w:val="23"/>
                <w:szCs w:val="23"/>
              </w:rPr>
              <w:t xml:space="preserve">Sprzęt medyczny przyczyni się do poprawy jakości opieki, dostępności zasobów oraz zapewnienia terminowego i kompleksowego dostępu do opieki szpitalnej </w:t>
            </w:r>
            <w:r w:rsidRPr="0056086B">
              <w:rPr>
                <w:rFonts w:eastAsia="Calibri"/>
                <w:color w:val="FF0000"/>
                <w:sz w:val="23"/>
                <w:szCs w:val="23"/>
              </w:rPr>
              <w:t>lub ambulatoryjnej.</w:t>
            </w:r>
          </w:p>
          <w:p w14:paraId="7F485978" w14:textId="77777777" w:rsidR="00DB00FD" w:rsidRPr="0056086B" w:rsidRDefault="00DB00FD" w:rsidP="001E2158">
            <w:pPr>
              <w:spacing w:after="120" w:line="240" w:lineRule="auto"/>
              <w:jc w:val="left"/>
              <w:rPr>
                <w:rFonts w:eastAsia="Calibri"/>
                <w:sz w:val="23"/>
                <w:szCs w:val="23"/>
              </w:rPr>
            </w:pPr>
            <w:r w:rsidRPr="0056086B">
              <w:rPr>
                <w:rFonts w:eastAsia="Calibri"/>
                <w:sz w:val="23"/>
                <w:szCs w:val="23"/>
              </w:rPr>
              <w:t xml:space="preserve">Rozbudowa infrastruktury przyczyni się do poprawy jakości opieki, dostępności zasobów oraz zapewnienia terminowego i kompleksowego dostępu do opieki szpitalnej </w:t>
            </w:r>
            <w:r w:rsidRPr="0056086B">
              <w:rPr>
                <w:rFonts w:eastAsia="Calibri"/>
                <w:color w:val="FF0000"/>
                <w:sz w:val="23"/>
                <w:szCs w:val="23"/>
              </w:rPr>
              <w:t>lub ambulatoryjnej</w:t>
            </w:r>
            <w:r w:rsidRPr="0056086B">
              <w:rPr>
                <w:rFonts w:eastAsia="Calibri"/>
                <w:sz w:val="23"/>
                <w:szCs w:val="23"/>
              </w:rPr>
              <w:t>.</w:t>
            </w:r>
          </w:p>
          <w:p w14:paraId="159D56A5" w14:textId="77777777" w:rsidR="00DB00FD" w:rsidRPr="00AF3A31" w:rsidRDefault="00DB00FD" w:rsidP="001E2158">
            <w:pPr>
              <w:spacing w:before="60" w:after="60" w:line="240" w:lineRule="auto"/>
              <w:jc w:val="left"/>
              <w:rPr>
                <w:rFonts w:eastAsia="Calibri"/>
              </w:rPr>
            </w:pPr>
            <w:r w:rsidRPr="0056086B">
              <w:rPr>
                <w:rFonts w:eastAsia="Calibri"/>
                <w:sz w:val="23"/>
                <w:szCs w:val="23"/>
              </w:rPr>
              <w:t>Wsparcie obejmie wyłącznie zakres działalności związanej ze udzielaniem świadczeń zdrowotnych finansowanych przez Narodowy Fundusz Zdrowia, i nie obejmie działalności komercyjnej.</w:t>
            </w:r>
          </w:p>
        </w:tc>
      </w:tr>
      <w:tr w:rsidR="00DB00FD" w:rsidRPr="00935797" w14:paraId="6E5BA460" w14:textId="77777777" w:rsidTr="00A501D9">
        <w:trPr>
          <w:trHeight w:val="300"/>
        </w:trPr>
        <w:tc>
          <w:tcPr>
            <w:tcW w:w="1230" w:type="pct"/>
            <w:tcBorders>
              <w:top w:val="single" w:sz="4" w:space="0" w:color="auto"/>
              <w:left w:val="single" w:sz="4" w:space="0" w:color="auto"/>
              <w:bottom w:val="single" w:sz="4" w:space="0" w:color="auto"/>
              <w:right w:val="single" w:sz="4" w:space="0" w:color="auto"/>
            </w:tcBorders>
          </w:tcPr>
          <w:p w14:paraId="50AABC63" w14:textId="77777777" w:rsidR="00DB00FD" w:rsidRPr="00AF3A31" w:rsidRDefault="00DB00FD" w:rsidP="001E2158">
            <w:pPr>
              <w:spacing w:before="60" w:after="60" w:line="252" w:lineRule="auto"/>
              <w:jc w:val="left"/>
              <w:rPr>
                <w:rFonts w:eastAsia="Calibri"/>
              </w:rPr>
            </w:pPr>
          </w:p>
        </w:tc>
        <w:tc>
          <w:tcPr>
            <w:tcW w:w="1935" w:type="pct"/>
            <w:tcBorders>
              <w:top w:val="single" w:sz="4" w:space="0" w:color="auto"/>
              <w:left w:val="single" w:sz="4" w:space="0" w:color="auto"/>
              <w:bottom w:val="single" w:sz="4" w:space="0" w:color="auto"/>
              <w:right w:val="single" w:sz="4" w:space="0" w:color="auto"/>
            </w:tcBorders>
          </w:tcPr>
          <w:p w14:paraId="410A094B"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D12G W2</w:t>
            </w:r>
          </w:p>
          <w:p w14:paraId="3913483B"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Contracts signed between hospitals and the Ministry of Health for the purchase of medical equipment or support for infrastructure investments</w:t>
            </w:r>
          </w:p>
          <w:p w14:paraId="33C6CBF0"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Implementation date: Q4 2024</w:t>
            </w:r>
          </w:p>
          <w:p w14:paraId="6C8A7B1E"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Quantitative indicators (for targets) – Goal: 249</w:t>
            </w:r>
          </w:p>
          <w:p w14:paraId="17A2324D"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 xml:space="preserve">Decription of each milestone and target: </w:t>
            </w:r>
          </w:p>
          <w:p w14:paraId="447065F3"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Number of signed contracts between the hospital and the Ministry of Health (or another institution indicated by the Ministry), for medical equipment purchase or for infrastructure enhancement. The medical equipment shall contribute to improving the quality of care, availability of resources and ensuring timely and comprehensive access to healthcare. The infrastructure enhancement shall contribute to improving the quality of care, availability of resources and ensuring timely and comprehensive access to healthcare. The support shall cover only the scope of activities related to the provision of health services financed by the National Health Fund, and it shall not cover the commercial activities.</w:t>
            </w:r>
          </w:p>
        </w:tc>
        <w:tc>
          <w:tcPr>
            <w:tcW w:w="1835" w:type="pct"/>
            <w:tcBorders>
              <w:top w:val="single" w:sz="4" w:space="0" w:color="auto"/>
              <w:left w:val="single" w:sz="4" w:space="0" w:color="auto"/>
              <w:bottom w:val="single" w:sz="4" w:space="0" w:color="auto"/>
              <w:right w:val="single" w:sz="4" w:space="0" w:color="auto"/>
            </w:tcBorders>
          </w:tcPr>
          <w:p w14:paraId="2703FB0A"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D12G W2</w:t>
            </w:r>
          </w:p>
          <w:p w14:paraId="5EC2675A"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Contracts signed between hospitals</w:t>
            </w:r>
            <w:r>
              <w:rPr>
                <w:rFonts w:eastAsia="Calibri"/>
                <w:lang w:val="en-GB"/>
              </w:rPr>
              <w:t xml:space="preserve"> </w:t>
            </w:r>
            <w:r w:rsidRPr="00AF0026">
              <w:rPr>
                <w:rFonts w:eastAsiaTheme="minorHAnsi"/>
                <w:color w:val="FF0000"/>
                <w:sz w:val="23"/>
                <w:szCs w:val="23"/>
                <w:lang w:val="en-GB"/>
              </w:rPr>
              <w:t>or entities cooperating with them</w:t>
            </w:r>
            <w:r w:rsidRPr="00AF0026">
              <w:rPr>
                <w:rFonts w:eastAsia="Calibri"/>
                <w:color w:val="FF0000"/>
                <w:sz w:val="23"/>
                <w:szCs w:val="23"/>
                <w:lang w:val="en-GB"/>
              </w:rPr>
              <w:t xml:space="preserve"> </w:t>
            </w:r>
            <w:r w:rsidRPr="0056086B">
              <w:rPr>
                <w:rFonts w:eastAsia="Calibri"/>
                <w:color w:val="FF0000"/>
                <w:lang w:val="en-GB"/>
              </w:rPr>
              <w:t xml:space="preserve"> </w:t>
            </w:r>
            <w:r w:rsidRPr="00AF3A31">
              <w:rPr>
                <w:rFonts w:eastAsia="Calibri"/>
                <w:lang w:val="en-GB"/>
              </w:rPr>
              <w:t>and the Ministry of Health for the purchase of medical equipment or support for infrastructure investments</w:t>
            </w:r>
          </w:p>
          <w:p w14:paraId="6303D4CA" w14:textId="77777777" w:rsidR="00DB00FD" w:rsidRPr="00AF3A31" w:rsidRDefault="00DB00FD" w:rsidP="001E2158">
            <w:pPr>
              <w:spacing w:before="60" w:after="60" w:line="240" w:lineRule="auto"/>
              <w:jc w:val="left"/>
              <w:rPr>
                <w:rFonts w:eastAsia="Calibri"/>
                <w:color w:val="FF0000"/>
                <w:lang w:val="en-GB"/>
              </w:rPr>
            </w:pPr>
            <w:r w:rsidRPr="00AF3A31">
              <w:rPr>
                <w:rFonts w:eastAsia="Calibri"/>
                <w:lang w:val="en-GB"/>
              </w:rPr>
              <w:t xml:space="preserve">Implementation date: </w:t>
            </w:r>
            <w:r w:rsidRPr="00AF3A31">
              <w:rPr>
                <w:rFonts w:eastAsia="Calibri"/>
                <w:color w:val="FF0000"/>
                <w:lang w:val="en-GB"/>
              </w:rPr>
              <w:t>Q2 2025</w:t>
            </w:r>
          </w:p>
          <w:p w14:paraId="25073535"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 xml:space="preserve">Quantitative indicators (for targets) – Goal: </w:t>
            </w:r>
            <w:r w:rsidRPr="0056086B">
              <w:rPr>
                <w:rFonts w:eastAsia="Calibri"/>
                <w:color w:val="FF0000"/>
                <w:lang w:val="en-GB"/>
              </w:rPr>
              <w:t>130</w:t>
            </w:r>
          </w:p>
          <w:p w14:paraId="2090F458"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 xml:space="preserve">Decription of each milestone and target: </w:t>
            </w:r>
          </w:p>
          <w:p w14:paraId="73FA8F62" w14:textId="77777777" w:rsidR="00DB00FD" w:rsidRPr="0056086B" w:rsidRDefault="00DB00FD" w:rsidP="001E2158">
            <w:pPr>
              <w:spacing w:before="60" w:after="60" w:line="240" w:lineRule="auto"/>
              <w:jc w:val="left"/>
              <w:rPr>
                <w:rFonts w:eastAsia="Calibri"/>
                <w:lang w:val="en-GB"/>
              </w:rPr>
            </w:pPr>
            <w:r w:rsidRPr="00AF3A31">
              <w:rPr>
                <w:rFonts w:eastAsia="Calibri"/>
                <w:lang w:val="en-GB"/>
              </w:rPr>
              <w:t>Number of signed contracts between hospitals</w:t>
            </w:r>
            <w:r>
              <w:rPr>
                <w:rFonts w:eastAsia="Calibri"/>
                <w:lang w:val="en-GB"/>
              </w:rPr>
              <w:t xml:space="preserve"> </w:t>
            </w:r>
            <w:r>
              <w:rPr>
                <w:rFonts w:eastAsiaTheme="minorHAnsi"/>
                <w:color w:val="FF0000"/>
                <w:lang w:val="en-GB"/>
              </w:rPr>
              <w:t>or</w:t>
            </w:r>
            <w:r w:rsidRPr="00862A8F">
              <w:rPr>
                <w:rFonts w:eastAsiaTheme="minorHAnsi"/>
                <w:color w:val="FF0000"/>
                <w:lang w:val="en-GB"/>
              </w:rPr>
              <w:t xml:space="preserve"> entities cooperating with them</w:t>
            </w:r>
            <w:r w:rsidRPr="00AF3A31">
              <w:rPr>
                <w:rFonts w:eastAsia="Calibri"/>
                <w:color w:val="FF0000"/>
                <w:lang w:val="en-GB"/>
              </w:rPr>
              <w:t xml:space="preserve"> </w:t>
            </w:r>
            <w:r w:rsidRPr="00AF3A31">
              <w:rPr>
                <w:rFonts w:eastAsia="Calibri"/>
                <w:lang w:val="en-GB"/>
              </w:rPr>
              <w:t xml:space="preserve"> and the Ministry of Health (or another institution indicated by the Ministry) for medical equipment purchased or for infrastructure. The medical equipment shall contribute to improving the quality of care, availability of resources and ensuring timely and comprehensive access to hospital</w:t>
            </w:r>
            <w:r>
              <w:rPr>
                <w:rFonts w:eastAsia="Calibri"/>
                <w:lang w:val="en-GB"/>
              </w:rPr>
              <w:t xml:space="preserve"> </w:t>
            </w:r>
            <w:r w:rsidRPr="0056086B">
              <w:rPr>
                <w:rFonts w:eastAsia="Calibri"/>
                <w:color w:val="FF0000"/>
                <w:lang w:val="en-GB"/>
              </w:rPr>
              <w:t>and ambulatory care</w:t>
            </w:r>
            <w:r w:rsidRPr="00AF3A31">
              <w:rPr>
                <w:rFonts w:eastAsia="Calibri"/>
                <w:lang w:val="en-GB"/>
              </w:rPr>
              <w:t>. The infrastructure enhancement shall contribute to improving the quality of care, availability of resources and ensuring timely and comprehensive access to hospital</w:t>
            </w:r>
            <w:r>
              <w:rPr>
                <w:rFonts w:eastAsia="Calibri"/>
                <w:lang w:val="en-GB"/>
              </w:rPr>
              <w:t xml:space="preserve"> </w:t>
            </w:r>
            <w:r w:rsidRPr="0056086B">
              <w:rPr>
                <w:rFonts w:eastAsia="Calibri"/>
                <w:color w:val="FF0000"/>
                <w:lang w:val="en-GB"/>
              </w:rPr>
              <w:t>and ambulatory care</w:t>
            </w:r>
            <w:r w:rsidRPr="00AF3A31">
              <w:rPr>
                <w:rFonts w:eastAsia="Calibri"/>
                <w:lang w:val="en-GB"/>
              </w:rPr>
              <w:t>. The support shall cover only the scope of activities related to the provision of health services financed by the National Health Fund, and it shall not cover the commercial activities.</w:t>
            </w:r>
          </w:p>
        </w:tc>
      </w:tr>
      <w:tr w:rsidR="00DB00FD" w:rsidRPr="00AF3A31" w14:paraId="06E6C30F" w14:textId="77777777" w:rsidTr="00A501D9">
        <w:trPr>
          <w:trHeight w:val="850"/>
        </w:trPr>
        <w:tc>
          <w:tcPr>
            <w:tcW w:w="1230" w:type="pct"/>
            <w:tcBorders>
              <w:top w:val="single" w:sz="4" w:space="0" w:color="auto"/>
              <w:left w:val="single" w:sz="4" w:space="0" w:color="auto"/>
              <w:bottom w:val="single" w:sz="4" w:space="0" w:color="auto"/>
              <w:right w:val="single" w:sz="4" w:space="0" w:color="auto"/>
            </w:tcBorders>
          </w:tcPr>
          <w:p w14:paraId="4CBDE7CB" w14:textId="77777777" w:rsidR="00DB00FD" w:rsidRPr="0056086B" w:rsidRDefault="00DB00FD" w:rsidP="001E2158">
            <w:pPr>
              <w:spacing w:before="60" w:after="60" w:line="252" w:lineRule="auto"/>
              <w:jc w:val="left"/>
              <w:rPr>
                <w:rFonts w:eastAsia="Calibri"/>
                <w:lang w:val="en-GB"/>
              </w:rPr>
            </w:pPr>
          </w:p>
        </w:tc>
        <w:tc>
          <w:tcPr>
            <w:tcW w:w="1935" w:type="pct"/>
            <w:tcBorders>
              <w:top w:val="single" w:sz="4" w:space="0" w:color="auto"/>
              <w:left w:val="single" w:sz="4" w:space="0" w:color="auto"/>
              <w:bottom w:val="single" w:sz="4" w:space="0" w:color="auto"/>
              <w:right w:val="single" w:sz="4" w:space="0" w:color="auto"/>
            </w:tcBorders>
          </w:tcPr>
          <w:p w14:paraId="2C722665" w14:textId="77777777" w:rsidR="00DB00FD" w:rsidRPr="00AF3A31" w:rsidRDefault="00DB00FD" w:rsidP="001E2158">
            <w:pPr>
              <w:spacing w:before="60" w:after="60" w:line="240" w:lineRule="auto"/>
              <w:jc w:val="left"/>
              <w:rPr>
                <w:rFonts w:eastAsia="Calibri"/>
              </w:rPr>
            </w:pPr>
            <w:r w:rsidRPr="00AF3A31">
              <w:rPr>
                <w:rFonts w:eastAsia="Calibri"/>
              </w:rPr>
              <w:t xml:space="preserve">D13G </w:t>
            </w:r>
          </w:p>
          <w:p w14:paraId="3237CDC1" w14:textId="77777777" w:rsidR="00DB00FD" w:rsidRPr="00AF3A31" w:rsidRDefault="00DB00FD" w:rsidP="001E2158">
            <w:pPr>
              <w:spacing w:before="60" w:after="60" w:line="240" w:lineRule="auto"/>
              <w:jc w:val="left"/>
              <w:rPr>
                <w:rFonts w:eastAsia="Calibri"/>
              </w:rPr>
            </w:pPr>
            <w:r w:rsidRPr="00AF3A31">
              <w:rPr>
                <w:rFonts w:eastAsia="Calibri"/>
              </w:rPr>
              <w:t>Szpitale z nowym sprzętem medycznym zakupionym w związku z ich restrukturyzacją lub ich wprowadzeniem do Krajowej Sieci Onkologicznej.</w:t>
            </w:r>
          </w:p>
          <w:p w14:paraId="21DD2F85" w14:textId="77777777" w:rsidR="00DB00FD" w:rsidRPr="00AF3A31" w:rsidRDefault="00DB00FD" w:rsidP="001E2158">
            <w:pPr>
              <w:spacing w:before="60" w:after="60" w:line="240" w:lineRule="auto"/>
              <w:jc w:val="left"/>
              <w:rPr>
                <w:rFonts w:eastAsia="Calibri"/>
              </w:rPr>
            </w:pPr>
            <w:r w:rsidRPr="00AF3A31">
              <w:rPr>
                <w:rFonts w:eastAsia="Calibri"/>
              </w:rPr>
              <w:lastRenderedPageBreak/>
              <w:t xml:space="preserve">Termin realizacji: II kw. 2026 </w:t>
            </w:r>
          </w:p>
          <w:p w14:paraId="3D74C2F4" w14:textId="77777777" w:rsidR="00DB00FD" w:rsidRPr="00AF3A31" w:rsidRDefault="00DB00FD" w:rsidP="001E2158">
            <w:pPr>
              <w:spacing w:before="60" w:after="60" w:line="240" w:lineRule="auto"/>
              <w:jc w:val="left"/>
              <w:rPr>
                <w:rFonts w:eastAsia="Calibri"/>
              </w:rPr>
            </w:pPr>
            <w:r w:rsidRPr="00AF3A31">
              <w:rPr>
                <w:rFonts w:eastAsia="Calibri"/>
              </w:rPr>
              <w:t>Wskaźniki ilościowe (dla wartości docelowych) – cel: 226</w:t>
            </w:r>
          </w:p>
          <w:p w14:paraId="4367E8FA" w14:textId="77777777" w:rsidR="00DB00FD" w:rsidRPr="00AF3A31" w:rsidRDefault="00DB00FD" w:rsidP="001E2158">
            <w:pPr>
              <w:spacing w:before="60" w:after="60" w:line="240" w:lineRule="auto"/>
              <w:jc w:val="left"/>
              <w:rPr>
                <w:rFonts w:eastAsia="Calibri"/>
              </w:rPr>
            </w:pPr>
            <w:r w:rsidRPr="00AF3A31">
              <w:rPr>
                <w:rFonts w:eastAsia="Calibri"/>
              </w:rPr>
              <w:t>Opis każdego kamienia milowego i każdej wartości docelowej</w:t>
            </w:r>
          </w:p>
          <w:p w14:paraId="04618C9A" w14:textId="77777777" w:rsidR="00DB00FD" w:rsidRPr="00AF3A31" w:rsidRDefault="00DB00FD" w:rsidP="001E2158">
            <w:pPr>
              <w:spacing w:before="60" w:after="60" w:line="240" w:lineRule="auto"/>
              <w:jc w:val="left"/>
              <w:rPr>
                <w:rFonts w:eastAsia="Calibri"/>
              </w:rPr>
            </w:pPr>
            <w:r w:rsidRPr="00AF3A31">
              <w:rPr>
                <w:rFonts w:eastAsia="Calibri"/>
              </w:rPr>
              <w:t>Liczba szpitali, w których zakupiono nowy sprzęt medyczny w związku z ich restrukturyzacją lub ich wprowadzeniem do Krajowej Sieci Onkologicznej.</w:t>
            </w:r>
          </w:p>
          <w:p w14:paraId="2D5B91E4" w14:textId="77777777" w:rsidR="00DB00FD" w:rsidRPr="00AF3A31" w:rsidRDefault="00DB00FD" w:rsidP="001E2158">
            <w:pPr>
              <w:spacing w:before="60" w:after="60" w:line="240" w:lineRule="auto"/>
              <w:jc w:val="left"/>
              <w:rPr>
                <w:rFonts w:eastAsia="Calibri"/>
              </w:rPr>
            </w:pPr>
            <w:r w:rsidRPr="00AF3A31">
              <w:rPr>
                <w:rFonts w:eastAsia="Calibri"/>
              </w:rPr>
              <w:t>Zakupiony sprzęt medyczny przyczyni się do poprawy jakości opieki, dostępności zasobów oraz zapewnienia terminowego i kompleksowego dostępu do opieki zdrowotnej.</w:t>
            </w:r>
          </w:p>
          <w:p w14:paraId="2CF8962C" w14:textId="77777777" w:rsidR="00DB00FD" w:rsidRPr="00AF3A31" w:rsidRDefault="00DB00FD" w:rsidP="001E2158">
            <w:pPr>
              <w:spacing w:before="60" w:after="60" w:line="240" w:lineRule="auto"/>
              <w:jc w:val="left"/>
              <w:rPr>
                <w:rFonts w:eastAsia="Calibri"/>
              </w:rPr>
            </w:pPr>
            <w:r w:rsidRPr="00AF3A31">
              <w:rPr>
                <w:rFonts w:eastAsia="Calibri"/>
              </w:rPr>
              <w:t>Wsparcie obejmuje wyłącznie zakres działalności związanej ze udzielaniem świadczeń zdrowotnych finansowanych przez Narodowy Fundusz Zdrowia i nie obejmuje działalności komercyjnej.</w:t>
            </w:r>
          </w:p>
        </w:tc>
        <w:tc>
          <w:tcPr>
            <w:tcW w:w="1835" w:type="pct"/>
            <w:tcBorders>
              <w:top w:val="single" w:sz="4" w:space="0" w:color="auto"/>
              <w:left w:val="single" w:sz="4" w:space="0" w:color="auto"/>
              <w:bottom w:val="single" w:sz="4" w:space="0" w:color="auto"/>
              <w:right w:val="single" w:sz="4" w:space="0" w:color="auto"/>
            </w:tcBorders>
          </w:tcPr>
          <w:p w14:paraId="57A5CE41" w14:textId="77777777" w:rsidR="00DB00FD" w:rsidRPr="00AF3A31" w:rsidRDefault="00DB00FD" w:rsidP="001E2158">
            <w:pPr>
              <w:spacing w:before="60" w:after="60" w:line="240" w:lineRule="auto"/>
              <w:jc w:val="left"/>
              <w:rPr>
                <w:rFonts w:eastAsia="Calibri"/>
                <w:color w:val="FF0000"/>
              </w:rPr>
            </w:pPr>
            <w:r w:rsidRPr="00AF3A31">
              <w:rPr>
                <w:rFonts w:eastAsia="Calibri"/>
              </w:rPr>
              <w:lastRenderedPageBreak/>
              <w:t>D13G</w:t>
            </w:r>
            <w:r w:rsidRPr="00AF3A31">
              <w:rPr>
                <w:rFonts w:eastAsia="Calibri"/>
                <w:color w:val="FF0000"/>
              </w:rPr>
              <w:t xml:space="preserve"> </w:t>
            </w:r>
          </w:p>
          <w:p w14:paraId="0EE67D44" w14:textId="77777777" w:rsidR="00DB00FD" w:rsidRPr="00AF3A31" w:rsidRDefault="00DB00FD" w:rsidP="001E2158">
            <w:pPr>
              <w:spacing w:before="60" w:after="60" w:line="240" w:lineRule="auto"/>
              <w:jc w:val="left"/>
              <w:rPr>
                <w:rFonts w:eastAsia="Calibri"/>
                <w:color w:val="FF0000"/>
              </w:rPr>
            </w:pPr>
            <w:r w:rsidRPr="00AF3A31">
              <w:rPr>
                <w:rFonts w:eastAsia="Calibri"/>
                <w:color w:val="FF0000"/>
              </w:rPr>
              <w:t xml:space="preserve">Szpitale z nowym sprzętem medycznym lub zrealizowanymi inwestycjami infrastrukturalnymi </w:t>
            </w:r>
          </w:p>
          <w:p w14:paraId="3B605186" w14:textId="77777777" w:rsidR="00DB00FD" w:rsidRPr="00AF3A31" w:rsidRDefault="00DB00FD" w:rsidP="001E2158">
            <w:pPr>
              <w:spacing w:before="60" w:after="60" w:line="240" w:lineRule="auto"/>
              <w:jc w:val="left"/>
              <w:rPr>
                <w:rFonts w:eastAsia="Calibri"/>
              </w:rPr>
            </w:pPr>
            <w:r w:rsidRPr="00AF3A31">
              <w:rPr>
                <w:rFonts w:eastAsia="Calibri"/>
              </w:rPr>
              <w:t xml:space="preserve">Termin realizacji: bez zmian </w:t>
            </w:r>
          </w:p>
          <w:p w14:paraId="792467E1" w14:textId="77777777" w:rsidR="00DB00FD" w:rsidRPr="00AF3A31" w:rsidRDefault="00DB00FD" w:rsidP="001E2158">
            <w:pPr>
              <w:spacing w:before="60" w:after="60" w:line="240" w:lineRule="auto"/>
              <w:jc w:val="left"/>
              <w:rPr>
                <w:rFonts w:eastAsia="Calibri"/>
              </w:rPr>
            </w:pPr>
            <w:r w:rsidRPr="00AF3A31">
              <w:rPr>
                <w:rFonts w:eastAsia="Calibri"/>
              </w:rPr>
              <w:lastRenderedPageBreak/>
              <w:t xml:space="preserve">Wskaźniki ilościowe (dla wartości docelowych) – cel: </w:t>
            </w:r>
            <w:r>
              <w:rPr>
                <w:rFonts w:eastAsia="Calibri"/>
              </w:rPr>
              <w:t>130</w:t>
            </w:r>
          </w:p>
          <w:p w14:paraId="04B219A7" w14:textId="77777777" w:rsidR="00DB00FD" w:rsidRPr="00AF3A31" w:rsidRDefault="00DB00FD" w:rsidP="001E2158">
            <w:pPr>
              <w:spacing w:before="60" w:after="60" w:line="240" w:lineRule="auto"/>
              <w:jc w:val="left"/>
              <w:rPr>
                <w:rFonts w:eastAsia="Calibri"/>
              </w:rPr>
            </w:pPr>
            <w:r w:rsidRPr="00AF3A31">
              <w:rPr>
                <w:rFonts w:eastAsia="Calibri"/>
              </w:rPr>
              <w:t>Opis każdego kamienia milowego i każdej wartości docelowej:</w:t>
            </w:r>
          </w:p>
          <w:p w14:paraId="3F8ED956" w14:textId="77777777" w:rsidR="00DB00FD" w:rsidRPr="00AF3A31" w:rsidRDefault="00DB00FD" w:rsidP="001E2158">
            <w:pPr>
              <w:spacing w:before="60" w:after="60" w:line="240" w:lineRule="auto"/>
              <w:jc w:val="left"/>
              <w:rPr>
                <w:rFonts w:eastAsia="Calibri"/>
                <w:color w:val="FF0000"/>
              </w:rPr>
            </w:pPr>
            <w:r w:rsidRPr="00AF3A31">
              <w:rPr>
                <w:rFonts w:eastAsia="Calibri"/>
                <w:color w:val="FF0000"/>
              </w:rPr>
              <w:t xml:space="preserve">Liczba </w:t>
            </w:r>
            <w:r w:rsidRPr="005B3603">
              <w:rPr>
                <w:rFonts w:eastAsia="Calibri"/>
                <w:color w:val="FF0000"/>
              </w:rPr>
              <w:t>szpitali lub jednostek z nimi współpracujących, w których zakupiono nowy sprzęt medyczny lub wsparto inwestycje infrastrukturalne, w związku z ich restrukturyzacją lub ich wprowadzeniem do Krajowej Sieci Onkologicznej lub ich wprowadzeniem do Krajowej Sieci Kardiologicznej.</w:t>
            </w:r>
          </w:p>
          <w:p w14:paraId="66347E86" w14:textId="77777777" w:rsidR="00DB00FD" w:rsidRPr="00AF3A31" w:rsidRDefault="00DB00FD" w:rsidP="001E2158">
            <w:pPr>
              <w:spacing w:before="60" w:after="60" w:line="240" w:lineRule="auto"/>
              <w:jc w:val="left"/>
              <w:rPr>
                <w:rFonts w:eastAsia="Calibri"/>
              </w:rPr>
            </w:pPr>
            <w:r w:rsidRPr="00AF3A31">
              <w:rPr>
                <w:rFonts w:eastAsia="Calibri"/>
                <w:i/>
                <w:iCs/>
              </w:rPr>
              <w:t>Dalej bez zmian</w:t>
            </w:r>
          </w:p>
        </w:tc>
      </w:tr>
      <w:tr w:rsidR="00DB00FD" w:rsidRPr="00AF3A31" w14:paraId="51198514" w14:textId="77777777" w:rsidTr="00A501D9">
        <w:trPr>
          <w:trHeight w:val="300"/>
        </w:trPr>
        <w:tc>
          <w:tcPr>
            <w:tcW w:w="1230" w:type="pct"/>
            <w:tcBorders>
              <w:top w:val="single" w:sz="4" w:space="0" w:color="auto"/>
              <w:left w:val="single" w:sz="4" w:space="0" w:color="auto"/>
              <w:bottom w:val="single" w:sz="4" w:space="0" w:color="auto"/>
              <w:right w:val="single" w:sz="4" w:space="0" w:color="auto"/>
            </w:tcBorders>
          </w:tcPr>
          <w:p w14:paraId="5DD5CAE6" w14:textId="77777777" w:rsidR="00DB00FD" w:rsidRPr="00AF3A31" w:rsidRDefault="00DB00FD" w:rsidP="001E2158">
            <w:pPr>
              <w:spacing w:before="60" w:after="60" w:line="252" w:lineRule="auto"/>
              <w:jc w:val="left"/>
              <w:rPr>
                <w:rFonts w:eastAsia="Calibri"/>
              </w:rPr>
            </w:pPr>
          </w:p>
        </w:tc>
        <w:tc>
          <w:tcPr>
            <w:tcW w:w="1935" w:type="pct"/>
            <w:tcBorders>
              <w:top w:val="single" w:sz="4" w:space="0" w:color="auto"/>
              <w:left w:val="single" w:sz="4" w:space="0" w:color="auto"/>
              <w:bottom w:val="single" w:sz="4" w:space="0" w:color="auto"/>
              <w:right w:val="single" w:sz="4" w:space="0" w:color="auto"/>
            </w:tcBorders>
          </w:tcPr>
          <w:p w14:paraId="6DD5B916"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D13G</w:t>
            </w:r>
          </w:p>
          <w:p w14:paraId="3B2A7189"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Hospitals with new medical equipment purchased in connection with their restructuring or their introduction into the National Oncological Network</w:t>
            </w:r>
          </w:p>
          <w:p w14:paraId="66526803"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Implementation date: Q2 2026</w:t>
            </w:r>
          </w:p>
          <w:p w14:paraId="026D33BA"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Quantitative indicators (for targets) – Goal: 226</w:t>
            </w:r>
          </w:p>
          <w:p w14:paraId="32662AFB"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 xml:space="preserve">Description of each milestone and target: </w:t>
            </w:r>
          </w:p>
          <w:p w14:paraId="148BB2CF" w14:textId="77777777" w:rsidR="00DB00FD" w:rsidRDefault="00DB00FD" w:rsidP="001E2158">
            <w:pPr>
              <w:spacing w:before="60" w:after="60" w:line="240" w:lineRule="auto"/>
              <w:jc w:val="left"/>
              <w:rPr>
                <w:rFonts w:eastAsia="Calibri"/>
                <w:lang w:val="en-GB"/>
              </w:rPr>
            </w:pPr>
            <w:r w:rsidRPr="00AF3A31">
              <w:rPr>
                <w:rFonts w:eastAsia="Calibri"/>
                <w:lang w:val="en-GB"/>
              </w:rPr>
              <w:t xml:space="preserve">Number of hospitals with new medical equipment purchased in connection with their restructuring or their introduction into the National Oncological Network. </w:t>
            </w:r>
          </w:p>
          <w:p w14:paraId="4E576E97"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The purchased medical equipment shall contribute to improving the quality of care, availability of resources and ensuring timely and comprehensive access to healthcare. The support shall cover only the scope of activities related to the provision of health services financed by the National Health Fund, and it shall not cover the commercial activities.</w:t>
            </w:r>
          </w:p>
        </w:tc>
        <w:tc>
          <w:tcPr>
            <w:tcW w:w="1835" w:type="pct"/>
            <w:tcBorders>
              <w:top w:val="single" w:sz="4" w:space="0" w:color="auto"/>
              <w:left w:val="single" w:sz="4" w:space="0" w:color="auto"/>
              <w:bottom w:val="single" w:sz="4" w:space="0" w:color="auto"/>
              <w:right w:val="single" w:sz="4" w:space="0" w:color="auto"/>
            </w:tcBorders>
          </w:tcPr>
          <w:p w14:paraId="0B3A63F6"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D13G</w:t>
            </w:r>
          </w:p>
          <w:p w14:paraId="5A198452" w14:textId="77777777" w:rsidR="00DB00FD" w:rsidRPr="00AF3A31" w:rsidRDefault="00DB00FD" w:rsidP="001E2158">
            <w:pPr>
              <w:spacing w:before="60" w:after="60" w:line="240" w:lineRule="auto"/>
              <w:jc w:val="left"/>
              <w:rPr>
                <w:rFonts w:eastAsia="Calibri"/>
                <w:color w:val="FF0000"/>
                <w:lang w:val="en-GB"/>
              </w:rPr>
            </w:pPr>
            <w:r w:rsidRPr="00AF3A31">
              <w:rPr>
                <w:rFonts w:eastAsia="Calibri"/>
                <w:color w:val="FF0000"/>
                <w:lang w:val="en-GB"/>
              </w:rPr>
              <w:t xml:space="preserve">Hospitals with new medical equipment purchased or completed infrastructure investments </w:t>
            </w:r>
          </w:p>
          <w:p w14:paraId="1FF62139"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Implementation date: without changes</w:t>
            </w:r>
          </w:p>
          <w:p w14:paraId="40653C9B"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 xml:space="preserve">Quantitative indicators (for targets) – Goal: </w:t>
            </w:r>
            <w:r>
              <w:rPr>
                <w:rFonts w:eastAsia="Calibri"/>
                <w:lang w:val="en-GB"/>
              </w:rPr>
              <w:t>130</w:t>
            </w:r>
          </w:p>
          <w:p w14:paraId="06D2E94B"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 xml:space="preserve">Description of each milestone and target: </w:t>
            </w:r>
          </w:p>
          <w:p w14:paraId="644C93B2" w14:textId="77777777" w:rsidR="00DB00FD" w:rsidRPr="005B3603" w:rsidRDefault="00DB00FD" w:rsidP="001E2158">
            <w:pPr>
              <w:spacing w:before="60" w:after="60" w:line="240" w:lineRule="auto"/>
              <w:jc w:val="left"/>
              <w:rPr>
                <w:rFonts w:eastAsia="Calibri"/>
                <w:color w:val="FF0000"/>
                <w:lang w:val="en-GB"/>
              </w:rPr>
            </w:pPr>
            <w:r w:rsidRPr="005B3603">
              <w:rPr>
                <w:rFonts w:eastAsia="Calibri"/>
                <w:color w:val="FF0000"/>
                <w:lang w:val="en-GB"/>
              </w:rPr>
              <w:t>Number of hospitals or entities cooperating with them where new medical equipment was purchased or infrastructure investments were completed in connection with their restructuring or their introduction into the National Oncological Network or their introduction into National Cardiac Network.</w:t>
            </w:r>
          </w:p>
          <w:p w14:paraId="68CB0F5E" w14:textId="77777777" w:rsidR="00DB00FD" w:rsidRPr="00AF3A31" w:rsidRDefault="00DB00FD" w:rsidP="001E2158">
            <w:pPr>
              <w:spacing w:before="60" w:after="60" w:line="240" w:lineRule="auto"/>
              <w:jc w:val="left"/>
              <w:rPr>
                <w:rFonts w:eastAsia="Calibri"/>
                <w:i/>
                <w:iCs/>
                <w:lang w:val="en-GB"/>
              </w:rPr>
            </w:pPr>
            <w:r w:rsidRPr="00AF3A31">
              <w:rPr>
                <w:rFonts w:eastAsia="Calibri"/>
                <w:i/>
                <w:iCs/>
                <w:lang w:val="en-GB"/>
              </w:rPr>
              <w:t>Further unchanged</w:t>
            </w:r>
          </w:p>
        </w:tc>
      </w:tr>
      <w:tr w:rsidR="00DB00FD" w:rsidRPr="00AF3A31" w14:paraId="566BAA24" w14:textId="77777777" w:rsidTr="00A501D9">
        <w:trPr>
          <w:trHeight w:val="300"/>
        </w:trPr>
        <w:tc>
          <w:tcPr>
            <w:tcW w:w="1230" w:type="pct"/>
            <w:tcBorders>
              <w:top w:val="single" w:sz="4" w:space="0" w:color="auto"/>
              <w:left w:val="single" w:sz="4" w:space="0" w:color="auto"/>
              <w:bottom w:val="single" w:sz="4" w:space="0" w:color="auto"/>
              <w:right w:val="single" w:sz="4" w:space="0" w:color="auto"/>
            </w:tcBorders>
          </w:tcPr>
          <w:p w14:paraId="5B133ABD" w14:textId="77777777" w:rsidR="00DB00FD" w:rsidRPr="00AF3A31" w:rsidRDefault="00DB00FD" w:rsidP="001E2158">
            <w:pPr>
              <w:spacing w:before="60" w:after="60" w:line="252" w:lineRule="auto"/>
              <w:jc w:val="left"/>
              <w:rPr>
                <w:rFonts w:eastAsia="Calibri"/>
                <w:lang w:val="en-GB"/>
              </w:rPr>
            </w:pPr>
          </w:p>
        </w:tc>
        <w:tc>
          <w:tcPr>
            <w:tcW w:w="1935" w:type="pct"/>
            <w:tcBorders>
              <w:top w:val="single" w:sz="4" w:space="0" w:color="auto"/>
              <w:left w:val="single" w:sz="4" w:space="0" w:color="auto"/>
              <w:bottom w:val="single" w:sz="4" w:space="0" w:color="auto"/>
              <w:right w:val="single" w:sz="4" w:space="0" w:color="auto"/>
            </w:tcBorders>
          </w:tcPr>
          <w:p w14:paraId="0BC142C6" w14:textId="77777777" w:rsidR="00DB00FD" w:rsidRPr="00AF3A31" w:rsidRDefault="00DB00FD" w:rsidP="001E2158">
            <w:pPr>
              <w:spacing w:before="60" w:after="60" w:line="240" w:lineRule="auto"/>
              <w:jc w:val="left"/>
              <w:rPr>
                <w:rFonts w:eastAsia="Calibri"/>
              </w:rPr>
            </w:pPr>
            <w:r w:rsidRPr="00AF3A31">
              <w:rPr>
                <w:rFonts w:eastAsia="Calibri"/>
              </w:rPr>
              <w:t xml:space="preserve">D14G </w:t>
            </w:r>
          </w:p>
          <w:p w14:paraId="102B5ECE" w14:textId="77777777" w:rsidR="00DB00FD" w:rsidRPr="00AF3A31" w:rsidRDefault="00DB00FD" w:rsidP="001E2158">
            <w:pPr>
              <w:spacing w:before="60" w:after="60" w:line="240" w:lineRule="auto"/>
              <w:jc w:val="left"/>
              <w:rPr>
                <w:rFonts w:eastAsia="Calibri"/>
              </w:rPr>
            </w:pPr>
            <w:r w:rsidRPr="00AF3A31">
              <w:rPr>
                <w:rFonts w:eastAsia="Calibri"/>
              </w:rPr>
              <w:t>Szpitale z rozbudowaną infrastrukturą w związku z ich restrukturyzacją lub ich wprowadzeniem do Krajowej Sieci Onkologicznej.</w:t>
            </w:r>
          </w:p>
          <w:p w14:paraId="6AE0B324" w14:textId="77777777" w:rsidR="00DB00FD" w:rsidRPr="00AF3A31" w:rsidRDefault="00DB00FD" w:rsidP="001E2158">
            <w:pPr>
              <w:spacing w:before="60" w:after="60" w:line="240" w:lineRule="auto"/>
              <w:jc w:val="left"/>
              <w:rPr>
                <w:rFonts w:eastAsia="Calibri"/>
              </w:rPr>
            </w:pPr>
          </w:p>
          <w:p w14:paraId="49454FA8" w14:textId="77777777" w:rsidR="00DB00FD" w:rsidRPr="00AF3A31" w:rsidRDefault="00DB00FD" w:rsidP="001E2158">
            <w:pPr>
              <w:spacing w:before="60" w:after="60" w:line="240" w:lineRule="auto"/>
              <w:jc w:val="left"/>
              <w:rPr>
                <w:rFonts w:eastAsia="Calibri"/>
              </w:rPr>
            </w:pPr>
            <w:r w:rsidRPr="00AF3A31">
              <w:rPr>
                <w:rFonts w:eastAsia="Calibri"/>
              </w:rPr>
              <w:t xml:space="preserve">Termin realizacji: II kw. 2026 </w:t>
            </w:r>
          </w:p>
          <w:p w14:paraId="030DC94F" w14:textId="77777777" w:rsidR="00DB00FD" w:rsidRPr="00AF3A31" w:rsidRDefault="00DB00FD" w:rsidP="001E2158">
            <w:pPr>
              <w:spacing w:before="60" w:after="60" w:line="240" w:lineRule="auto"/>
              <w:jc w:val="left"/>
              <w:rPr>
                <w:rFonts w:eastAsia="Calibri"/>
              </w:rPr>
            </w:pPr>
            <w:r w:rsidRPr="00AF3A31">
              <w:rPr>
                <w:rFonts w:eastAsia="Calibri"/>
              </w:rPr>
              <w:t>Wskaźniki ilościowe (dla wartości docelowych) – cel: 211</w:t>
            </w:r>
          </w:p>
          <w:p w14:paraId="42F0970B" w14:textId="77777777" w:rsidR="00DB00FD" w:rsidRPr="00AF3A31" w:rsidRDefault="00DB00FD" w:rsidP="001E2158">
            <w:pPr>
              <w:spacing w:before="60" w:after="60" w:line="240" w:lineRule="auto"/>
              <w:jc w:val="left"/>
              <w:rPr>
                <w:rFonts w:eastAsia="Calibri"/>
              </w:rPr>
            </w:pPr>
            <w:r w:rsidRPr="00AF3A31">
              <w:rPr>
                <w:rFonts w:eastAsia="Calibri"/>
              </w:rPr>
              <w:t>Opis każdego kamienia milowego i każdej wartości docelowej:</w:t>
            </w:r>
          </w:p>
          <w:p w14:paraId="22DF5572" w14:textId="77777777" w:rsidR="00DB00FD" w:rsidRPr="00AF3A31" w:rsidRDefault="00DB00FD" w:rsidP="001E2158">
            <w:pPr>
              <w:spacing w:before="60" w:after="60" w:line="240" w:lineRule="auto"/>
              <w:jc w:val="left"/>
              <w:rPr>
                <w:rFonts w:eastAsia="Calibri"/>
              </w:rPr>
            </w:pPr>
            <w:r w:rsidRPr="00AF3A31">
              <w:rPr>
                <w:rFonts w:eastAsia="Calibri"/>
              </w:rPr>
              <w:t>Liczba szpitali ze zwiększonymi inwestycjami infrastrukturalnymi w związku z ich restrukturyzacją lub ich wprowadzeniem do Krajowej Sieci Onkologicznej.</w:t>
            </w:r>
          </w:p>
          <w:p w14:paraId="6CDDB5BA" w14:textId="77777777" w:rsidR="00DB00FD" w:rsidRPr="00AF3A31" w:rsidRDefault="00DB00FD" w:rsidP="001E2158">
            <w:pPr>
              <w:spacing w:before="60" w:after="60" w:line="240" w:lineRule="auto"/>
              <w:jc w:val="left"/>
              <w:rPr>
                <w:rFonts w:eastAsia="Calibri"/>
              </w:rPr>
            </w:pPr>
            <w:r w:rsidRPr="00AF3A31">
              <w:rPr>
                <w:rFonts w:eastAsia="Calibri"/>
              </w:rPr>
              <w:t>Rozbudowana infrastruktura przyczyni się do poprawy jakości opieki, dostępności zasobów oraz zapewnienia terminowego i kompleksowego dostępu do opieki zdrowotnej.</w:t>
            </w:r>
          </w:p>
          <w:p w14:paraId="10918D12" w14:textId="77777777" w:rsidR="00DB00FD" w:rsidRPr="00AF3A31" w:rsidRDefault="00DB00FD" w:rsidP="001E2158">
            <w:pPr>
              <w:spacing w:before="60" w:after="60" w:line="240" w:lineRule="auto"/>
              <w:jc w:val="left"/>
              <w:rPr>
                <w:rFonts w:eastAsia="Calibri"/>
              </w:rPr>
            </w:pPr>
            <w:r w:rsidRPr="00AF3A31">
              <w:rPr>
                <w:rFonts w:eastAsia="Calibri"/>
              </w:rPr>
              <w:t xml:space="preserve"> Wsparcie obejmuje wyłącznie zakres działalności związanej ze udzielaniem świadczeń zdrowotnych finansowanych przez Narodowy Fundusz Zdrowia i nie obejmuje działalności komercyjnej.</w:t>
            </w:r>
          </w:p>
        </w:tc>
        <w:tc>
          <w:tcPr>
            <w:tcW w:w="1835" w:type="pct"/>
            <w:tcBorders>
              <w:top w:val="single" w:sz="4" w:space="0" w:color="auto"/>
              <w:left w:val="single" w:sz="4" w:space="0" w:color="auto"/>
              <w:bottom w:val="single" w:sz="4" w:space="0" w:color="auto"/>
              <w:right w:val="single" w:sz="4" w:space="0" w:color="auto"/>
            </w:tcBorders>
          </w:tcPr>
          <w:p w14:paraId="3ADD9F9D" w14:textId="77777777" w:rsidR="00DB00FD" w:rsidRPr="00AF3A31" w:rsidRDefault="00DB00FD" w:rsidP="001E2158">
            <w:pPr>
              <w:spacing w:before="60" w:after="60" w:line="240" w:lineRule="auto"/>
              <w:jc w:val="left"/>
              <w:rPr>
                <w:rFonts w:eastAsia="Calibri"/>
              </w:rPr>
            </w:pPr>
            <w:r w:rsidRPr="00AF3A31">
              <w:rPr>
                <w:rFonts w:eastAsia="Calibri"/>
              </w:rPr>
              <w:t>D14G</w:t>
            </w:r>
          </w:p>
          <w:p w14:paraId="63412D17" w14:textId="77777777" w:rsidR="00DB00FD" w:rsidRPr="00AF3A31" w:rsidRDefault="00DB00FD" w:rsidP="001E2158">
            <w:pPr>
              <w:spacing w:before="60" w:after="60" w:line="240" w:lineRule="auto"/>
              <w:jc w:val="left"/>
              <w:rPr>
                <w:rFonts w:eastAsia="Calibri"/>
              </w:rPr>
            </w:pPr>
            <w:r w:rsidRPr="00AF3A31">
              <w:rPr>
                <w:rFonts w:eastAsia="Calibri"/>
                <w:color w:val="FF0000"/>
              </w:rPr>
              <w:t xml:space="preserve">Wskaźnik proponowany </w:t>
            </w:r>
            <w:r w:rsidRPr="00D17C97">
              <w:rPr>
                <w:rFonts w:eastAsia="Calibri"/>
                <w:color w:val="FF0000"/>
              </w:rPr>
              <w:t xml:space="preserve">do </w:t>
            </w:r>
            <w:r w:rsidRPr="00AF3A31">
              <w:rPr>
                <w:rFonts w:eastAsia="Calibri"/>
                <w:color w:val="FF0000"/>
              </w:rPr>
              <w:t xml:space="preserve">połączenia z D13G. </w:t>
            </w:r>
          </w:p>
        </w:tc>
      </w:tr>
      <w:tr w:rsidR="00DB00FD" w:rsidRPr="00935797" w14:paraId="1AAA61B7" w14:textId="77777777" w:rsidTr="00A501D9">
        <w:trPr>
          <w:trHeight w:val="300"/>
        </w:trPr>
        <w:tc>
          <w:tcPr>
            <w:tcW w:w="1230" w:type="pct"/>
            <w:tcBorders>
              <w:top w:val="single" w:sz="4" w:space="0" w:color="auto"/>
              <w:left w:val="single" w:sz="4" w:space="0" w:color="auto"/>
              <w:bottom w:val="single" w:sz="4" w:space="0" w:color="auto"/>
              <w:right w:val="single" w:sz="4" w:space="0" w:color="auto"/>
            </w:tcBorders>
          </w:tcPr>
          <w:p w14:paraId="7B6AF84C" w14:textId="77777777" w:rsidR="00DB00FD" w:rsidRPr="00AF3A31" w:rsidRDefault="00DB00FD" w:rsidP="001E2158">
            <w:pPr>
              <w:spacing w:before="60" w:after="60" w:line="252" w:lineRule="auto"/>
              <w:jc w:val="left"/>
              <w:rPr>
                <w:rFonts w:eastAsia="Calibri"/>
              </w:rPr>
            </w:pPr>
          </w:p>
        </w:tc>
        <w:tc>
          <w:tcPr>
            <w:tcW w:w="1935" w:type="pct"/>
            <w:tcBorders>
              <w:top w:val="single" w:sz="4" w:space="0" w:color="auto"/>
              <w:left w:val="single" w:sz="4" w:space="0" w:color="auto"/>
              <w:bottom w:val="single" w:sz="4" w:space="0" w:color="auto"/>
              <w:right w:val="single" w:sz="4" w:space="0" w:color="auto"/>
            </w:tcBorders>
          </w:tcPr>
          <w:p w14:paraId="51C477EA"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D14G</w:t>
            </w:r>
          </w:p>
          <w:p w14:paraId="79393308"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Hospitals with enhanced infrastructure in connection with their restructuring or their introduction into the National Oncological Network</w:t>
            </w:r>
          </w:p>
          <w:p w14:paraId="2267B0BF"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Timeline for completion: Q2 2026</w:t>
            </w:r>
          </w:p>
          <w:p w14:paraId="7EF44628"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Quantitative indicators (for targets) – Goal: 211</w:t>
            </w:r>
          </w:p>
          <w:p w14:paraId="7C346443"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 xml:space="preserve">Decription of each milestone and target: </w:t>
            </w:r>
          </w:p>
          <w:p w14:paraId="00F768BD"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t xml:space="preserve">Number of hospitals with enhanced infrastructure investment in connection with their restructuring or their introduction into the National Oncological Network. The enhanced infrastructure shall contribute to improving the quality of care, availability of resources and ensuring timely and comprehensive access to healthcare. The support shall cover only the scope of activities related to the provision of health </w:t>
            </w:r>
            <w:r w:rsidRPr="00AF3A31">
              <w:rPr>
                <w:rFonts w:eastAsia="Calibri"/>
                <w:lang w:val="en-GB"/>
              </w:rPr>
              <w:lastRenderedPageBreak/>
              <w:t>services financed by the National Health Fund, and it shall not cover the commercial activities.</w:t>
            </w:r>
          </w:p>
        </w:tc>
        <w:tc>
          <w:tcPr>
            <w:tcW w:w="1835" w:type="pct"/>
            <w:tcBorders>
              <w:top w:val="single" w:sz="4" w:space="0" w:color="auto"/>
              <w:left w:val="single" w:sz="4" w:space="0" w:color="auto"/>
              <w:bottom w:val="single" w:sz="4" w:space="0" w:color="auto"/>
              <w:right w:val="single" w:sz="4" w:space="0" w:color="auto"/>
            </w:tcBorders>
          </w:tcPr>
          <w:p w14:paraId="2E79BAA8" w14:textId="77777777" w:rsidR="00DB00FD" w:rsidRPr="00AF3A31" w:rsidRDefault="00DB00FD" w:rsidP="001E2158">
            <w:pPr>
              <w:spacing w:before="60" w:after="60" w:line="240" w:lineRule="auto"/>
              <w:jc w:val="left"/>
              <w:rPr>
                <w:rFonts w:eastAsia="Calibri"/>
                <w:lang w:val="en-GB"/>
              </w:rPr>
            </w:pPr>
            <w:r w:rsidRPr="00AF3A31">
              <w:rPr>
                <w:rFonts w:eastAsia="Calibri"/>
                <w:lang w:val="en-GB"/>
              </w:rPr>
              <w:lastRenderedPageBreak/>
              <w:t xml:space="preserve">D14G </w:t>
            </w:r>
          </w:p>
          <w:p w14:paraId="0EFA8804" w14:textId="77777777" w:rsidR="00DB00FD" w:rsidRPr="00AF3A31" w:rsidRDefault="00DB00FD" w:rsidP="001E2158">
            <w:pPr>
              <w:spacing w:before="60" w:after="60" w:line="240" w:lineRule="auto"/>
              <w:jc w:val="left"/>
              <w:rPr>
                <w:rFonts w:eastAsia="Calibri"/>
                <w:color w:val="FF0000"/>
                <w:lang w:val="en-US"/>
              </w:rPr>
            </w:pPr>
            <w:r w:rsidRPr="00AF3A31">
              <w:rPr>
                <w:rFonts w:eastAsia="Calibri"/>
                <w:color w:val="FF0000"/>
                <w:lang w:val="en-US"/>
              </w:rPr>
              <w:t>Target proposed to be combined with D13G.</w:t>
            </w:r>
          </w:p>
          <w:p w14:paraId="3C40BD49" w14:textId="77777777" w:rsidR="00DB00FD" w:rsidRPr="00AF3A31" w:rsidRDefault="00DB00FD" w:rsidP="001E2158">
            <w:pPr>
              <w:spacing w:before="60" w:after="60" w:line="240" w:lineRule="auto"/>
              <w:jc w:val="left"/>
              <w:rPr>
                <w:rFonts w:eastAsia="Calibri"/>
                <w:lang w:val="en-US"/>
              </w:rPr>
            </w:pPr>
          </w:p>
        </w:tc>
      </w:tr>
      <w:tr w:rsidR="00DB00FD" w:rsidRPr="003C0C8F" w14:paraId="26679BFD" w14:textId="77777777" w:rsidTr="00A501D9">
        <w:tc>
          <w:tcPr>
            <w:tcW w:w="1230" w:type="pct"/>
          </w:tcPr>
          <w:p w14:paraId="15737084" w14:textId="77777777" w:rsidR="00DB00FD" w:rsidRPr="00AF3A31" w:rsidRDefault="00DB00FD" w:rsidP="001E2158">
            <w:pPr>
              <w:spacing w:before="60" w:after="60" w:line="252" w:lineRule="auto"/>
              <w:jc w:val="left"/>
              <w:rPr>
                <w:rFonts w:eastAsia="Calibri"/>
              </w:rPr>
            </w:pPr>
            <w:r w:rsidRPr="00AF3A31">
              <w:rPr>
                <w:rFonts w:eastAsia="Calibri"/>
              </w:rPr>
              <w:t>Uzasadnienie</w:t>
            </w:r>
          </w:p>
        </w:tc>
        <w:tc>
          <w:tcPr>
            <w:tcW w:w="3770" w:type="pct"/>
            <w:gridSpan w:val="2"/>
          </w:tcPr>
          <w:p w14:paraId="08B032ED" w14:textId="77777777" w:rsidR="00DB00FD" w:rsidRPr="00AF3A31" w:rsidRDefault="00DB00FD" w:rsidP="001E2158">
            <w:pPr>
              <w:spacing w:before="60" w:after="60" w:line="240" w:lineRule="auto"/>
              <w:jc w:val="left"/>
              <w:rPr>
                <w:rFonts w:eastAsia="Calibri"/>
              </w:rPr>
            </w:pPr>
            <w:r w:rsidRPr="00AF3A31">
              <w:rPr>
                <w:rFonts w:eastAsia="Calibri"/>
              </w:rPr>
              <w:t xml:space="preserve">Inwestycja </w:t>
            </w:r>
            <w:r w:rsidRPr="00AF3A31">
              <w:rPr>
                <w:rFonts w:eastAsia="Calibri"/>
                <w:i/>
                <w:iCs/>
              </w:rPr>
              <w:t>D1.1.1 Rozwój i modernizacja infrastruktury centrów opieki wysokospecjalistycznej i innych podmiotów leczniczych</w:t>
            </w:r>
            <w:r w:rsidRPr="00AF3A31">
              <w:rPr>
                <w:rFonts w:eastAsia="Calibri"/>
              </w:rPr>
              <w:t xml:space="preserve"> </w:t>
            </w:r>
          </w:p>
          <w:p w14:paraId="6A9E5FB3" w14:textId="77777777" w:rsidR="00DB00FD" w:rsidRPr="00AF3A31" w:rsidRDefault="00DB00FD" w:rsidP="001E2158">
            <w:pPr>
              <w:spacing w:before="60" w:after="60" w:line="240" w:lineRule="auto"/>
              <w:jc w:val="left"/>
              <w:rPr>
                <w:rFonts w:eastAsia="Calibri"/>
                <w:i/>
                <w:iCs/>
              </w:rPr>
            </w:pPr>
            <w:r w:rsidRPr="00AF3A31">
              <w:rPr>
                <w:rFonts w:eastAsia="Calibri"/>
              </w:rPr>
              <w:t xml:space="preserve">Reforma </w:t>
            </w:r>
            <w:r w:rsidRPr="00AF3A31">
              <w:rPr>
                <w:rFonts w:eastAsia="Calibri"/>
                <w:i/>
                <w:iCs/>
              </w:rPr>
              <w:t>D1.1 Zwiększenie efektywności, dostępności i jakości świadczeń zdrowotnych</w:t>
            </w:r>
            <w:r w:rsidRPr="00AF3A31">
              <w:rPr>
                <w:rFonts w:eastAsia="Calibri"/>
              </w:rPr>
              <w:t xml:space="preserve"> została już częściowo zrealizowana przez Ministerstwo Zdrowia poprzez wypełnienie mierników: </w:t>
            </w:r>
            <w:r w:rsidRPr="00AF3A31">
              <w:rPr>
                <w:rFonts w:eastAsia="Calibri"/>
                <w:i/>
                <w:iCs/>
              </w:rPr>
              <w:t>D2G Wejście w życie Zarządzenia Prezesa NFZ o wzmocnieniu podstawowej opieki zdrowotnej i opieki koordynowanej</w:t>
            </w:r>
            <w:r w:rsidRPr="00AF3A31">
              <w:rPr>
                <w:rFonts w:eastAsia="Calibri"/>
              </w:rPr>
              <w:t xml:space="preserve"> (…), </w:t>
            </w:r>
            <w:r w:rsidRPr="00AF3A31">
              <w:rPr>
                <w:rFonts w:eastAsia="Calibri"/>
                <w:i/>
                <w:iCs/>
              </w:rPr>
              <w:t>D3G Wejście w życie ustawy o jakości w ochronie zdrowia i bezpieczeństwie pacjenta</w:t>
            </w:r>
            <w:r w:rsidRPr="00AF3A31">
              <w:rPr>
                <w:rFonts w:eastAsia="Calibri"/>
              </w:rPr>
              <w:t xml:space="preserve"> oraz </w:t>
            </w:r>
            <w:r w:rsidRPr="00AF3A31">
              <w:rPr>
                <w:rFonts w:eastAsia="Calibri"/>
                <w:i/>
                <w:iCs/>
              </w:rPr>
              <w:t>D4G Wejście w życie ustawy o Krajowej Sieci Onkologicznej.</w:t>
            </w:r>
          </w:p>
          <w:p w14:paraId="58CA394E" w14:textId="77777777" w:rsidR="00DB00FD" w:rsidRPr="00AF3A31" w:rsidRDefault="00DB00FD" w:rsidP="001E2158">
            <w:pPr>
              <w:spacing w:before="60" w:after="60" w:line="240" w:lineRule="auto"/>
              <w:jc w:val="left"/>
              <w:rPr>
                <w:rFonts w:eastAsia="Calibri"/>
              </w:rPr>
            </w:pPr>
            <w:r w:rsidRPr="00AF3A31">
              <w:rPr>
                <w:rFonts w:eastAsia="Calibri"/>
              </w:rPr>
              <w:t xml:space="preserve">Ostatnie 4 lata bardzo poważnie doświadczyły polski system ochrony zdrowia. Wybuch pandemii COVID-19 w 2020 r. i wojny w Ukrainie w 2022 r. w istotny sposób wpłynęły na funkcjonowanie polskiego systemu ochrony zdrowia, w tym z obszaru szpitalnictwa. Zapewnienie odpowiedniej efektywności, dostępności i jakości udzielanych świadczeń zdrowotnych w dalszym ciągu wymaga podjęcia kompleksowych działań, które powinny zostać wsparte inwestycjami infrastrukturalnymi </w:t>
            </w:r>
            <w:r>
              <w:rPr>
                <w:rFonts w:eastAsia="Calibri"/>
              </w:rPr>
              <w:t xml:space="preserve">i inwestycjami w sprzęt medyczny w związku z </w:t>
            </w:r>
            <w:r w:rsidRPr="00AF3A31">
              <w:rPr>
                <w:rFonts w:eastAsia="Calibri"/>
              </w:rPr>
              <w:t xml:space="preserve"> </w:t>
            </w:r>
            <w:r>
              <w:rPr>
                <w:rFonts w:eastAsia="Calibri"/>
              </w:rPr>
              <w:t xml:space="preserve">przeprowadzonymi </w:t>
            </w:r>
            <w:r w:rsidRPr="00AF3A31">
              <w:rPr>
                <w:rFonts w:eastAsia="Calibri"/>
              </w:rPr>
              <w:t>reform</w:t>
            </w:r>
            <w:r>
              <w:rPr>
                <w:rFonts w:eastAsia="Calibri"/>
              </w:rPr>
              <w:t xml:space="preserve">ami, celem </w:t>
            </w:r>
            <w:r w:rsidRPr="00AF3A31">
              <w:rPr>
                <w:rFonts w:eastAsia="Calibri"/>
              </w:rPr>
              <w:t xml:space="preserve">zapewnienia jak najlepszej opieki pacjentom. Oczekiwania i potrzeby społeczne, ukierunkowane na poszerzenie dostępu do nowoczesnych form leczenia zapewniających skuteczną diagnostykę i leczenie, na poziomie opieki szpitalnej </w:t>
            </w:r>
            <w:r>
              <w:rPr>
                <w:rFonts w:eastAsia="Calibri"/>
              </w:rPr>
              <w:t xml:space="preserve">i ambulatoryjnej </w:t>
            </w:r>
            <w:r w:rsidRPr="00AF3A31">
              <w:rPr>
                <w:rFonts w:eastAsia="Calibri"/>
              </w:rPr>
              <w:t xml:space="preserve">uzasadniają </w:t>
            </w:r>
            <w:r>
              <w:rPr>
                <w:rFonts w:eastAsia="Calibri"/>
              </w:rPr>
              <w:t>uruchomienie poszczególnych częsci inwestycji (w zakresie onkologii, kardiologii, szpitali ogólnych) niezwłocznie po wdrożeniu odpowiadających im reform.</w:t>
            </w:r>
          </w:p>
          <w:p w14:paraId="61055906" w14:textId="77777777" w:rsidR="00DB00FD" w:rsidRPr="00AF3A31" w:rsidRDefault="00DB00FD" w:rsidP="001E2158">
            <w:pPr>
              <w:spacing w:before="60" w:after="60" w:line="240" w:lineRule="auto"/>
              <w:jc w:val="left"/>
              <w:rPr>
                <w:rFonts w:eastAsia="Calibri"/>
              </w:rPr>
            </w:pPr>
            <w:r w:rsidRPr="00AF3A31">
              <w:rPr>
                <w:rFonts w:eastAsia="Calibri"/>
              </w:rPr>
              <w:t xml:space="preserve">Podział inwestycji na trzy niezależne podkamienie określające obszary inwestycji korespondujące odpowiednio z reformami w tych obszarach jest alternatywną propozycją realizacji kamienia D9G, która umożliwi osiągnięcie zakładanych celów reformy i poziomów ich ambicji. Nowe podejście do realizacji kamienia D9G zapewni bardziej efektywną alokację środków inwestycyjnych, przy zachowaniu ich wspólnego celu realizacji tj. poprawy odporności, efektywności, jakości i dostępności świadczeń opieki zdrowotnej, w tym przez racjonalizację piramidy świadczeń. </w:t>
            </w:r>
          </w:p>
          <w:p w14:paraId="25352667" w14:textId="77777777" w:rsidR="00DB00FD" w:rsidRPr="00AF3A31" w:rsidRDefault="00DB00FD" w:rsidP="001E2158">
            <w:pPr>
              <w:spacing w:before="60" w:after="60" w:line="240" w:lineRule="auto"/>
              <w:jc w:val="left"/>
              <w:rPr>
                <w:rFonts w:eastAsia="Calibri"/>
              </w:rPr>
            </w:pPr>
            <w:r w:rsidRPr="00AF3A31">
              <w:rPr>
                <w:rFonts w:eastAsia="Calibri"/>
              </w:rPr>
              <w:t xml:space="preserve">Proponowane zmiany terminów wskaźników wynikają z uwarunkowań rynkowych i regulacji związanych z prawem zamówień publicznych. Wydłużenie terminów realizacji wynika z potrzeby zapewnienia dłuższego okresu na postępowania przetargowe niż pierwotnie zaplanowano. </w:t>
            </w:r>
          </w:p>
          <w:p w14:paraId="030F147D" w14:textId="77777777" w:rsidR="00DB00FD" w:rsidRDefault="00DB00FD" w:rsidP="001E2158">
            <w:pPr>
              <w:spacing w:before="60" w:after="60" w:line="240" w:lineRule="auto"/>
              <w:jc w:val="left"/>
              <w:rPr>
                <w:rFonts w:eastAsia="Calibri"/>
              </w:rPr>
            </w:pPr>
            <w:r w:rsidRPr="00AF3A31">
              <w:rPr>
                <w:rFonts w:eastAsia="Calibri"/>
              </w:rPr>
              <w:t xml:space="preserve">W zakresie połączenia wskaźnika D13G i D14G, Ministerstwo Zdrowia proponuje powrót do pierwszych założeń negocjowanych w ramach RRF. Obecne zapisy wskazują, że zrealizowane inwestycje należy identyfikować po elemencie doposażenia w sprzęt oraz elementy modernizacji infrastruktury. Efektem realizowanych inwestycji powinien być wskaźnik produktu - zrealizowane umowy łącznie nakierowane na elementy doposażeniowe oraz modernizacji infrastruktury. Powyższa propozycja odnosi się do obiektywnych przesłanek wynikających z doświadczenia MZ w realizacji inwestycji oraz ma na celu jak najbardziej efektywne wykorzystania środków RRF. </w:t>
            </w:r>
          </w:p>
          <w:p w14:paraId="7491B56E" w14:textId="77777777" w:rsidR="00DB00FD" w:rsidRDefault="00DB00FD" w:rsidP="001E2158">
            <w:pPr>
              <w:spacing w:after="120" w:line="240" w:lineRule="auto"/>
              <w:rPr>
                <w:rFonts w:eastAsia="Calibri"/>
              </w:rPr>
            </w:pPr>
            <w:r>
              <w:rPr>
                <w:rFonts w:eastAsia="Calibri"/>
              </w:rPr>
              <w:t xml:space="preserve">Uwzględnienie w inwestycji wsparcia w infrastrukturę lub sprzęt AOS stanowi lepszą alternatywę. </w:t>
            </w:r>
          </w:p>
          <w:p w14:paraId="14EA3BBF" w14:textId="77777777" w:rsidR="00DB00FD" w:rsidRDefault="00DB00FD" w:rsidP="001E2158">
            <w:pPr>
              <w:spacing w:after="120" w:line="240" w:lineRule="auto"/>
              <w:rPr>
                <w:rFonts w:eastAsia="Calibri"/>
              </w:rPr>
            </w:pPr>
            <w:r>
              <w:rPr>
                <w:rFonts w:eastAsia="Calibri"/>
              </w:rPr>
              <w:t xml:space="preserve">Dodatkowo doprecyzowano zakres wsparcia w ramach inwestycji poprzez uwzględnienie AOS. </w:t>
            </w:r>
          </w:p>
          <w:p w14:paraId="7902BF76" w14:textId="77777777" w:rsidR="00DB00FD" w:rsidRPr="00B3034F" w:rsidRDefault="00DB00FD" w:rsidP="001E2158">
            <w:pPr>
              <w:spacing w:after="120" w:line="240" w:lineRule="auto"/>
              <w:rPr>
                <w:sz w:val="22"/>
                <w:szCs w:val="22"/>
              </w:rPr>
            </w:pPr>
            <w:r w:rsidRPr="007B5108">
              <w:t xml:space="preserve">Zgodnie z </w:t>
            </w:r>
            <w:r w:rsidRPr="009D1150">
              <w:t>Ustawą o Krajowej Sieci Onkologicznej (KSO),</w:t>
            </w:r>
            <w:r w:rsidRPr="007B5108">
              <w:t xml:space="preserve"> wprowadzona nowa struktura organizacyjna i nowy model zarządzania opieką onkologiczną w Polsce obejmować będzie, oprócz Specjalistycznych Ośrodków Leczenia Onkologicznego (SOLO) na trzech poziomach zabezpieczenia </w:t>
            </w:r>
            <w:r w:rsidRPr="00B3034F">
              <w:t xml:space="preserve">opieki onkologicznej, również Ośrodki Kooperacyjne (OK). </w:t>
            </w:r>
          </w:p>
          <w:p w14:paraId="79781118" w14:textId="77777777" w:rsidR="00DB00FD" w:rsidRPr="00B3034F" w:rsidRDefault="00DB00FD" w:rsidP="001E2158">
            <w:pPr>
              <w:spacing w:after="120" w:line="240" w:lineRule="auto"/>
            </w:pPr>
            <w:r w:rsidRPr="00B3034F">
              <w:t>Będą to podmioty wykonujące działalność leczniczą, nie stanowiące SOLO, ale realizujące opiekę onkologiczną na podstawie umowy z Narodowym Funduszem Zdrowia, w zakresie ambulatoryjnej opieki specjalistycznej.</w:t>
            </w:r>
          </w:p>
          <w:p w14:paraId="0E34B00C" w14:textId="77777777" w:rsidR="00DB00FD" w:rsidRPr="00B3034F" w:rsidRDefault="00DB00FD" w:rsidP="001E2158">
            <w:pPr>
              <w:spacing w:after="120" w:line="240" w:lineRule="auto"/>
            </w:pPr>
            <w:r w:rsidRPr="00B3034F">
              <w:rPr>
                <w:u w:val="single"/>
              </w:rPr>
              <w:t>Zadania realizowane przez OK</w:t>
            </w:r>
            <w:r w:rsidRPr="00B3034F">
              <w:t xml:space="preserve"> obejmują:</w:t>
            </w:r>
          </w:p>
          <w:p w14:paraId="1652663F" w14:textId="77777777" w:rsidR="00DB00FD" w:rsidRPr="00B3034F" w:rsidRDefault="00DB00FD" w:rsidP="001E2158">
            <w:pPr>
              <w:pStyle w:val="Akapitzlist"/>
              <w:numPr>
                <w:ilvl w:val="0"/>
                <w:numId w:val="40"/>
              </w:numPr>
              <w:spacing w:after="120" w:line="240" w:lineRule="auto"/>
              <w:ind w:left="714" w:hanging="357"/>
              <w:jc w:val="left"/>
            </w:pPr>
            <w:r w:rsidRPr="00B3034F">
              <w:t xml:space="preserve">udzielanie porad specjalistycznych lub </w:t>
            </w:r>
          </w:p>
          <w:p w14:paraId="722946F7" w14:textId="77777777" w:rsidR="00DB00FD" w:rsidRPr="00B3034F" w:rsidRDefault="00DB00FD" w:rsidP="001E2158">
            <w:pPr>
              <w:pStyle w:val="Akapitzlist"/>
              <w:numPr>
                <w:ilvl w:val="0"/>
                <w:numId w:val="40"/>
              </w:numPr>
              <w:spacing w:after="120" w:line="240" w:lineRule="auto"/>
              <w:ind w:left="714" w:hanging="357"/>
              <w:jc w:val="left"/>
            </w:pPr>
            <w:r w:rsidRPr="00B3034F">
              <w:t xml:space="preserve">wykonywanie diagnostyki onkologicznej lub  </w:t>
            </w:r>
          </w:p>
          <w:p w14:paraId="349467E5" w14:textId="77777777" w:rsidR="00DB00FD" w:rsidRPr="00B3034F" w:rsidRDefault="00DB00FD" w:rsidP="001E2158">
            <w:pPr>
              <w:pStyle w:val="Akapitzlist"/>
              <w:numPr>
                <w:ilvl w:val="0"/>
                <w:numId w:val="40"/>
              </w:numPr>
              <w:spacing w:after="120" w:line="240" w:lineRule="auto"/>
              <w:ind w:left="714" w:hanging="357"/>
              <w:jc w:val="left"/>
            </w:pPr>
            <w:r w:rsidRPr="00B3034F">
              <w:t xml:space="preserve">udzielanie świadczeń zabiegowych.  </w:t>
            </w:r>
          </w:p>
          <w:p w14:paraId="3C6280E7" w14:textId="77777777" w:rsidR="00DB00FD" w:rsidRPr="00B3034F" w:rsidRDefault="00DB00FD" w:rsidP="001E2158">
            <w:pPr>
              <w:spacing w:after="120" w:line="240" w:lineRule="auto"/>
            </w:pPr>
            <w:r w:rsidRPr="00B3034F">
              <w:t>Dzięki współpracy w ramach systemu opieki onkologicznej z OK w zakresie postawienia diagnozy onkologicznej lub kontynuacji</w:t>
            </w:r>
            <w:r w:rsidRPr="00B3034F">
              <w:rPr>
                <w:rFonts w:ascii="Lato" w:hAnsi="Lato" w:cstheme="minorHAnsi"/>
              </w:rPr>
              <w:t xml:space="preserve"> </w:t>
            </w:r>
            <w:r w:rsidRPr="00B3034F">
              <w:t>procesu</w:t>
            </w:r>
            <w:r w:rsidRPr="00B3034F">
              <w:rPr>
                <w:rFonts w:ascii="Lato" w:hAnsi="Lato" w:cstheme="minorHAnsi"/>
              </w:rPr>
              <w:t xml:space="preserve"> </w:t>
            </w:r>
            <w:r w:rsidRPr="00B3034F">
              <w:t xml:space="preserve">leczenia, SOLO będzie w stanie zapewnić pacjentom lepszy dostęp do procesów diagnostycznych i terapeutycznych. </w:t>
            </w:r>
          </w:p>
          <w:p w14:paraId="29F7E70D" w14:textId="77777777" w:rsidR="00DB00FD" w:rsidRPr="0056086B" w:rsidRDefault="00DB00FD" w:rsidP="001E2158">
            <w:pPr>
              <w:spacing w:after="120" w:line="240" w:lineRule="auto"/>
              <w:rPr>
                <w:lang w:eastAsia="pl-PL"/>
              </w:rPr>
            </w:pPr>
            <w:r w:rsidRPr="00B3034F">
              <w:t>Z tego względu umożliwienie wspierania ze środków KPO podmiotów tworzących KSO, w tym OK ( m.in. zakupy lub wymiana sprzętu diagnostycznego; prace budowlane w rodzaju adaptacji lub remontu OK), poprawi kompleksowość opieki onkologicznej na całej „ścieżce pacjenta” w zakresie ambulatoryjnej opieki specjalistycznej, leczenia szpitalnego i rehabilitacji. Mo</w:t>
            </w:r>
            <w:r w:rsidRPr="007B5108">
              <w:t xml:space="preserve">żliwość zapewnienia dostępności do świadczeń jak najbliżej </w:t>
            </w:r>
            <w:r>
              <w:t xml:space="preserve">miejsca zamieszkania </w:t>
            </w:r>
            <w:r w:rsidRPr="007B5108">
              <w:t xml:space="preserve">pacjenta będzie realizowana m.in. poprzez współpracę SOLO z ośrodkami kooperacyjnymi, których zadaniem będzie wsparcie specjalistycznych ośrodków w diagnostyce i opiece nad pacjentem. </w:t>
            </w:r>
          </w:p>
        </w:tc>
      </w:tr>
      <w:tr w:rsidR="00DB00FD" w:rsidRPr="00AF3A31" w14:paraId="6B9906DE" w14:textId="77777777" w:rsidTr="00A501D9">
        <w:tc>
          <w:tcPr>
            <w:tcW w:w="1230" w:type="pct"/>
          </w:tcPr>
          <w:p w14:paraId="6FD81093" w14:textId="77777777" w:rsidR="00DB00FD" w:rsidRPr="00AF3A31" w:rsidRDefault="00DB00FD" w:rsidP="001E2158">
            <w:pPr>
              <w:spacing w:before="60" w:after="60" w:line="252" w:lineRule="auto"/>
              <w:jc w:val="left"/>
              <w:rPr>
                <w:rFonts w:eastAsia="Calibri"/>
              </w:rPr>
            </w:pPr>
            <w:r w:rsidRPr="00AF3A31">
              <w:rPr>
                <w:rFonts w:eastAsia="Calibri"/>
              </w:rPr>
              <w:t>Szacowany koszt</w:t>
            </w:r>
          </w:p>
        </w:tc>
        <w:tc>
          <w:tcPr>
            <w:tcW w:w="3770" w:type="pct"/>
            <w:gridSpan w:val="2"/>
          </w:tcPr>
          <w:p w14:paraId="4F00C52C" w14:textId="77777777" w:rsidR="00DB00FD" w:rsidRPr="00AF3A31" w:rsidRDefault="00DB00FD" w:rsidP="001E2158">
            <w:pPr>
              <w:spacing w:before="60" w:after="60" w:line="252" w:lineRule="auto"/>
              <w:jc w:val="left"/>
              <w:rPr>
                <w:rFonts w:eastAsia="Calibri"/>
                <w:b/>
                <w:bCs/>
              </w:rPr>
            </w:pPr>
            <w:r>
              <w:rPr>
                <w:rFonts w:eastAsia="Calibri"/>
              </w:rPr>
              <w:t>Zmniejszenie budżetu inwestycji D1.1.1 do kwoty 1 818 527 644 EUR w związku z p</w:t>
            </w:r>
            <w:r w:rsidRPr="00AF3A31">
              <w:rPr>
                <w:rFonts w:eastAsia="Calibri"/>
              </w:rPr>
              <w:t>rzeniesienie inwestycji D1.2.1. z części pożyczkowej do części grantowej  i zwiększenie</w:t>
            </w:r>
            <w:r>
              <w:rPr>
                <w:rFonts w:eastAsia="Calibri"/>
              </w:rPr>
              <w:t>m</w:t>
            </w:r>
            <w:r w:rsidRPr="00AF3A31">
              <w:rPr>
                <w:rFonts w:eastAsia="Calibri"/>
              </w:rPr>
              <w:t xml:space="preserve"> jej budżetu do 300 mln EUR</w:t>
            </w:r>
            <w:r>
              <w:rPr>
                <w:rFonts w:eastAsia="Calibri"/>
              </w:rPr>
              <w:t>.</w:t>
            </w:r>
          </w:p>
        </w:tc>
      </w:tr>
      <w:tr w:rsidR="00DB00FD" w:rsidRPr="00AF3A31" w14:paraId="64610CAB" w14:textId="77777777" w:rsidTr="00A501D9">
        <w:tc>
          <w:tcPr>
            <w:tcW w:w="1230" w:type="pct"/>
          </w:tcPr>
          <w:p w14:paraId="68A96357" w14:textId="77777777" w:rsidR="00DB00FD" w:rsidRPr="00AF3A31" w:rsidRDefault="00DB00FD" w:rsidP="001E2158">
            <w:pPr>
              <w:spacing w:before="60" w:after="60" w:line="252" w:lineRule="auto"/>
              <w:jc w:val="left"/>
              <w:rPr>
                <w:rFonts w:eastAsia="Calibri"/>
              </w:rPr>
            </w:pPr>
            <w:r w:rsidRPr="00AF3A31">
              <w:rPr>
                <w:rFonts w:eastAsia="Calibri"/>
              </w:rPr>
              <w:t xml:space="preserve">Cyfrowy i klimatyczny tagging </w:t>
            </w:r>
          </w:p>
        </w:tc>
        <w:tc>
          <w:tcPr>
            <w:tcW w:w="3770" w:type="pct"/>
            <w:gridSpan w:val="2"/>
          </w:tcPr>
          <w:p w14:paraId="4554E1A3" w14:textId="77777777" w:rsidR="00DB00FD" w:rsidRPr="00AF3A31" w:rsidRDefault="00DB00FD" w:rsidP="001E2158">
            <w:pPr>
              <w:spacing w:before="60" w:after="60" w:line="252" w:lineRule="auto"/>
              <w:jc w:val="left"/>
              <w:rPr>
                <w:rFonts w:eastAsia="Calibri"/>
              </w:rPr>
            </w:pPr>
            <w:r w:rsidRPr="00AF3A31">
              <w:rPr>
                <w:rFonts w:eastAsia="Calibri"/>
              </w:rPr>
              <w:t>Zmiana nie ma wpływu na tagging klimatyczny i cyfrowy</w:t>
            </w:r>
          </w:p>
        </w:tc>
      </w:tr>
      <w:tr w:rsidR="00DB00FD" w:rsidRPr="00AF3A31" w14:paraId="120F4732" w14:textId="77777777" w:rsidTr="00A501D9">
        <w:tc>
          <w:tcPr>
            <w:tcW w:w="1230" w:type="pct"/>
            <w:tcBorders>
              <w:bottom w:val="single" w:sz="4" w:space="0" w:color="auto"/>
            </w:tcBorders>
          </w:tcPr>
          <w:p w14:paraId="7A2FEFE2" w14:textId="77777777" w:rsidR="00DB00FD" w:rsidRPr="00AF3A31" w:rsidRDefault="00DB00FD" w:rsidP="001E2158">
            <w:pPr>
              <w:spacing w:before="60" w:after="60" w:line="252" w:lineRule="auto"/>
              <w:jc w:val="left"/>
              <w:rPr>
                <w:rFonts w:eastAsia="Calibri"/>
              </w:rPr>
            </w:pPr>
            <w:r w:rsidRPr="00AF3A31">
              <w:rPr>
                <w:rFonts w:eastAsia="Calibri"/>
              </w:rPr>
              <w:t xml:space="preserve">Zasada DNSH </w:t>
            </w:r>
          </w:p>
        </w:tc>
        <w:tc>
          <w:tcPr>
            <w:tcW w:w="3770" w:type="pct"/>
            <w:gridSpan w:val="2"/>
            <w:tcBorders>
              <w:bottom w:val="single" w:sz="4" w:space="0" w:color="auto"/>
            </w:tcBorders>
          </w:tcPr>
          <w:p w14:paraId="1C12A34B" w14:textId="77777777" w:rsidR="00DB00FD" w:rsidRPr="00AF3A31" w:rsidRDefault="00DB00FD" w:rsidP="001E2158">
            <w:pPr>
              <w:spacing w:before="60" w:after="60" w:line="252" w:lineRule="auto"/>
              <w:jc w:val="left"/>
              <w:rPr>
                <w:rFonts w:eastAsia="Calibri"/>
              </w:rPr>
            </w:pPr>
            <w:r w:rsidRPr="00AF3A31">
              <w:rPr>
                <w:rFonts w:eastAsia="Calibri"/>
              </w:rPr>
              <w:t>Zmiana nie ma wpływu na DNSH</w:t>
            </w:r>
          </w:p>
        </w:tc>
      </w:tr>
      <w:tr w:rsidR="00DB00FD" w:rsidRPr="00AF3A31" w14:paraId="5A301F73" w14:textId="77777777" w:rsidTr="00A501D9">
        <w:tc>
          <w:tcPr>
            <w:tcW w:w="1230" w:type="pct"/>
            <w:tcBorders>
              <w:bottom w:val="single" w:sz="4" w:space="0" w:color="auto"/>
            </w:tcBorders>
          </w:tcPr>
          <w:p w14:paraId="6F2AFF8F" w14:textId="77777777" w:rsidR="00DB00FD" w:rsidRPr="00AF3A31" w:rsidRDefault="00DB00FD" w:rsidP="001E2158">
            <w:pPr>
              <w:spacing w:before="60" w:after="60" w:line="252" w:lineRule="auto"/>
              <w:jc w:val="left"/>
              <w:rPr>
                <w:rFonts w:eastAsia="Calibri"/>
              </w:rPr>
            </w:pPr>
            <w:r w:rsidRPr="00AF3A31">
              <w:rPr>
                <w:rFonts w:eastAsia="Calibri"/>
              </w:rPr>
              <w:t xml:space="preserve">Pomoc publiczna </w:t>
            </w:r>
          </w:p>
        </w:tc>
        <w:tc>
          <w:tcPr>
            <w:tcW w:w="3770" w:type="pct"/>
            <w:gridSpan w:val="2"/>
            <w:tcBorders>
              <w:bottom w:val="single" w:sz="4" w:space="0" w:color="auto"/>
            </w:tcBorders>
          </w:tcPr>
          <w:p w14:paraId="5F9B0C34" w14:textId="77777777" w:rsidR="00DB00FD" w:rsidRPr="00AF3A31" w:rsidRDefault="00DB00FD" w:rsidP="001E2158">
            <w:pPr>
              <w:spacing w:before="60" w:after="60" w:line="252" w:lineRule="auto"/>
              <w:jc w:val="left"/>
              <w:rPr>
                <w:rFonts w:eastAsia="Calibri"/>
              </w:rPr>
            </w:pPr>
            <w:r w:rsidRPr="00AF3A31">
              <w:rPr>
                <w:rFonts w:eastAsia="Calibri"/>
              </w:rPr>
              <w:t>Zmiana nie ma wpływu na pomoc publiczną</w:t>
            </w:r>
          </w:p>
        </w:tc>
      </w:tr>
    </w:tbl>
    <w:p w14:paraId="03336296" w14:textId="77777777" w:rsidR="00DB00FD" w:rsidRPr="00AF3A31" w:rsidRDefault="00DB00FD" w:rsidP="00DB00FD">
      <w:pPr>
        <w:spacing w:before="60" w:after="60" w:line="252" w:lineRule="auto"/>
        <w:jc w:val="left"/>
        <w:rPr>
          <w:rFonts w:eastAsia="Calibri"/>
          <w:b/>
          <w:bCs/>
        </w:rPr>
      </w:pPr>
    </w:p>
    <w:tbl>
      <w:tblPr>
        <w:tblW w:w="47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3345"/>
        <w:gridCol w:w="3172"/>
      </w:tblGrid>
      <w:tr w:rsidR="00DB00FD" w:rsidRPr="00AF3A31" w14:paraId="2C4928A9" w14:textId="77777777" w:rsidTr="00A501D9">
        <w:tc>
          <w:tcPr>
            <w:tcW w:w="1230" w:type="pct"/>
            <w:shd w:val="clear" w:color="auto" w:fill="auto"/>
          </w:tcPr>
          <w:p w14:paraId="6559C5DE" w14:textId="77777777" w:rsidR="00DB00FD" w:rsidRPr="008F19AE" w:rsidRDefault="00DB00FD" w:rsidP="001E2158">
            <w:pPr>
              <w:spacing w:after="120" w:line="240" w:lineRule="auto"/>
              <w:jc w:val="left"/>
              <w:rPr>
                <w:rFonts w:eastAsia="Calibri"/>
                <w:b/>
                <w:bCs/>
              </w:rPr>
            </w:pPr>
            <w:r w:rsidRPr="008F19AE">
              <w:rPr>
                <w:rFonts w:eastAsia="Calibri"/>
                <w:b/>
                <w:bCs/>
              </w:rPr>
              <w:t>Numer inwestycji</w:t>
            </w:r>
          </w:p>
        </w:tc>
        <w:tc>
          <w:tcPr>
            <w:tcW w:w="3770" w:type="pct"/>
            <w:gridSpan w:val="2"/>
            <w:shd w:val="clear" w:color="auto" w:fill="auto"/>
          </w:tcPr>
          <w:p w14:paraId="4008CA64" w14:textId="77777777" w:rsidR="00DB00FD" w:rsidRPr="008F19AE" w:rsidRDefault="00DB00FD" w:rsidP="001E2158">
            <w:pPr>
              <w:spacing w:after="120"/>
              <w:ind w:left="124"/>
              <w:contextualSpacing/>
              <w:rPr>
                <w:b/>
                <w:bCs/>
              </w:rPr>
            </w:pPr>
            <w:r w:rsidRPr="008F19AE">
              <w:rPr>
                <w:b/>
                <w:bCs/>
              </w:rPr>
              <w:t>D1.1.2.</w:t>
            </w:r>
          </w:p>
        </w:tc>
      </w:tr>
      <w:tr w:rsidR="00DB00FD" w:rsidRPr="00935797" w14:paraId="0486516D" w14:textId="77777777" w:rsidTr="00A501D9">
        <w:tc>
          <w:tcPr>
            <w:tcW w:w="1230" w:type="pct"/>
            <w:shd w:val="clear" w:color="auto" w:fill="auto"/>
          </w:tcPr>
          <w:p w14:paraId="0DA99611" w14:textId="77777777" w:rsidR="00DB00FD" w:rsidRPr="008F19AE" w:rsidRDefault="00DB00FD" w:rsidP="001E2158">
            <w:pPr>
              <w:spacing w:after="120"/>
              <w:ind w:left="67" w:hanging="67"/>
              <w:contextualSpacing/>
              <w:rPr>
                <w:b/>
                <w:bCs/>
              </w:rPr>
            </w:pPr>
            <w:r w:rsidRPr="008F19AE">
              <w:rPr>
                <w:b/>
                <w:bCs/>
              </w:rPr>
              <w:t xml:space="preserve">Nazwa inwestycji </w:t>
            </w:r>
          </w:p>
        </w:tc>
        <w:tc>
          <w:tcPr>
            <w:tcW w:w="3770" w:type="pct"/>
            <w:gridSpan w:val="2"/>
            <w:shd w:val="clear" w:color="auto" w:fill="auto"/>
          </w:tcPr>
          <w:p w14:paraId="3DEEC645" w14:textId="77777777" w:rsidR="00DB00FD" w:rsidRPr="008F19AE" w:rsidRDefault="00DB00FD" w:rsidP="001E2158">
            <w:pPr>
              <w:spacing w:after="120" w:line="240" w:lineRule="auto"/>
              <w:ind w:left="124"/>
              <w:contextualSpacing/>
              <w:rPr>
                <w:b/>
                <w:bCs/>
                <w:lang w:eastAsia="pl-PL"/>
              </w:rPr>
            </w:pPr>
            <w:r w:rsidRPr="008F19AE">
              <w:rPr>
                <w:b/>
                <w:bCs/>
                <w:lang w:eastAsia="pl-PL"/>
              </w:rPr>
              <w:t>Przyspieszenie procesów transformacji cyfrowej ochrony zdrowia poprzez dalszy rozwój usług cyfrowych w ochronie zdrowia</w:t>
            </w:r>
          </w:p>
          <w:p w14:paraId="0C391279" w14:textId="77777777" w:rsidR="00DB00FD" w:rsidRPr="008F19AE" w:rsidRDefault="00DB00FD" w:rsidP="001E2158">
            <w:pPr>
              <w:spacing w:after="120" w:line="240" w:lineRule="auto"/>
              <w:ind w:left="124"/>
              <w:contextualSpacing/>
              <w:rPr>
                <w:b/>
                <w:bCs/>
                <w:lang w:val="en-GB" w:eastAsia="pl-PL"/>
              </w:rPr>
            </w:pPr>
            <w:r w:rsidRPr="008F19AE">
              <w:rPr>
                <w:b/>
                <w:bCs/>
                <w:sz w:val="23"/>
                <w:szCs w:val="23"/>
                <w:lang w:val="en-GB"/>
              </w:rPr>
              <w:t>Accelerating the digital transformation of health by further developing digital health services</w:t>
            </w:r>
          </w:p>
        </w:tc>
      </w:tr>
      <w:tr w:rsidR="00DB00FD" w:rsidRPr="00935797" w14:paraId="6B5861C9" w14:textId="77777777" w:rsidTr="00A501D9">
        <w:trPr>
          <w:trHeight w:val="1212"/>
        </w:trPr>
        <w:tc>
          <w:tcPr>
            <w:tcW w:w="1230" w:type="pct"/>
            <w:shd w:val="clear" w:color="auto" w:fill="auto"/>
          </w:tcPr>
          <w:p w14:paraId="2FEE6F2E" w14:textId="77777777" w:rsidR="00DB00FD" w:rsidRPr="00AF3A31" w:rsidRDefault="00DB00FD" w:rsidP="001E2158">
            <w:pPr>
              <w:spacing w:after="120"/>
              <w:ind w:left="67"/>
              <w:contextualSpacing/>
            </w:pPr>
            <w:r w:rsidRPr="00AF3A31">
              <w:lastRenderedPageBreak/>
              <w:t>Rodzaj wprowadzonej zmiany w odniesieniu do CID</w:t>
            </w:r>
          </w:p>
        </w:tc>
        <w:tc>
          <w:tcPr>
            <w:tcW w:w="3770" w:type="pct"/>
            <w:gridSpan w:val="2"/>
            <w:shd w:val="clear" w:color="auto" w:fill="auto"/>
          </w:tcPr>
          <w:p w14:paraId="692C1478" w14:textId="77777777" w:rsidR="00DB00FD" w:rsidRPr="00AF3A31" w:rsidRDefault="00DB00FD" w:rsidP="001E2158">
            <w:pPr>
              <w:spacing w:after="120" w:line="240" w:lineRule="auto"/>
              <w:contextualSpacing/>
            </w:pPr>
            <w:r w:rsidRPr="00AF3A31">
              <w:t xml:space="preserve">Zmiany w zakresie mierników: </w:t>
            </w:r>
          </w:p>
          <w:p w14:paraId="5B1A3AD9" w14:textId="77777777" w:rsidR="00DB00FD" w:rsidRPr="00AF3A31" w:rsidRDefault="00DB00FD" w:rsidP="001E2158">
            <w:pPr>
              <w:spacing w:after="120" w:line="240" w:lineRule="auto"/>
              <w:jc w:val="left"/>
              <w:rPr>
                <w:rFonts w:eastAsia="Calibri"/>
              </w:rPr>
            </w:pPr>
            <w:r w:rsidRPr="00AF3A31">
              <w:rPr>
                <w:rFonts w:eastAsia="Calibri"/>
              </w:rPr>
              <w:t xml:space="preserve">D19G W1: </w:t>
            </w:r>
            <w:r w:rsidRPr="00AF3A31">
              <w:rPr>
                <w:rFonts w:eastAsia="Calibri"/>
                <w:color w:val="000000"/>
              </w:rPr>
              <w:t xml:space="preserve">Zmiana opisu oraz </w:t>
            </w:r>
            <w:r w:rsidRPr="00AF3A31">
              <w:rPr>
                <w:rFonts w:eastAsia="Calibri"/>
              </w:rPr>
              <w:t xml:space="preserve">jednostki miary miernika. </w:t>
            </w:r>
          </w:p>
          <w:p w14:paraId="18508F52" w14:textId="77777777" w:rsidR="00DB00FD" w:rsidRDefault="00DB00FD" w:rsidP="001E2158">
            <w:pPr>
              <w:spacing w:after="120" w:line="240" w:lineRule="auto"/>
              <w:jc w:val="left"/>
              <w:rPr>
                <w:rFonts w:eastAsia="Calibri"/>
              </w:rPr>
            </w:pPr>
            <w:r w:rsidRPr="00AF3A31">
              <w:rPr>
                <w:rFonts w:eastAsia="Calibri"/>
                <w:color w:val="000000"/>
              </w:rPr>
              <w:t xml:space="preserve">D20G W2: Zmiana opisu oraz </w:t>
            </w:r>
            <w:r w:rsidRPr="00AF3A31">
              <w:rPr>
                <w:rFonts w:eastAsia="Calibri"/>
              </w:rPr>
              <w:t xml:space="preserve">jednostki miary miernika. </w:t>
            </w:r>
          </w:p>
          <w:p w14:paraId="6596F343" w14:textId="77777777" w:rsidR="00DB00FD" w:rsidRPr="00AF3A31" w:rsidRDefault="00DB00FD" w:rsidP="001E2158">
            <w:pPr>
              <w:spacing w:after="120" w:line="240" w:lineRule="auto"/>
              <w:jc w:val="left"/>
              <w:rPr>
                <w:rFonts w:eastAsia="Calibri"/>
              </w:rPr>
            </w:pPr>
            <w:r>
              <w:rPr>
                <w:rFonts w:eastAsia="Calibri"/>
              </w:rPr>
              <w:t xml:space="preserve">Zmiana w opisie pomocy publicznej dla miernika D15G. </w:t>
            </w:r>
          </w:p>
          <w:p w14:paraId="6AFF2D33" w14:textId="77777777" w:rsidR="00DB00FD" w:rsidRPr="00AF3A31" w:rsidRDefault="00DB00FD" w:rsidP="001E2158">
            <w:pPr>
              <w:spacing w:after="120" w:line="240" w:lineRule="auto"/>
              <w:jc w:val="left"/>
              <w:rPr>
                <w:rFonts w:eastAsia="Calibri"/>
              </w:rPr>
            </w:pPr>
          </w:p>
          <w:p w14:paraId="5A75F1E4" w14:textId="77777777" w:rsidR="00DB00FD" w:rsidRPr="00AF3A31" w:rsidRDefault="00DB00FD" w:rsidP="001E2158">
            <w:pPr>
              <w:spacing w:after="120" w:line="240" w:lineRule="auto"/>
              <w:jc w:val="left"/>
              <w:rPr>
                <w:rFonts w:eastAsia="Calibri"/>
              </w:rPr>
            </w:pPr>
            <w:r w:rsidRPr="00AF3A31">
              <w:rPr>
                <w:rFonts w:eastAsia="Calibri"/>
              </w:rPr>
              <w:t>W zakresie pozostałych kamieni milowych nie są zgłaszane zmiany, dlatego nie wprowadzono ich do niniejszego zestawienia zmian.</w:t>
            </w:r>
          </w:p>
          <w:p w14:paraId="79CD951C" w14:textId="77777777" w:rsidR="00DB00FD" w:rsidRPr="00AF3A31" w:rsidRDefault="00DB00FD" w:rsidP="001E2158">
            <w:pPr>
              <w:spacing w:after="120" w:line="240" w:lineRule="auto"/>
              <w:jc w:val="left"/>
              <w:rPr>
                <w:rFonts w:eastAsia="Calibri"/>
                <w:color w:val="000000"/>
                <w:lang w:val="en-US" w:eastAsia="en-GB"/>
              </w:rPr>
            </w:pPr>
            <w:r w:rsidRPr="00AF3A31">
              <w:rPr>
                <w:rFonts w:eastAsia="Calibri"/>
                <w:color w:val="000000"/>
                <w:lang w:val="en-US" w:eastAsia="en-GB"/>
              </w:rPr>
              <w:t xml:space="preserve">Description of investments unchanged.  </w:t>
            </w:r>
          </w:p>
          <w:p w14:paraId="5EDE58D8" w14:textId="77777777" w:rsidR="00DB00FD" w:rsidRPr="00AF3A31" w:rsidRDefault="00DB00FD" w:rsidP="001E2158">
            <w:pPr>
              <w:spacing w:after="120" w:line="240" w:lineRule="auto"/>
              <w:jc w:val="left"/>
              <w:rPr>
                <w:rFonts w:eastAsia="Calibri"/>
                <w:color w:val="000000"/>
                <w:lang w:val="en-US" w:eastAsia="en-GB"/>
              </w:rPr>
            </w:pPr>
            <w:r w:rsidRPr="00AF3A31">
              <w:rPr>
                <w:rFonts w:eastAsia="Calibri"/>
                <w:color w:val="000000"/>
                <w:lang w:val="en-US" w:eastAsia="en-GB"/>
              </w:rPr>
              <w:t xml:space="preserve">Changes to metrics: </w:t>
            </w:r>
          </w:p>
          <w:p w14:paraId="1303321C" w14:textId="77777777" w:rsidR="00DB00FD" w:rsidRPr="00AF3A31" w:rsidRDefault="00DB00FD" w:rsidP="001E2158">
            <w:pPr>
              <w:spacing w:after="120" w:line="240" w:lineRule="auto"/>
              <w:jc w:val="left"/>
              <w:rPr>
                <w:rFonts w:eastAsia="Calibri"/>
                <w:color w:val="000000"/>
                <w:lang w:val="en-GB" w:eastAsia="en-GB"/>
              </w:rPr>
            </w:pPr>
            <w:r w:rsidRPr="00AF3A31">
              <w:rPr>
                <w:rFonts w:eastAsia="Calibri"/>
                <w:color w:val="000000"/>
                <w:lang w:val="en-GB" w:eastAsia="en-GB"/>
              </w:rPr>
              <w:t xml:space="preserve">D19G W1: Change </w:t>
            </w:r>
            <w:r>
              <w:rPr>
                <w:rFonts w:eastAsia="Calibri"/>
                <w:color w:val="000000"/>
                <w:lang w:val="en-GB" w:eastAsia="en-GB"/>
              </w:rPr>
              <w:t xml:space="preserve">of </w:t>
            </w:r>
            <w:r w:rsidRPr="00AF3A31">
              <w:rPr>
                <w:rFonts w:eastAsia="Calibri"/>
                <w:color w:val="000000"/>
                <w:lang w:val="en-GB" w:eastAsia="en-GB"/>
              </w:rPr>
              <w:t xml:space="preserve">the description and the unit of measure. </w:t>
            </w:r>
          </w:p>
          <w:p w14:paraId="7CA61544" w14:textId="77777777" w:rsidR="00DB00FD" w:rsidRDefault="00DB00FD" w:rsidP="001E2158">
            <w:pPr>
              <w:spacing w:after="120" w:line="240" w:lineRule="auto"/>
              <w:jc w:val="left"/>
              <w:rPr>
                <w:rFonts w:eastAsia="Calibri"/>
                <w:color w:val="000000"/>
                <w:lang w:val="en-US" w:eastAsia="en-GB"/>
              </w:rPr>
            </w:pPr>
            <w:r w:rsidRPr="00AF3A31">
              <w:rPr>
                <w:rFonts w:eastAsia="Calibri"/>
                <w:color w:val="000000"/>
                <w:lang w:val="en-US" w:eastAsia="en-GB"/>
              </w:rPr>
              <w:t xml:space="preserve">D20G W2: Change </w:t>
            </w:r>
            <w:r>
              <w:rPr>
                <w:rFonts w:eastAsia="Calibri"/>
                <w:color w:val="000000"/>
                <w:lang w:val="en-US" w:eastAsia="en-GB"/>
              </w:rPr>
              <w:t xml:space="preserve">of </w:t>
            </w:r>
            <w:r w:rsidRPr="00AF3A31">
              <w:rPr>
                <w:rFonts w:eastAsia="Calibri"/>
                <w:color w:val="000000"/>
                <w:lang w:val="en-US" w:eastAsia="en-GB"/>
              </w:rPr>
              <w:t xml:space="preserve">the description and the unit of measure. </w:t>
            </w:r>
          </w:p>
          <w:p w14:paraId="4EA80BEC" w14:textId="1FDE2A5D" w:rsidR="00A501D9" w:rsidRPr="00AF3A31" w:rsidRDefault="00DB00FD" w:rsidP="001E2158">
            <w:pPr>
              <w:spacing w:after="120" w:line="240" w:lineRule="auto"/>
              <w:jc w:val="left"/>
              <w:rPr>
                <w:rFonts w:eastAsia="Calibri"/>
                <w:color w:val="000000"/>
                <w:lang w:val="en-US" w:eastAsia="en-GB"/>
              </w:rPr>
            </w:pPr>
            <w:r w:rsidRPr="00DA3AFA">
              <w:rPr>
                <w:rFonts w:eastAsia="Calibri"/>
                <w:color w:val="000000"/>
                <w:lang w:val="en-US" w:eastAsia="en-GB"/>
              </w:rPr>
              <w:t>Change in description of state aid for measure D15</w:t>
            </w:r>
            <w:r>
              <w:rPr>
                <w:rFonts w:eastAsia="Calibri"/>
                <w:color w:val="000000"/>
                <w:lang w:val="en-US" w:eastAsia="en-GB"/>
              </w:rPr>
              <w:t>G.</w:t>
            </w:r>
          </w:p>
          <w:p w14:paraId="26D598EC" w14:textId="77777777" w:rsidR="00DB00FD" w:rsidRPr="00AF3A31" w:rsidRDefault="00DB00FD" w:rsidP="001E2158">
            <w:pPr>
              <w:spacing w:after="120" w:line="240" w:lineRule="auto"/>
              <w:jc w:val="left"/>
              <w:rPr>
                <w:rFonts w:eastAsia="Calibri"/>
                <w:lang w:val="en-GB"/>
              </w:rPr>
            </w:pPr>
            <w:r w:rsidRPr="00AF3A31">
              <w:rPr>
                <w:rFonts w:eastAsia="Calibri"/>
                <w:color w:val="000000"/>
                <w:lang w:val="en-US" w:eastAsia="en-GB"/>
              </w:rPr>
              <w:t>No changes are reported for the remaining milestones and therefore they have not been included in this Statement of Changes.</w:t>
            </w:r>
          </w:p>
        </w:tc>
      </w:tr>
      <w:tr w:rsidR="00DB00FD" w:rsidRPr="006B057C" w14:paraId="6FA8008B" w14:textId="77777777" w:rsidTr="00A501D9">
        <w:tc>
          <w:tcPr>
            <w:tcW w:w="1230" w:type="pct"/>
            <w:shd w:val="clear" w:color="auto" w:fill="auto"/>
          </w:tcPr>
          <w:p w14:paraId="38AC43DF" w14:textId="77777777" w:rsidR="00DB00FD" w:rsidRPr="00AF3A31" w:rsidRDefault="00DB00FD" w:rsidP="001E2158">
            <w:pPr>
              <w:spacing w:after="120"/>
              <w:ind w:left="67"/>
              <w:contextualSpacing/>
            </w:pPr>
            <w:r w:rsidRPr="00AF3A31">
              <w:t>Podstawa prawna zmiany</w:t>
            </w:r>
          </w:p>
        </w:tc>
        <w:tc>
          <w:tcPr>
            <w:tcW w:w="3770" w:type="pct"/>
            <w:gridSpan w:val="2"/>
            <w:shd w:val="clear" w:color="auto" w:fill="auto"/>
          </w:tcPr>
          <w:p w14:paraId="43B4928F" w14:textId="77777777" w:rsidR="00DB00FD" w:rsidRDefault="00DB00FD" w:rsidP="001E2158">
            <w:pPr>
              <w:spacing w:after="120" w:line="240" w:lineRule="auto"/>
              <w:contextualSpacing/>
            </w:pPr>
            <w:r w:rsidRPr="00AF3A31">
              <w:t>art. 21 rozporządzenia Parlamentu Europejskiego i Rady (UE) 2021/241 z dnia 12 lutego 2021 r. ustanawiające Instrument na rzecz Odbudowy i Zwiększania Odporności</w:t>
            </w:r>
          </w:p>
          <w:p w14:paraId="01675BE8" w14:textId="77777777" w:rsidR="00DB00FD" w:rsidRDefault="00DB00FD" w:rsidP="001E2158">
            <w:pPr>
              <w:spacing w:after="120" w:line="240" w:lineRule="auto"/>
              <w:contextualSpacing/>
              <w:rPr>
                <w:lang w:val="en-GB"/>
              </w:rPr>
            </w:pPr>
            <w:r w:rsidRPr="002355EA">
              <w:rPr>
                <w:lang w:val="en-GB"/>
              </w:rPr>
              <w:t>D19G i D</w:t>
            </w:r>
            <w:r>
              <w:rPr>
                <w:lang w:val="en-GB"/>
              </w:rPr>
              <w:t>20G: lepsza alternatywa</w:t>
            </w:r>
            <w:r w:rsidRPr="008F19AE">
              <w:rPr>
                <w:lang w:val="en-GB"/>
              </w:rPr>
              <w:t xml:space="preserve"> </w:t>
            </w:r>
          </w:p>
          <w:p w14:paraId="753D9298" w14:textId="77777777" w:rsidR="00DB00FD" w:rsidRDefault="00DB00FD" w:rsidP="001E2158">
            <w:pPr>
              <w:spacing w:after="120" w:line="240" w:lineRule="auto"/>
              <w:contextualSpacing/>
              <w:rPr>
                <w:rFonts w:eastAsia="Calibri"/>
                <w:color w:val="000000"/>
                <w:lang w:val="en-GB" w:eastAsia="en-GB"/>
              </w:rPr>
            </w:pPr>
          </w:p>
          <w:p w14:paraId="562DBDB7" w14:textId="77777777" w:rsidR="00DB00FD" w:rsidRDefault="00DB00FD" w:rsidP="001E2158">
            <w:pPr>
              <w:spacing w:after="120" w:line="240" w:lineRule="auto"/>
              <w:contextualSpacing/>
              <w:rPr>
                <w:rFonts w:eastAsia="Calibri"/>
                <w:color w:val="000000"/>
                <w:lang w:val="en-GB" w:eastAsia="en-GB"/>
              </w:rPr>
            </w:pPr>
            <w:r>
              <w:rPr>
                <w:rFonts w:eastAsia="Calibri"/>
                <w:color w:val="000000"/>
                <w:lang w:val="en-GB" w:eastAsia="en-GB"/>
              </w:rPr>
              <w:t>article 21 of Regulation (EU) 2021/241 of the European Parliament and of the Council of 12 February 2021 establishing an Instrument for Reconstruction and Increasing Resilience</w:t>
            </w:r>
          </w:p>
          <w:p w14:paraId="33D3FB75" w14:textId="77777777" w:rsidR="00DB00FD" w:rsidRDefault="00DB00FD" w:rsidP="001E2158">
            <w:pPr>
              <w:spacing w:after="120" w:line="240" w:lineRule="auto"/>
              <w:contextualSpacing/>
              <w:rPr>
                <w:lang w:val="en-GB"/>
              </w:rPr>
            </w:pPr>
            <w:r w:rsidRPr="002355EA">
              <w:rPr>
                <w:lang w:val="en-GB"/>
              </w:rPr>
              <w:t>D19G i D</w:t>
            </w:r>
            <w:r>
              <w:rPr>
                <w:lang w:val="en-GB"/>
              </w:rPr>
              <w:t>20G: b</w:t>
            </w:r>
            <w:r w:rsidRPr="005845C3">
              <w:rPr>
                <w:lang w:val="en-GB"/>
              </w:rPr>
              <w:t xml:space="preserve">etter alternative </w:t>
            </w:r>
          </w:p>
          <w:p w14:paraId="66629982" w14:textId="77777777" w:rsidR="00DB00FD" w:rsidRPr="008F19AE" w:rsidRDefault="00DB00FD" w:rsidP="001E2158">
            <w:pPr>
              <w:spacing w:after="120" w:line="240" w:lineRule="auto"/>
              <w:contextualSpacing/>
              <w:rPr>
                <w:lang w:val="en-GB"/>
              </w:rPr>
            </w:pPr>
          </w:p>
        </w:tc>
      </w:tr>
      <w:tr w:rsidR="00DB00FD" w:rsidRPr="00AF3A31" w14:paraId="5B40740E" w14:textId="77777777" w:rsidTr="00A501D9">
        <w:tc>
          <w:tcPr>
            <w:tcW w:w="1230" w:type="pct"/>
            <w:shd w:val="clear" w:color="auto" w:fill="D9D9D9"/>
          </w:tcPr>
          <w:p w14:paraId="1B29B90D" w14:textId="77777777" w:rsidR="00DB00FD" w:rsidRPr="00AF3A31" w:rsidRDefault="00DB00FD" w:rsidP="001E2158">
            <w:pPr>
              <w:spacing w:after="120" w:line="240" w:lineRule="auto"/>
              <w:jc w:val="left"/>
              <w:rPr>
                <w:rFonts w:eastAsia="Calibri"/>
              </w:rPr>
            </w:pPr>
            <w:r w:rsidRPr="00AF3A31">
              <w:rPr>
                <w:rFonts w:eastAsia="Calibri"/>
              </w:rPr>
              <w:t>Modyfikowany element</w:t>
            </w:r>
          </w:p>
        </w:tc>
        <w:tc>
          <w:tcPr>
            <w:tcW w:w="1935" w:type="pct"/>
            <w:shd w:val="clear" w:color="auto" w:fill="D9D9D9"/>
          </w:tcPr>
          <w:p w14:paraId="2AACF892" w14:textId="77777777" w:rsidR="00DB00FD" w:rsidRPr="00AF3A31" w:rsidRDefault="00DB00FD" w:rsidP="001E2158">
            <w:pPr>
              <w:spacing w:after="120" w:line="240" w:lineRule="auto"/>
              <w:jc w:val="center"/>
              <w:rPr>
                <w:rFonts w:eastAsia="Calibri"/>
              </w:rPr>
            </w:pPr>
            <w:r w:rsidRPr="00AF3A31">
              <w:rPr>
                <w:rFonts w:eastAsia="Calibri"/>
              </w:rPr>
              <w:t>Bieżąca wersja</w:t>
            </w:r>
          </w:p>
        </w:tc>
        <w:tc>
          <w:tcPr>
            <w:tcW w:w="1835" w:type="pct"/>
            <w:shd w:val="clear" w:color="auto" w:fill="D9D9D9"/>
          </w:tcPr>
          <w:p w14:paraId="48C8D281" w14:textId="77777777" w:rsidR="00DB00FD" w:rsidRPr="00AF3A31" w:rsidRDefault="00DB00FD" w:rsidP="001E2158">
            <w:pPr>
              <w:spacing w:after="120" w:line="240" w:lineRule="auto"/>
              <w:jc w:val="center"/>
              <w:rPr>
                <w:rFonts w:eastAsia="Calibri"/>
              </w:rPr>
            </w:pPr>
            <w:r w:rsidRPr="00AF3A31">
              <w:rPr>
                <w:rFonts w:eastAsia="Calibri"/>
              </w:rPr>
              <w:t>Wersja zmieniona</w:t>
            </w:r>
          </w:p>
        </w:tc>
      </w:tr>
      <w:tr w:rsidR="00DB00FD" w:rsidRPr="00AF3A31" w14:paraId="23D8CF82" w14:textId="77777777" w:rsidTr="00A501D9">
        <w:tc>
          <w:tcPr>
            <w:tcW w:w="1230" w:type="pct"/>
            <w:vMerge w:val="restart"/>
          </w:tcPr>
          <w:p w14:paraId="52B12B14" w14:textId="77777777" w:rsidR="00DB00FD" w:rsidRPr="00AF3A31" w:rsidRDefault="00DB00FD" w:rsidP="001E2158">
            <w:pPr>
              <w:spacing w:after="120" w:line="240" w:lineRule="auto"/>
              <w:jc w:val="left"/>
              <w:rPr>
                <w:rFonts w:eastAsia="Calibri"/>
              </w:rPr>
            </w:pPr>
            <w:r w:rsidRPr="00AF3A31">
              <w:rPr>
                <w:rFonts w:eastAsia="Calibri"/>
              </w:rPr>
              <w:t>Opis komponentu oraz/lub działania (inwestycji/reformy)</w:t>
            </w:r>
          </w:p>
        </w:tc>
        <w:tc>
          <w:tcPr>
            <w:tcW w:w="1935" w:type="pct"/>
          </w:tcPr>
          <w:p w14:paraId="71CE90FA" w14:textId="77777777" w:rsidR="00DB00FD" w:rsidRPr="00AF3A31" w:rsidRDefault="00DB00FD" w:rsidP="001E2158">
            <w:pPr>
              <w:autoSpaceDE w:val="0"/>
              <w:autoSpaceDN w:val="0"/>
              <w:adjustRightInd w:val="0"/>
              <w:spacing w:after="0" w:line="240" w:lineRule="auto"/>
              <w:jc w:val="left"/>
              <w:rPr>
                <w:rFonts w:eastAsia="Calibri"/>
              </w:rPr>
            </w:pPr>
            <w:r w:rsidRPr="00AF3A31">
              <w:rPr>
                <w:rFonts w:eastAsia="Calibri"/>
              </w:rPr>
              <w:t xml:space="preserve">D19G W1 </w:t>
            </w:r>
          </w:p>
          <w:p w14:paraId="1C9CCA8C" w14:textId="77777777" w:rsidR="00DB00FD" w:rsidRPr="00AF3A31" w:rsidRDefault="00DB00FD" w:rsidP="001E2158">
            <w:pPr>
              <w:autoSpaceDE w:val="0"/>
              <w:autoSpaceDN w:val="0"/>
              <w:adjustRightInd w:val="0"/>
              <w:spacing w:after="0" w:line="240" w:lineRule="auto"/>
              <w:jc w:val="left"/>
              <w:rPr>
                <w:rFonts w:eastAsia="Calibri"/>
              </w:rPr>
            </w:pPr>
            <w:r w:rsidRPr="00AF3A31">
              <w:rPr>
                <w:rFonts w:eastAsia="Calibri"/>
              </w:rPr>
              <w:t>Cyfryzacja</w:t>
            </w:r>
          </w:p>
          <w:p w14:paraId="46131CEC" w14:textId="77777777" w:rsidR="00DB00FD" w:rsidRPr="00AF3A31" w:rsidRDefault="00DB00FD" w:rsidP="001E2158">
            <w:pPr>
              <w:spacing w:after="0" w:line="240" w:lineRule="auto"/>
              <w:jc w:val="left"/>
              <w:rPr>
                <w:rFonts w:eastAsia="Calibri"/>
              </w:rPr>
            </w:pPr>
            <w:r w:rsidRPr="00AF3A31">
              <w:rPr>
                <w:rFonts w:eastAsia="Calibri"/>
              </w:rPr>
              <w:t>dokumentów medycznych</w:t>
            </w:r>
          </w:p>
          <w:p w14:paraId="66496F2F" w14:textId="77777777" w:rsidR="00DB00FD" w:rsidRPr="00AF3A31" w:rsidRDefault="00DB00FD" w:rsidP="001E2158">
            <w:pPr>
              <w:spacing w:after="0" w:line="240" w:lineRule="auto"/>
              <w:jc w:val="left"/>
              <w:rPr>
                <w:rFonts w:eastAsia="Calibri"/>
              </w:rPr>
            </w:pPr>
          </w:p>
          <w:p w14:paraId="2A3B5C08" w14:textId="77777777" w:rsidR="00DB00FD" w:rsidRPr="00AF3A31" w:rsidRDefault="00DB00FD" w:rsidP="001E2158">
            <w:pPr>
              <w:spacing w:after="0" w:line="240" w:lineRule="auto"/>
              <w:jc w:val="left"/>
              <w:rPr>
                <w:rFonts w:eastAsia="Calibri"/>
              </w:rPr>
            </w:pPr>
            <w:r w:rsidRPr="00AF3A31">
              <w:rPr>
                <w:rFonts w:eastAsia="Calibri"/>
              </w:rPr>
              <w:t xml:space="preserve">Opis wskaźnika: </w:t>
            </w:r>
          </w:p>
          <w:p w14:paraId="42465F58" w14:textId="77777777" w:rsidR="00DB00FD" w:rsidRPr="00AF3A31" w:rsidRDefault="00DB00FD" w:rsidP="001E2158">
            <w:pPr>
              <w:autoSpaceDE w:val="0"/>
              <w:autoSpaceDN w:val="0"/>
              <w:adjustRightInd w:val="0"/>
              <w:spacing w:after="0" w:line="240" w:lineRule="auto"/>
              <w:jc w:val="left"/>
              <w:rPr>
                <w:rFonts w:eastAsia="Calibri"/>
              </w:rPr>
            </w:pPr>
            <w:r w:rsidRPr="00AF3A31">
              <w:rPr>
                <w:rFonts w:eastAsia="Calibri"/>
              </w:rPr>
              <w:t>Ucyfrowionych zostanie 30% ogólnej liczby rodzajów dokumentów medycznych.</w:t>
            </w:r>
          </w:p>
          <w:p w14:paraId="20C494E7" w14:textId="77777777" w:rsidR="00DB00FD" w:rsidRPr="00AF3A31" w:rsidRDefault="00DB00FD" w:rsidP="001E2158">
            <w:pPr>
              <w:autoSpaceDE w:val="0"/>
              <w:autoSpaceDN w:val="0"/>
              <w:adjustRightInd w:val="0"/>
              <w:spacing w:after="0" w:line="240" w:lineRule="auto"/>
              <w:jc w:val="left"/>
              <w:rPr>
                <w:rFonts w:eastAsia="Calibri"/>
              </w:rPr>
            </w:pPr>
          </w:p>
          <w:p w14:paraId="309124E8" w14:textId="77777777" w:rsidR="00DB00FD" w:rsidRPr="00AF3A31" w:rsidRDefault="00DB00FD" w:rsidP="001E2158">
            <w:pPr>
              <w:autoSpaceDE w:val="0"/>
              <w:autoSpaceDN w:val="0"/>
              <w:adjustRightInd w:val="0"/>
              <w:spacing w:after="0" w:line="240" w:lineRule="auto"/>
              <w:jc w:val="left"/>
              <w:rPr>
                <w:rFonts w:eastAsia="Calibri"/>
              </w:rPr>
            </w:pPr>
            <w:r w:rsidRPr="00AF3A31">
              <w:rPr>
                <w:rFonts w:eastAsia="Calibri"/>
              </w:rPr>
              <w:t>Wskaźniki ilościowe: 30%</w:t>
            </w:r>
          </w:p>
          <w:p w14:paraId="4B419A98" w14:textId="77777777" w:rsidR="00DB00FD" w:rsidRPr="00AF3A31" w:rsidRDefault="00DB00FD" w:rsidP="001E2158">
            <w:pPr>
              <w:autoSpaceDE w:val="0"/>
              <w:autoSpaceDN w:val="0"/>
              <w:adjustRightInd w:val="0"/>
              <w:spacing w:after="0" w:line="240" w:lineRule="auto"/>
              <w:jc w:val="left"/>
              <w:rPr>
                <w:rFonts w:eastAsia="Calibri"/>
              </w:rPr>
            </w:pPr>
          </w:p>
          <w:p w14:paraId="2ED4898B" w14:textId="77777777" w:rsidR="00DB00FD" w:rsidRPr="00AF3A31" w:rsidRDefault="00DB00FD" w:rsidP="001E2158">
            <w:pPr>
              <w:autoSpaceDE w:val="0"/>
              <w:autoSpaceDN w:val="0"/>
              <w:adjustRightInd w:val="0"/>
              <w:spacing w:after="0" w:line="240" w:lineRule="auto"/>
              <w:jc w:val="left"/>
              <w:rPr>
                <w:rFonts w:eastAsia="Calibri"/>
              </w:rPr>
            </w:pPr>
          </w:p>
          <w:p w14:paraId="2AAD688C" w14:textId="77777777" w:rsidR="00DB00FD" w:rsidRPr="00AF3A31" w:rsidRDefault="00DB00FD" w:rsidP="001E2158">
            <w:pPr>
              <w:autoSpaceDE w:val="0"/>
              <w:autoSpaceDN w:val="0"/>
              <w:adjustRightInd w:val="0"/>
              <w:spacing w:after="0" w:line="240" w:lineRule="auto"/>
              <w:jc w:val="left"/>
              <w:rPr>
                <w:rFonts w:eastAsia="Calibri"/>
              </w:rPr>
            </w:pPr>
          </w:p>
          <w:p w14:paraId="59908E89" w14:textId="77777777" w:rsidR="00DB00FD" w:rsidRPr="00AF3A31" w:rsidRDefault="00DB00FD" w:rsidP="001E2158">
            <w:pPr>
              <w:autoSpaceDE w:val="0"/>
              <w:autoSpaceDN w:val="0"/>
              <w:adjustRightInd w:val="0"/>
              <w:spacing w:after="0" w:line="240" w:lineRule="auto"/>
              <w:jc w:val="left"/>
              <w:rPr>
                <w:rFonts w:eastAsia="Calibri"/>
              </w:rPr>
            </w:pPr>
            <w:r w:rsidRPr="00AF3A31">
              <w:rPr>
                <w:rFonts w:eastAsia="Calibri"/>
              </w:rPr>
              <w:t>Termin realizacji: 1Q2025</w:t>
            </w:r>
          </w:p>
          <w:p w14:paraId="19B90925" w14:textId="77777777" w:rsidR="00DB00FD" w:rsidRPr="00AF3A31" w:rsidRDefault="00DB00FD" w:rsidP="001E2158">
            <w:pPr>
              <w:spacing w:after="0" w:line="240" w:lineRule="auto"/>
              <w:jc w:val="left"/>
              <w:rPr>
                <w:rFonts w:eastAsia="Calibri"/>
                <w:lang w:val="en-GB"/>
              </w:rPr>
            </w:pPr>
          </w:p>
        </w:tc>
        <w:tc>
          <w:tcPr>
            <w:tcW w:w="1835" w:type="pct"/>
          </w:tcPr>
          <w:p w14:paraId="6AA08F14" w14:textId="77777777" w:rsidR="00DB00FD" w:rsidRPr="00AF3A31" w:rsidRDefault="00DB00FD" w:rsidP="001E2158">
            <w:pPr>
              <w:autoSpaceDE w:val="0"/>
              <w:autoSpaceDN w:val="0"/>
              <w:adjustRightInd w:val="0"/>
              <w:spacing w:after="0" w:line="240" w:lineRule="auto"/>
              <w:jc w:val="left"/>
              <w:rPr>
                <w:rFonts w:eastAsia="Calibri"/>
              </w:rPr>
            </w:pPr>
            <w:r w:rsidRPr="00AF3A31">
              <w:rPr>
                <w:rFonts w:eastAsia="Calibri"/>
              </w:rPr>
              <w:t xml:space="preserve">D19G W1 </w:t>
            </w:r>
          </w:p>
          <w:p w14:paraId="2C9DECC6" w14:textId="77777777" w:rsidR="00DB00FD" w:rsidRPr="00AF3A31" w:rsidRDefault="00DB00FD" w:rsidP="001E2158">
            <w:pPr>
              <w:autoSpaceDE w:val="0"/>
              <w:autoSpaceDN w:val="0"/>
              <w:adjustRightInd w:val="0"/>
              <w:spacing w:after="0" w:line="240" w:lineRule="auto"/>
              <w:jc w:val="left"/>
              <w:rPr>
                <w:rFonts w:eastAsia="Calibri"/>
              </w:rPr>
            </w:pPr>
            <w:r w:rsidRPr="00AF3A31">
              <w:rPr>
                <w:rFonts w:eastAsia="Calibri"/>
              </w:rPr>
              <w:t>Cyfryzacja</w:t>
            </w:r>
          </w:p>
          <w:p w14:paraId="41914118" w14:textId="77777777" w:rsidR="00DB00FD" w:rsidRPr="00AF3A31" w:rsidRDefault="00DB00FD" w:rsidP="001E2158">
            <w:pPr>
              <w:autoSpaceDE w:val="0"/>
              <w:autoSpaceDN w:val="0"/>
              <w:adjustRightInd w:val="0"/>
              <w:spacing w:after="0" w:line="240" w:lineRule="auto"/>
              <w:jc w:val="left"/>
              <w:rPr>
                <w:rFonts w:eastAsia="Calibri"/>
                <w:color w:val="FF0000"/>
              </w:rPr>
            </w:pPr>
            <w:r w:rsidRPr="00AF3A31">
              <w:rPr>
                <w:rFonts w:eastAsia="Calibri"/>
              </w:rPr>
              <w:t>dokumentów medycznych</w:t>
            </w:r>
          </w:p>
          <w:p w14:paraId="7C7B1566" w14:textId="77777777" w:rsidR="00DB00FD" w:rsidRPr="00AF3A31" w:rsidRDefault="00DB00FD" w:rsidP="001E2158">
            <w:pPr>
              <w:autoSpaceDE w:val="0"/>
              <w:autoSpaceDN w:val="0"/>
              <w:adjustRightInd w:val="0"/>
              <w:spacing w:after="0" w:line="240" w:lineRule="auto"/>
              <w:jc w:val="left"/>
              <w:rPr>
                <w:rFonts w:eastAsia="Calibri"/>
                <w:color w:val="FF0000"/>
              </w:rPr>
            </w:pPr>
          </w:p>
          <w:p w14:paraId="18F0E889" w14:textId="77777777" w:rsidR="00DB00FD" w:rsidRPr="00AF3A31" w:rsidRDefault="00DB00FD" w:rsidP="001E2158">
            <w:pPr>
              <w:autoSpaceDE w:val="0"/>
              <w:autoSpaceDN w:val="0"/>
              <w:adjustRightInd w:val="0"/>
              <w:spacing w:after="0" w:line="240" w:lineRule="auto"/>
              <w:jc w:val="left"/>
              <w:rPr>
                <w:rFonts w:eastAsia="Calibri"/>
              </w:rPr>
            </w:pPr>
            <w:r w:rsidRPr="00AF3A31">
              <w:rPr>
                <w:rFonts w:eastAsia="Calibri"/>
              </w:rPr>
              <w:t xml:space="preserve">Opis wskaźnika: </w:t>
            </w:r>
          </w:p>
          <w:p w14:paraId="6D159A9F" w14:textId="77777777" w:rsidR="00DB00FD" w:rsidRPr="00AF3A31" w:rsidRDefault="00DB00FD" w:rsidP="001E2158">
            <w:pPr>
              <w:autoSpaceDE w:val="0"/>
              <w:autoSpaceDN w:val="0"/>
              <w:adjustRightInd w:val="0"/>
              <w:spacing w:after="0" w:line="240" w:lineRule="auto"/>
              <w:jc w:val="left"/>
              <w:rPr>
                <w:rFonts w:eastAsia="Calibri"/>
                <w:color w:val="FF0000"/>
              </w:rPr>
            </w:pPr>
            <w:r w:rsidRPr="00AF3A31">
              <w:rPr>
                <w:rFonts w:eastAsia="Calibri"/>
                <w:color w:val="FF0000"/>
              </w:rPr>
              <w:t>Ucyfrowienie nowych dokumentów medycznych</w:t>
            </w:r>
          </w:p>
          <w:p w14:paraId="70D9B135" w14:textId="77777777" w:rsidR="00DB00FD" w:rsidRPr="00AF3A31" w:rsidRDefault="00DB00FD" w:rsidP="001E2158">
            <w:pPr>
              <w:autoSpaceDE w:val="0"/>
              <w:autoSpaceDN w:val="0"/>
              <w:adjustRightInd w:val="0"/>
              <w:spacing w:after="0" w:line="240" w:lineRule="auto"/>
              <w:jc w:val="left"/>
              <w:rPr>
                <w:rFonts w:eastAsia="Calibri"/>
                <w:color w:val="000000"/>
              </w:rPr>
            </w:pPr>
          </w:p>
          <w:p w14:paraId="6A702A60" w14:textId="77777777" w:rsidR="00DB00FD" w:rsidRPr="00AF3A31" w:rsidRDefault="00DB00FD" w:rsidP="001E2158">
            <w:pPr>
              <w:autoSpaceDE w:val="0"/>
              <w:autoSpaceDN w:val="0"/>
              <w:adjustRightInd w:val="0"/>
              <w:spacing w:after="0" w:line="240" w:lineRule="auto"/>
              <w:jc w:val="left"/>
              <w:rPr>
                <w:rFonts w:eastAsia="Calibri"/>
                <w:color w:val="000000"/>
              </w:rPr>
            </w:pPr>
            <w:r w:rsidRPr="00AF3A31">
              <w:rPr>
                <w:rFonts w:eastAsia="Calibri"/>
                <w:color w:val="000000"/>
              </w:rPr>
              <w:t xml:space="preserve">Wskaźniki ilościowe: </w:t>
            </w:r>
          </w:p>
          <w:p w14:paraId="6C1682E8" w14:textId="77777777" w:rsidR="00DB00FD" w:rsidRPr="00AF3A31" w:rsidRDefault="00DB00FD" w:rsidP="001E2158">
            <w:pPr>
              <w:autoSpaceDE w:val="0"/>
              <w:autoSpaceDN w:val="0"/>
              <w:adjustRightInd w:val="0"/>
              <w:spacing w:after="0" w:line="240" w:lineRule="auto"/>
              <w:jc w:val="left"/>
              <w:rPr>
                <w:rFonts w:eastAsia="Calibri"/>
                <w:color w:val="FF0000"/>
              </w:rPr>
            </w:pPr>
            <w:r w:rsidRPr="00AF3A31">
              <w:rPr>
                <w:rFonts w:eastAsia="Calibri"/>
                <w:color w:val="FF0000"/>
              </w:rPr>
              <w:t>Jednostka miary: Liczba dokumentów</w:t>
            </w:r>
          </w:p>
          <w:p w14:paraId="36A8FCE9" w14:textId="77777777" w:rsidR="00DB00FD" w:rsidRPr="00AF3A31" w:rsidRDefault="00DB00FD" w:rsidP="001E2158">
            <w:pPr>
              <w:autoSpaceDE w:val="0"/>
              <w:autoSpaceDN w:val="0"/>
              <w:adjustRightInd w:val="0"/>
              <w:spacing w:after="0" w:line="240" w:lineRule="auto"/>
              <w:jc w:val="left"/>
              <w:rPr>
                <w:rFonts w:eastAsia="Calibri"/>
                <w:color w:val="FF0000"/>
              </w:rPr>
            </w:pPr>
            <w:r w:rsidRPr="00AF3A31">
              <w:rPr>
                <w:rFonts w:eastAsia="Calibri"/>
                <w:color w:val="FF0000"/>
              </w:rPr>
              <w:t>Poziom bazowy: 9</w:t>
            </w:r>
          </w:p>
          <w:p w14:paraId="0BFB4F97" w14:textId="77777777" w:rsidR="00DB00FD" w:rsidRPr="00AF3A31" w:rsidRDefault="00DB00FD" w:rsidP="001E2158">
            <w:pPr>
              <w:autoSpaceDE w:val="0"/>
              <w:autoSpaceDN w:val="0"/>
              <w:adjustRightInd w:val="0"/>
              <w:spacing w:after="0" w:line="240" w:lineRule="auto"/>
              <w:jc w:val="left"/>
              <w:rPr>
                <w:rFonts w:eastAsia="Calibri"/>
                <w:color w:val="FF0000"/>
              </w:rPr>
            </w:pPr>
            <w:r w:rsidRPr="00AF3A31">
              <w:rPr>
                <w:rFonts w:eastAsia="Calibri"/>
                <w:color w:val="FF0000"/>
              </w:rPr>
              <w:t>Cel: 12</w:t>
            </w:r>
          </w:p>
          <w:p w14:paraId="4328F845" w14:textId="77777777" w:rsidR="00DB00FD" w:rsidRPr="00AF3A31" w:rsidRDefault="00DB00FD" w:rsidP="001E2158">
            <w:pPr>
              <w:autoSpaceDE w:val="0"/>
              <w:autoSpaceDN w:val="0"/>
              <w:adjustRightInd w:val="0"/>
              <w:spacing w:after="0" w:line="240" w:lineRule="auto"/>
              <w:jc w:val="left"/>
              <w:rPr>
                <w:rFonts w:eastAsia="Calibri"/>
                <w:color w:val="000000"/>
              </w:rPr>
            </w:pPr>
          </w:p>
          <w:p w14:paraId="15C9538C" w14:textId="77777777" w:rsidR="00DB00FD" w:rsidRPr="00AF3A31" w:rsidRDefault="00DB00FD" w:rsidP="001E2158">
            <w:pPr>
              <w:autoSpaceDE w:val="0"/>
              <w:autoSpaceDN w:val="0"/>
              <w:adjustRightInd w:val="0"/>
              <w:spacing w:after="0" w:line="240" w:lineRule="auto"/>
              <w:jc w:val="left"/>
              <w:rPr>
                <w:rFonts w:eastAsia="Calibri"/>
                <w:color w:val="000000"/>
              </w:rPr>
            </w:pPr>
            <w:r w:rsidRPr="00AF3A31">
              <w:rPr>
                <w:rFonts w:eastAsia="Calibri"/>
                <w:color w:val="000000"/>
              </w:rPr>
              <w:t xml:space="preserve">Termin realizacji: </w:t>
            </w:r>
            <w:r w:rsidRPr="00AF3A31">
              <w:rPr>
                <w:rFonts w:eastAsia="Calibri"/>
              </w:rPr>
              <w:t>Bez zmian</w:t>
            </w:r>
          </w:p>
          <w:p w14:paraId="6796EB96" w14:textId="77777777" w:rsidR="00DB00FD" w:rsidRPr="00AF3A31" w:rsidRDefault="00DB00FD" w:rsidP="001E2158">
            <w:pPr>
              <w:autoSpaceDE w:val="0"/>
              <w:autoSpaceDN w:val="0"/>
              <w:adjustRightInd w:val="0"/>
              <w:spacing w:after="0" w:line="240" w:lineRule="auto"/>
              <w:jc w:val="left"/>
              <w:rPr>
                <w:rFonts w:eastAsia="Calibri"/>
              </w:rPr>
            </w:pPr>
          </w:p>
        </w:tc>
      </w:tr>
      <w:tr w:rsidR="00DB00FD" w:rsidRPr="00935797" w14:paraId="52940199" w14:textId="77777777" w:rsidTr="00A501D9">
        <w:tc>
          <w:tcPr>
            <w:tcW w:w="1230" w:type="pct"/>
            <w:vMerge/>
          </w:tcPr>
          <w:p w14:paraId="4F9D64EC" w14:textId="77777777" w:rsidR="00DB00FD" w:rsidRPr="00AF3A31" w:rsidRDefault="00DB00FD" w:rsidP="001E2158">
            <w:pPr>
              <w:spacing w:after="120" w:line="240" w:lineRule="auto"/>
              <w:jc w:val="left"/>
              <w:rPr>
                <w:rFonts w:eastAsia="Calibri"/>
              </w:rPr>
            </w:pPr>
          </w:p>
        </w:tc>
        <w:tc>
          <w:tcPr>
            <w:tcW w:w="1935" w:type="pct"/>
          </w:tcPr>
          <w:p w14:paraId="6435A280" w14:textId="77777777" w:rsidR="00DB00FD" w:rsidRPr="00AF3A31" w:rsidRDefault="00DB00FD" w:rsidP="001E2158">
            <w:pPr>
              <w:spacing w:after="0" w:line="240" w:lineRule="auto"/>
              <w:jc w:val="left"/>
              <w:rPr>
                <w:rFonts w:eastAsia="Calibri"/>
                <w:lang w:val="en-GB"/>
              </w:rPr>
            </w:pPr>
            <w:r w:rsidRPr="00AF3A31">
              <w:rPr>
                <w:rFonts w:eastAsia="Calibri"/>
                <w:lang w:val="en-GB"/>
              </w:rPr>
              <w:t>D19G T1</w:t>
            </w:r>
          </w:p>
          <w:p w14:paraId="78A7F07F" w14:textId="77777777" w:rsidR="00DB00FD" w:rsidRPr="00AF3A31" w:rsidRDefault="00DB00FD" w:rsidP="001E2158">
            <w:pPr>
              <w:spacing w:after="0" w:line="240" w:lineRule="auto"/>
              <w:jc w:val="left"/>
              <w:rPr>
                <w:rFonts w:eastAsia="Calibri"/>
                <w:lang w:val="en-GB"/>
              </w:rPr>
            </w:pPr>
            <w:r w:rsidRPr="00AF3A31">
              <w:rPr>
                <w:rFonts w:eastAsia="Calibri"/>
                <w:lang w:val="en-GB"/>
              </w:rPr>
              <w:t xml:space="preserve">Medical documents digitised </w:t>
            </w:r>
          </w:p>
          <w:p w14:paraId="5DC23CD5" w14:textId="77777777" w:rsidR="00DB00FD" w:rsidRPr="00AF3A31" w:rsidRDefault="00DB00FD" w:rsidP="001E2158">
            <w:pPr>
              <w:spacing w:after="0" w:line="240" w:lineRule="auto"/>
              <w:jc w:val="left"/>
              <w:rPr>
                <w:rFonts w:eastAsia="Calibri"/>
                <w:lang w:val="en-GB"/>
              </w:rPr>
            </w:pPr>
            <w:r w:rsidRPr="00AF3A31">
              <w:rPr>
                <w:rFonts w:eastAsia="Calibri"/>
                <w:lang w:val="en-GB"/>
              </w:rPr>
              <w:t>Description of the target:</w:t>
            </w:r>
          </w:p>
          <w:p w14:paraId="7FA4AB97" w14:textId="77777777" w:rsidR="00DB00FD" w:rsidRPr="00AF3A31" w:rsidRDefault="00DB00FD" w:rsidP="001E2158">
            <w:pPr>
              <w:spacing w:after="0" w:line="240" w:lineRule="auto"/>
              <w:jc w:val="left"/>
              <w:rPr>
                <w:rFonts w:eastAsia="Calibri"/>
                <w:lang w:val="en-GB"/>
              </w:rPr>
            </w:pPr>
            <w:r w:rsidRPr="00AF3A31">
              <w:rPr>
                <w:rFonts w:eastAsia="Calibri"/>
                <w:lang w:val="en-GB"/>
              </w:rPr>
              <w:t xml:space="preserve">30% of the total number of medical document types shall be digitised. </w:t>
            </w:r>
          </w:p>
          <w:p w14:paraId="6B57B57E" w14:textId="77777777" w:rsidR="00DB00FD" w:rsidRPr="00AF3A31" w:rsidRDefault="00DB00FD" w:rsidP="001E2158">
            <w:pPr>
              <w:spacing w:after="0" w:line="240" w:lineRule="auto"/>
              <w:jc w:val="left"/>
              <w:rPr>
                <w:rFonts w:eastAsia="Calibri"/>
                <w:lang w:val="en-GB"/>
              </w:rPr>
            </w:pPr>
            <w:r w:rsidRPr="00AF3A31">
              <w:rPr>
                <w:rFonts w:eastAsia="Calibri"/>
                <w:lang w:val="en-GB"/>
              </w:rPr>
              <w:t>Quantitative indicators: 30%</w:t>
            </w:r>
          </w:p>
          <w:p w14:paraId="1EDA8382" w14:textId="77777777" w:rsidR="00DB00FD" w:rsidRPr="00AF3A31" w:rsidRDefault="00DB00FD" w:rsidP="001E2158">
            <w:pPr>
              <w:spacing w:after="0" w:line="240" w:lineRule="auto"/>
              <w:jc w:val="left"/>
              <w:rPr>
                <w:rFonts w:eastAsia="Calibri"/>
                <w:lang w:val="en-GB"/>
              </w:rPr>
            </w:pPr>
          </w:p>
          <w:p w14:paraId="3FF3D8E2" w14:textId="77777777" w:rsidR="00DB00FD" w:rsidRPr="00AF3A31" w:rsidRDefault="00DB00FD" w:rsidP="001E2158">
            <w:pPr>
              <w:spacing w:after="0" w:line="240" w:lineRule="auto"/>
              <w:jc w:val="left"/>
              <w:rPr>
                <w:rFonts w:eastAsia="Calibri"/>
                <w:lang w:val="en-GB"/>
              </w:rPr>
            </w:pPr>
          </w:p>
          <w:p w14:paraId="08D43AF5" w14:textId="77777777" w:rsidR="00DB00FD" w:rsidRPr="00AF3A31" w:rsidRDefault="00DB00FD" w:rsidP="001E2158">
            <w:pPr>
              <w:spacing w:after="0" w:line="240" w:lineRule="auto"/>
              <w:jc w:val="left"/>
              <w:rPr>
                <w:rFonts w:eastAsia="Calibri"/>
                <w:lang w:val="en-GB"/>
              </w:rPr>
            </w:pPr>
          </w:p>
          <w:p w14:paraId="50E68F36" w14:textId="77777777" w:rsidR="00DB00FD" w:rsidRPr="00AF3A31" w:rsidRDefault="00DB00FD" w:rsidP="001E2158">
            <w:pPr>
              <w:spacing w:after="0" w:line="240" w:lineRule="auto"/>
              <w:jc w:val="left"/>
              <w:rPr>
                <w:rFonts w:eastAsia="Calibri"/>
                <w:lang w:val="en-GB"/>
              </w:rPr>
            </w:pPr>
            <w:r w:rsidRPr="00AF3A31">
              <w:rPr>
                <w:rFonts w:eastAsia="Calibri"/>
                <w:lang w:val="en-GB"/>
              </w:rPr>
              <w:t>Timeline for completion: 1Q2025</w:t>
            </w:r>
          </w:p>
          <w:p w14:paraId="3810EC06" w14:textId="77777777" w:rsidR="00DB00FD" w:rsidRPr="00AF3A31" w:rsidRDefault="00DB00FD" w:rsidP="001E2158">
            <w:pPr>
              <w:spacing w:after="0" w:line="240" w:lineRule="auto"/>
              <w:jc w:val="left"/>
              <w:rPr>
                <w:rFonts w:eastAsia="Calibri"/>
                <w:lang w:val="en-GB"/>
              </w:rPr>
            </w:pPr>
          </w:p>
        </w:tc>
        <w:tc>
          <w:tcPr>
            <w:tcW w:w="1835" w:type="pct"/>
          </w:tcPr>
          <w:p w14:paraId="7C3B811C" w14:textId="77777777" w:rsidR="00DB00FD" w:rsidRPr="00AF3A31" w:rsidRDefault="00DB00FD" w:rsidP="001E2158">
            <w:pPr>
              <w:spacing w:after="0" w:line="240" w:lineRule="auto"/>
              <w:jc w:val="left"/>
              <w:rPr>
                <w:rFonts w:eastAsia="Calibri"/>
                <w:lang w:val="en-GB"/>
              </w:rPr>
            </w:pPr>
            <w:r w:rsidRPr="00AF3A31">
              <w:rPr>
                <w:rFonts w:eastAsia="Calibri"/>
                <w:lang w:val="en-GB"/>
              </w:rPr>
              <w:t>D19G T1</w:t>
            </w:r>
          </w:p>
          <w:p w14:paraId="11D514B2" w14:textId="77777777" w:rsidR="00DB00FD" w:rsidRPr="00AF3A31" w:rsidRDefault="00DB00FD" w:rsidP="001E2158">
            <w:pPr>
              <w:spacing w:after="0" w:line="240" w:lineRule="auto"/>
              <w:jc w:val="left"/>
              <w:rPr>
                <w:rFonts w:eastAsia="Calibri"/>
                <w:lang w:val="en-GB"/>
              </w:rPr>
            </w:pPr>
            <w:r w:rsidRPr="00AF3A31">
              <w:rPr>
                <w:rFonts w:eastAsia="Calibri"/>
                <w:lang w:val="en-GB"/>
              </w:rPr>
              <w:t xml:space="preserve">Medical documents digitised </w:t>
            </w:r>
          </w:p>
          <w:p w14:paraId="3687BE84" w14:textId="77777777" w:rsidR="00DB00FD" w:rsidRPr="00AF3A31" w:rsidRDefault="00DB00FD" w:rsidP="001E2158">
            <w:pPr>
              <w:spacing w:after="0" w:line="240" w:lineRule="auto"/>
              <w:jc w:val="left"/>
              <w:rPr>
                <w:rFonts w:eastAsia="Calibri"/>
                <w:lang w:val="en-GB"/>
              </w:rPr>
            </w:pPr>
            <w:r w:rsidRPr="00AF3A31">
              <w:rPr>
                <w:rFonts w:eastAsia="Calibri"/>
                <w:lang w:val="en-GB"/>
              </w:rPr>
              <w:t>Description of the target:</w:t>
            </w:r>
          </w:p>
          <w:p w14:paraId="10A49D3B" w14:textId="77777777" w:rsidR="00DB00FD" w:rsidRPr="00AF3A31" w:rsidRDefault="00DB00FD" w:rsidP="001E2158">
            <w:pPr>
              <w:spacing w:after="0" w:line="240" w:lineRule="auto"/>
              <w:jc w:val="left"/>
              <w:rPr>
                <w:rFonts w:eastAsia="Calibri"/>
                <w:color w:val="FF0000"/>
                <w:lang w:val="en-GB"/>
              </w:rPr>
            </w:pPr>
            <w:r w:rsidRPr="00AF3A31">
              <w:rPr>
                <w:rFonts w:eastAsia="Calibri"/>
                <w:color w:val="FF0000"/>
                <w:lang w:val="en-GB"/>
              </w:rPr>
              <w:t>Digitalisation of the new medical documents</w:t>
            </w:r>
          </w:p>
          <w:p w14:paraId="16309AA8" w14:textId="77777777" w:rsidR="00DB00FD" w:rsidRPr="00AF3A31" w:rsidRDefault="00DB00FD" w:rsidP="001E2158">
            <w:pPr>
              <w:spacing w:after="0" w:line="240" w:lineRule="auto"/>
              <w:jc w:val="left"/>
              <w:rPr>
                <w:rFonts w:eastAsia="Calibri"/>
                <w:lang w:val="en-GB"/>
              </w:rPr>
            </w:pPr>
          </w:p>
          <w:p w14:paraId="61A9D7AD" w14:textId="77777777" w:rsidR="00DB00FD" w:rsidRPr="00AF3A31" w:rsidRDefault="00DB00FD" w:rsidP="001E2158">
            <w:pPr>
              <w:spacing w:after="0" w:line="240" w:lineRule="auto"/>
              <w:jc w:val="left"/>
              <w:rPr>
                <w:rFonts w:eastAsia="Calibri"/>
                <w:lang w:val="en-US"/>
              </w:rPr>
            </w:pPr>
            <w:r w:rsidRPr="00AF3A31">
              <w:rPr>
                <w:rFonts w:eastAsia="Calibri"/>
                <w:lang w:val="en-US"/>
              </w:rPr>
              <w:t>Quantitative indicators:</w:t>
            </w:r>
          </w:p>
          <w:p w14:paraId="4BC3EDF9" w14:textId="77777777" w:rsidR="00DB00FD" w:rsidRPr="00AF3A31" w:rsidRDefault="00DB00FD" w:rsidP="001E2158">
            <w:pPr>
              <w:spacing w:after="0" w:line="240" w:lineRule="auto"/>
              <w:jc w:val="left"/>
              <w:rPr>
                <w:rFonts w:eastAsia="Calibri"/>
                <w:color w:val="FF0000"/>
                <w:lang w:val="en-US"/>
              </w:rPr>
            </w:pPr>
            <w:r w:rsidRPr="00AF3A31">
              <w:rPr>
                <w:rFonts w:eastAsia="Calibri"/>
                <w:color w:val="FF0000"/>
                <w:lang w:val="en-US"/>
              </w:rPr>
              <w:t>Measure: Number of documents</w:t>
            </w:r>
          </w:p>
          <w:p w14:paraId="368D5967" w14:textId="77777777" w:rsidR="00DB00FD" w:rsidRPr="00AF3A31" w:rsidRDefault="00DB00FD" w:rsidP="001E2158">
            <w:pPr>
              <w:spacing w:after="0" w:line="240" w:lineRule="auto"/>
              <w:jc w:val="left"/>
              <w:rPr>
                <w:rFonts w:eastAsia="Calibri"/>
                <w:color w:val="FF0000"/>
                <w:lang w:val="en-GB"/>
              </w:rPr>
            </w:pPr>
            <w:r w:rsidRPr="00AF3A31">
              <w:rPr>
                <w:rFonts w:eastAsia="Calibri"/>
                <w:color w:val="FF0000"/>
                <w:lang w:val="en-GB"/>
              </w:rPr>
              <w:t>Base level: 9</w:t>
            </w:r>
          </w:p>
          <w:p w14:paraId="67AB8621" w14:textId="77777777" w:rsidR="00DB00FD" w:rsidRPr="00AF3A31" w:rsidRDefault="00DB00FD" w:rsidP="001E2158">
            <w:pPr>
              <w:spacing w:after="0" w:line="240" w:lineRule="auto"/>
              <w:jc w:val="left"/>
              <w:rPr>
                <w:rFonts w:eastAsia="Calibri"/>
                <w:color w:val="FF0000"/>
                <w:lang w:val="en-GB"/>
              </w:rPr>
            </w:pPr>
            <w:r w:rsidRPr="00AF3A31">
              <w:rPr>
                <w:rFonts w:eastAsia="Calibri"/>
                <w:color w:val="FF0000"/>
                <w:lang w:val="en-GB"/>
              </w:rPr>
              <w:t>Goal: 12</w:t>
            </w:r>
          </w:p>
          <w:p w14:paraId="3A45854B" w14:textId="77777777" w:rsidR="00DB00FD" w:rsidRPr="00AF3A31" w:rsidRDefault="00DB00FD" w:rsidP="001E2158">
            <w:pPr>
              <w:spacing w:after="0" w:line="240" w:lineRule="auto"/>
              <w:jc w:val="left"/>
              <w:rPr>
                <w:rFonts w:eastAsia="Calibri"/>
                <w:lang w:val="en-GB"/>
              </w:rPr>
            </w:pPr>
          </w:p>
          <w:p w14:paraId="181757E7" w14:textId="77777777" w:rsidR="00DB00FD" w:rsidRPr="00AF3A31" w:rsidRDefault="00DB00FD" w:rsidP="001E2158">
            <w:pPr>
              <w:autoSpaceDE w:val="0"/>
              <w:autoSpaceDN w:val="0"/>
              <w:adjustRightInd w:val="0"/>
              <w:spacing w:after="0" w:line="240" w:lineRule="auto"/>
              <w:jc w:val="left"/>
              <w:rPr>
                <w:rFonts w:eastAsia="Calibri"/>
                <w:lang w:val="en-GB"/>
              </w:rPr>
            </w:pPr>
            <w:r w:rsidRPr="00AF3A31">
              <w:rPr>
                <w:rFonts w:eastAsia="Calibri"/>
                <w:lang w:val="en-GB"/>
              </w:rPr>
              <w:t xml:space="preserve">Timeline for completion: </w:t>
            </w:r>
            <w:r w:rsidRPr="00AF3A31">
              <w:rPr>
                <w:rFonts w:eastAsia="Calibri"/>
                <w:lang w:val="en-US"/>
              </w:rPr>
              <w:t>No changes</w:t>
            </w:r>
          </w:p>
        </w:tc>
      </w:tr>
      <w:tr w:rsidR="00DB00FD" w:rsidRPr="00AF3A31" w14:paraId="20B7DBDF" w14:textId="77777777" w:rsidTr="00A501D9">
        <w:tc>
          <w:tcPr>
            <w:tcW w:w="1230" w:type="pct"/>
          </w:tcPr>
          <w:p w14:paraId="130E2BC4" w14:textId="77777777" w:rsidR="00DB00FD" w:rsidRPr="00AF3A31" w:rsidRDefault="00DB00FD" w:rsidP="001E2158">
            <w:pPr>
              <w:spacing w:after="120" w:line="240" w:lineRule="auto"/>
              <w:jc w:val="left"/>
              <w:rPr>
                <w:rFonts w:eastAsia="Calibri"/>
                <w:lang w:val="en-US"/>
              </w:rPr>
            </w:pPr>
          </w:p>
        </w:tc>
        <w:tc>
          <w:tcPr>
            <w:tcW w:w="1935" w:type="pct"/>
          </w:tcPr>
          <w:p w14:paraId="21B1C83C" w14:textId="77777777" w:rsidR="00DB00FD" w:rsidRPr="00AF3A31" w:rsidRDefault="00DB00FD" w:rsidP="001E2158">
            <w:pPr>
              <w:spacing w:after="0" w:line="240" w:lineRule="auto"/>
              <w:jc w:val="left"/>
              <w:rPr>
                <w:rFonts w:eastAsia="Calibri"/>
              </w:rPr>
            </w:pPr>
            <w:r w:rsidRPr="00AF3A31">
              <w:rPr>
                <w:rFonts w:eastAsia="Calibri"/>
              </w:rPr>
              <w:t>D20G W2 Cyfryzacja dokumentów medycznych</w:t>
            </w:r>
          </w:p>
          <w:p w14:paraId="3C5B6AF5" w14:textId="77777777" w:rsidR="00DB00FD" w:rsidRPr="00AF3A31" w:rsidRDefault="00DB00FD" w:rsidP="001E2158">
            <w:pPr>
              <w:spacing w:after="0" w:line="240" w:lineRule="auto"/>
              <w:jc w:val="left"/>
              <w:rPr>
                <w:rFonts w:eastAsia="Calibri"/>
              </w:rPr>
            </w:pPr>
          </w:p>
          <w:p w14:paraId="1A230595" w14:textId="77777777" w:rsidR="00DB00FD" w:rsidRPr="00AF3A31" w:rsidRDefault="00DB00FD" w:rsidP="001E2158">
            <w:pPr>
              <w:autoSpaceDE w:val="0"/>
              <w:autoSpaceDN w:val="0"/>
              <w:adjustRightInd w:val="0"/>
              <w:spacing w:after="0" w:line="240" w:lineRule="auto"/>
              <w:jc w:val="left"/>
              <w:rPr>
                <w:rFonts w:eastAsia="Calibri"/>
              </w:rPr>
            </w:pPr>
            <w:r w:rsidRPr="00AF3A31">
              <w:rPr>
                <w:rFonts w:eastAsia="Calibri"/>
              </w:rPr>
              <w:t xml:space="preserve">Opis wskaźnika: </w:t>
            </w:r>
          </w:p>
          <w:p w14:paraId="4C99F108" w14:textId="77777777" w:rsidR="00DB00FD" w:rsidRPr="00AF3A31" w:rsidRDefault="00DB00FD" w:rsidP="001E2158">
            <w:pPr>
              <w:autoSpaceDE w:val="0"/>
              <w:autoSpaceDN w:val="0"/>
              <w:adjustRightInd w:val="0"/>
              <w:spacing w:after="0" w:line="240" w:lineRule="auto"/>
              <w:jc w:val="left"/>
              <w:rPr>
                <w:rFonts w:eastAsia="Calibri"/>
              </w:rPr>
            </w:pPr>
            <w:r w:rsidRPr="00AF3A31">
              <w:rPr>
                <w:rFonts w:eastAsia="Calibri"/>
              </w:rPr>
              <w:t>Ucyfrowionych</w:t>
            </w:r>
            <w:r w:rsidRPr="002A21C5">
              <w:rPr>
                <w:rFonts w:eastAsia="Calibri"/>
              </w:rPr>
              <w:t xml:space="preserve"> zostanie 60% ogólnej liczby rodzajów dokumentów medycznych.</w:t>
            </w:r>
          </w:p>
          <w:p w14:paraId="48C099D2" w14:textId="77777777" w:rsidR="00DB00FD" w:rsidRPr="00AF3A31" w:rsidRDefault="00DB00FD" w:rsidP="001E2158">
            <w:pPr>
              <w:autoSpaceDE w:val="0"/>
              <w:autoSpaceDN w:val="0"/>
              <w:adjustRightInd w:val="0"/>
              <w:spacing w:after="0" w:line="240" w:lineRule="auto"/>
              <w:jc w:val="left"/>
              <w:rPr>
                <w:rFonts w:eastAsia="Calibri"/>
              </w:rPr>
            </w:pPr>
          </w:p>
          <w:p w14:paraId="1FD9E5EE" w14:textId="77777777" w:rsidR="00DB00FD" w:rsidRPr="00AF3A31" w:rsidRDefault="00DB00FD" w:rsidP="001E2158">
            <w:pPr>
              <w:autoSpaceDE w:val="0"/>
              <w:autoSpaceDN w:val="0"/>
              <w:adjustRightInd w:val="0"/>
              <w:spacing w:after="0" w:line="240" w:lineRule="auto"/>
              <w:jc w:val="left"/>
              <w:rPr>
                <w:rFonts w:eastAsia="Calibri"/>
              </w:rPr>
            </w:pPr>
            <w:r w:rsidRPr="00AF3A31">
              <w:rPr>
                <w:rFonts w:eastAsia="Calibri"/>
              </w:rPr>
              <w:t>Wskaźniki ilościowe: 60%</w:t>
            </w:r>
          </w:p>
          <w:p w14:paraId="0556B0BC" w14:textId="77777777" w:rsidR="00DB00FD" w:rsidRPr="00AF3A31" w:rsidRDefault="00DB00FD" w:rsidP="001E2158">
            <w:pPr>
              <w:autoSpaceDE w:val="0"/>
              <w:autoSpaceDN w:val="0"/>
              <w:adjustRightInd w:val="0"/>
              <w:spacing w:after="0" w:line="240" w:lineRule="auto"/>
              <w:jc w:val="left"/>
              <w:rPr>
                <w:rFonts w:eastAsia="Calibri"/>
              </w:rPr>
            </w:pPr>
          </w:p>
          <w:p w14:paraId="69C6C488" w14:textId="77777777" w:rsidR="00DB00FD" w:rsidRPr="00AF3A31" w:rsidRDefault="00DB00FD" w:rsidP="001E2158">
            <w:pPr>
              <w:autoSpaceDE w:val="0"/>
              <w:autoSpaceDN w:val="0"/>
              <w:adjustRightInd w:val="0"/>
              <w:spacing w:after="0" w:line="240" w:lineRule="auto"/>
              <w:jc w:val="left"/>
              <w:rPr>
                <w:rFonts w:eastAsia="Calibri"/>
              </w:rPr>
            </w:pPr>
            <w:r w:rsidRPr="00AF3A31">
              <w:rPr>
                <w:rFonts w:eastAsia="Calibri"/>
              </w:rPr>
              <w:t>Termin realizacji: 1Q2026</w:t>
            </w:r>
          </w:p>
        </w:tc>
        <w:tc>
          <w:tcPr>
            <w:tcW w:w="1835" w:type="pct"/>
          </w:tcPr>
          <w:p w14:paraId="096E8401" w14:textId="77777777" w:rsidR="00DB00FD" w:rsidRPr="00AF3A31" w:rsidRDefault="00DB00FD" w:rsidP="001E2158">
            <w:pPr>
              <w:spacing w:after="0" w:line="240" w:lineRule="auto"/>
              <w:jc w:val="left"/>
              <w:rPr>
                <w:rFonts w:eastAsia="Calibri"/>
              </w:rPr>
            </w:pPr>
            <w:r w:rsidRPr="00AF3A31">
              <w:rPr>
                <w:rFonts w:eastAsia="Calibri"/>
              </w:rPr>
              <w:t>D20G W2</w:t>
            </w:r>
          </w:p>
          <w:p w14:paraId="6FCAD1BC" w14:textId="77777777" w:rsidR="00DB00FD" w:rsidRPr="00AF3A31" w:rsidRDefault="00DB00FD" w:rsidP="001E2158">
            <w:pPr>
              <w:spacing w:after="0" w:line="240" w:lineRule="auto"/>
              <w:jc w:val="left"/>
              <w:rPr>
                <w:rFonts w:eastAsia="Calibri"/>
              </w:rPr>
            </w:pPr>
            <w:r w:rsidRPr="00AF3A31">
              <w:rPr>
                <w:rFonts w:eastAsia="Calibri"/>
              </w:rPr>
              <w:t>Cyfryzacja dokumentów medycznych</w:t>
            </w:r>
          </w:p>
          <w:p w14:paraId="52DCFC0D" w14:textId="77777777" w:rsidR="00DB00FD" w:rsidRPr="00AF3A31" w:rsidRDefault="00DB00FD" w:rsidP="001E2158">
            <w:pPr>
              <w:autoSpaceDE w:val="0"/>
              <w:autoSpaceDN w:val="0"/>
              <w:adjustRightInd w:val="0"/>
              <w:spacing w:after="0" w:line="240" w:lineRule="auto"/>
              <w:jc w:val="left"/>
              <w:rPr>
                <w:rFonts w:eastAsia="Calibri"/>
                <w:color w:val="000000"/>
              </w:rPr>
            </w:pPr>
          </w:p>
          <w:p w14:paraId="02BE6827" w14:textId="77777777" w:rsidR="00DB00FD" w:rsidRPr="00AF3A31" w:rsidRDefault="00DB00FD" w:rsidP="001E2158">
            <w:pPr>
              <w:autoSpaceDE w:val="0"/>
              <w:autoSpaceDN w:val="0"/>
              <w:adjustRightInd w:val="0"/>
              <w:spacing w:after="0" w:line="240" w:lineRule="auto"/>
              <w:jc w:val="left"/>
              <w:rPr>
                <w:rFonts w:eastAsia="Calibri"/>
                <w:color w:val="000000"/>
              </w:rPr>
            </w:pPr>
            <w:r w:rsidRPr="00AF3A31">
              <w:rPr>
                <w:rFonts w:eastAsia="Calibri"/>
                <w:color w:val="000000"/>
              </w:rPr>
              <w:t xml:space="preserve">Opis wskaźnika: </w:t>
            </w:r>
          </w:p>
          <w:p w14:paraId="5DAE4315" w14:textId="77777777" w:rsidR="00DB00FD" w:rsidRPr="00AF3A31" w:rsidRDefault="00DB00FD" w:rsidP="001E2158">
            <w:pPr>
              <w:spacing w:after="0" w:line="240" w:lineRule="auto"/>
              <w:jc w:val="left"/>
              <w:rPr>
                <w:rFonts w:eastAsia="Calibri"/>
                <w:color w:val="FF0000"/>
              </w:rPr>
            </w:pPr>
            <w:r w:rsidRPr="00AF3A31">
              <w:rPr>
                <w:rFonts w:eastAsia="Calibri"/>
                <w:color w:val="FF0000"/>
              </w:rPr>
              <w:t>Ucyfrowienie nowych dokumentów medycznych</w:t>
            </w:r>
          </w:p>
          <w:p w14:paraId="01506F33" w14:textId="77777777" w:rsidR="00DB00FD" w:rsidRPr="00AF3A31" w:rsidRDefault="00DB00FD" w:rsidP="001E2158">
            <w:pPr>
              <w:autoSpaceDE w:val="0"/>
              <w:autoSpaceDN w:val="0"/>
              <w:adjustRightInd w:val="0"/>
              <w:spacing w:after="0" w:line="240" w:lineRule="auto"/>
              <w:jc w:val="left"/>
              <w:rPr>
                <w:rFonts w:eastAsia="Calibri"/>
                <w:b/>
                <w:bCs/>
                <w:color w:val="000000"/>
              </w:rPr>
            </w:pPr>
          </w:p>
          <w:p w14:paraId="05C6B798" w14:textId="77777777" w:rsidR="00DB00FD" w:rsidRPr="00AF3A31" w:rsidRDefault="00DB00FD" w:rsidP="001E2158">
            <w:pPr>
              <w:autoSpaceDE w:val="0"/>
              <w:autoSpaceDN w:val="0"/>
              <w:adjustRightInd w:val="0"/>
              <w:spacing w:after="0" w:line="240" w:lineRule="auto"/>
              <w:jc w:val="left"/>
              <w:rPr>
                <w:rFonts w:eastAsia="Calibri"/>
                <w:color w:val="000000"/>
              </w:rPr>
            </w:pPr>
            <w:r w:rsidRPr="00AF3A31">
              <w:rPr>
                <w:rFonts w:eastAsia="Calibri"/>
                <w:color w:val="000000"/>
              </w:rPr>
              <w:t>Wskaźniki ilościowe:</w:t>
            </w:r>
          </w:p>
          <w:p w14:paraId="337E0150" w14:textId="77777777" w:rsidR="00DB00FD" w:rsidRPr="00AF3A31" w:rsidRDefault="00DB00FD" w:rsidP="001E2158">
            <w:pPr>
              <w:spacing w:after="0" w:line="240" w:lineRule="auto"/>
              <w:jc w:val="left"/>
              <w:rPr>
                <w:rFonts w:eastAsia="Calibri"/>
                <w:color w:val="FF0000"/>
              </w:rPr>
            </w:pPr>
            <w:r w:rsidRPr="00AF3A31">
              <w:rPr>
                <w:rFonts w:eastAsia="Calibri"/>
                <w:color w:val="FF0000"/>
              </w:rPr>
              <w:t>Jednostka miary: Liczba dokumentów</w:t>
            </w:r>
          </w:p>
          <w:p w14:paraId="040516CB" w14:textId="77777777" w:rsidR="00DB00FD" w:rsidRPr="00AF3A31" w:rsidRDefault="00DB00FD" w:rsidP="001E2158">
            <w:pPr>
              <w:autoSpaceDE w:val="0"/>
              <w:autoSpaceDN w:val="0"/>
              <w:adjustRightInd w:val="0"/>
              <w:spacing w:after="0" w:line="240" w:lineRule="auto"/>
              <w:jc w:val="left"/>
              <w:rPr>
                <w:rFonts w:eastAsia="Calibri"/>
                <w:color w:val="FF0000"/>
              </w:rPr>
            </w:pPr>
            <w:r w:rsidRPr="00AF3A31">
              <w:rPr>
                <w:rFonts w:eastAsia="Calibri"/>
                <w:color w:val="FF0000"/>
              </w:rPr>
              <w:t>Poziom bazowy: 12</w:t>
            </w:r>
          </w:p>
          <w:p w14:paraId="52480AD3" w14:textId="77777777" w:rsidR="00DB00FD" w:rsidRPr="00AF3A31" w:rsidRDefault="00DB00FD" w:rsidP="001E2158">
            <w:pPr>
              <w:autoSpaceDE w:val="0"/>
              <w:autoSpaceDN w:val="0"/>
              <w:adjustRightInd w:val="0"/>
              <w:spacing w:after="0" w:line="240" w:lineRule="auto"/>
              <w:jc w:val="left"/>
              <w:rPr>
                <w:rFonts w:eastAsia="Calibri"/>
                <w:color w:val="FF0000"/>
              </w:rPr>
            </w:pPr>
            <w:r w:rsidRPr="00AF3A31">
              <w:rPr>
                <w:rFonts w:eastAsia="Calibri"/>
                <w:color w:val="FF0000"/>
              </w:rPr>
              <w:t>Cel: 18</w:t>
            </w:r>
          </w:p>
          <w:p w14:paraId="30D43521" w14:textId="77777777" w:rsidR="00DB00FD" w:rsidRPr="00AF3A31" w:rsidRDefault="00DB00FD" w:rsidP="001E2158">
            <w:pPr>
              <w:spacing w:after="0" w:line="240" w:lineRule="auto"/>
              <w:jc w:val="left"/>
              <w:rPr>
                <w:rFonts w:eastAsia="Calibri"/>
              </w:rPr>
            </w:pPr>
          </w:p>
          <w:p w14:paraId="58070782" w14:textId="77777777" w:rsidR="00DB00FD" w:rsidRPr="00AF3A31" w:rsidRDefault="00DB00FD" w:rsidP="001E2158">
            <w:pPr>
              <w:spacing w:after="0" w:line="240" w:lineRule="auto"/>
              <w:jc w:val="left"/>
              <w:rPr>
                <w:rFonts w:eastAsia="Calibri"/>
              </w:rPr>
            </w:pPr>
            <w:r w:rsidRPr="00AF3A31">
              <w:rPr>
                <w:rFonts w:eastAsia="Calibri"/>
              </w:rPr>
              <w:t>Termin realizacji: Bez zmian</w:t>
            </w:r>
          </w:p>
        </w:tc>
      </w:tr>
      <w:tr w:rsidR="00DB00FD" w:rsidRPr="00935797" w14:paraId="672AB7AD" w14:textId="77777777" w:rsidTr="00A501D9">
        <w:tc>
          <w:tcPr>
            <w:tcW w:w="1230" w:type="pct"/>
          </w:tcPr>
          <w:p w14:paraId="487AC517" w14:textId="77777777" w:rsidR="00DB00FD" w:rsidRPr="00AF3A31" w:rsidRDefault="00DB00FD" w:rsidP="001E2158">
            <w:pPr>
              <w:spacing w:after="120" w:line="240" w:lineRule="auto"/>
              <w:jc w:val="left"/>
              <w:rPr>
                <w:rFonts w:eastAsia="Calibri"/>
              </w:rPr>
            </w:pPr>
          </w:p>
        </w:tc>
        <w:tc>
          <w:tcPr>
            <w:tcW w:w="1935" w:type="pct"/>
          </w:tcPr>
          <w:p w14:paraId="28E7DD59" w14:textId="77777777" w:rsidR="00DB00FD" w:rsidRPr="00AF3A31" w:rsidRDefault="00DB00FD" w:rsidP="001E2158">
            <w:pPr>
              <w:spacing w:after="0" w:line="240" w:lineRule="auto"/>
              <w:jc w:val="left"/>
              <w:rPr>
                <w:rFonts w:eastAsia="Calibri"/>
                <w:lang w:val="en-GB"/>
              </w:rPr>
            </w:pPr>
            <w:r w:rsidRPr="00AF3A31">
              <w:rPr>
                <w:rFonts w:eastAsia="Calibri"/>
                <w:lang w:val="en-GB"/>
              </w:rPr>
              <w:t>D20G T2</w:t>
            </w:r>
          </w:p>
          <w:p w14:paraId="62235893" w14:textId="77777777" w:rsidR="00DB00FD" w:rsidRPr="00AF3A31" w:rsidRDefault="00DB00FD" w:rsidP="001E2158">
            <w:pPr>
              <w:spacing w:after="0" w:line="240" w:lineRule="auto"/>
              <w:ind w:left="124" w:hanging="124"/>
              <w:contextualSpacing/>
              <w:rPr>
                <w:lang w:val="en-GB"/>
              </w:rPr>
            </w:pPr>
            <w:r w:rsidRPr="00AF3A31">
              <w:rPr>
                <w:lang w:val="en-GB"/>
              </w:rPr>
              <w:t xml:space="preserve">Medical documents digitised </w:t>
            </w:r>
          </w:p>
          <w:p w14:paraId="0109F6EB" w14:textId="77777777" w:rsidR="00DB00FD" w:rsidRPr="00AF3A31" w:rsidRDefault="00DB00FD" w:rsidP="001E2158">
            <w:pPr>
              <w:spacing w:after="0" w:line="240" w:lineRule="auto"/>
              <w:jc w:val="left"/>
              <w:rPr>
                <w:rFonts w:eastAsia="Calibri"/>
                <w:lang w:val="en-GB"/>
              </w:rPr>
            </w:pPr>
            <w:r w:rsidRPr="00AF3A31">
              <w:rPr>
                <w:rFonts w:eastAsia="Calibri"/>
                <w:lang w:val="en-GB"/>
              </w:rPr>
              <w:t>Description of the target:</w:t>
            </w:r>
          </w:p>
          <w:p w14:paraId="76523DFB" w14:textId="77777777" w:rsidR="00DB00FD" w:rsidRPr="00AF3A31" w:rsidRDefault="00DB00FD" w:rsidP="001E2158">
            <w:pPr>
              <w:spacing w:after="0" w:line="240" w:lineRule="auto"/>
              <w:contextualSpacing/>
              <w:rPr>
                <w:lang w:val="en-GB"/>
              </w:rPr>
            </w:pPr>
            <w:r w:rsidRPr="00AF3A31">
              <w:rPr>
                <w:lang w:val="en-GB"/>
              </w:rPr>
              <w:t>60% of the total number of medical document types shall be digitised</w:t>
            </w:r>
          </w:p>
          <w:p w14:paraId="4C20B142" w14:textId="77777777" w:rsidR="00DB00FD" w:rsidRPr="00AF3A31" w:rsidRDefault="00DB00FD" w:rsidP="001E2158">
            <w:pPr>
              <w:spacing w:after="0" w:line="240" w:lineRule="auto"/>
              <w:ind w:left="720"/>
              <w:contextualSpacing/>
              <w:rPr>
                <w:lang w:val="en-GB"/>
              </w:rPr>
            </w:pPr>
          </w:p>
          <w:p w14:paraId="1D3D05B9" w14:textId="77777777" w:rsidR="00DB00FD" w:rsidRPr="00AF3A31" w:rsidRDefault="00DB00FD" w:rsidP="001E2158">
            <w:pPr>
              <w:spacing w:after="0" w:line="240" w:lineRule="auto"/>
              <w:ind w:left="-17"/>
              <w:contextualSpacing/>
              <w:rPr>
                <w:rFonts w:eastAsia="Calibri"/>
                <w:lang w:val="en-GB"/>
              </w:rPr>
            </w:pPr>
            <w:r w:rsidRPr="00AF3A31">
              <w:rPr>
                <w:lang w:val="en-GB"/>
              </w:rPr>
              <w:t>Quantitative indicators</w:t>
            </w:r>
            <w:r w:rsidRPr="00AF3A31">
              <w:rPr>
                <w:rFonts w:eastAsia="Calibri"/>
                <w:lang w:val="en-GB"/>
              </w:rPr>
              <w:t>: 60%</w:t>
            </w:r>
          </w:p>
          <w:p w14:paraId="49114E64" w14:textId="77777777" w:rsidR="00DB00FD" w:rsidRPr="00AF3A31" w:rsidRDefault="00DB00FD" w:rsidP="001E2158">
            <w:pPr>
              <w:spacing w:after="0" w:line="240" w:lineRule="auto"/>
              <w:jc w:val="left"/>
              <w:rPr>
                <w:rFonts w:eastAsia="Calibri"/>
                <w:lang w:val="en-GB"/>
              </w:rPr>
            </w:pPr>
          </w:p>
          <w:p w14:paraId="37F93768" w14:textId="77777777" w:rsidR="00DB00FD" w:rsidRPr="00AF3A31" w:rsidRDefault="00DB00FD" w:rsidP="001E2158">
            <w:pPr>
              <w:spacing w:after="0" w:line="240" w:lineRule="auto"/>
              <w:jc w:val="left"/>
              <w:rPr>
                <w:rFonts w:eastAsia="Calibri"/>
                <w:lang w:val="en-GB"/>
              </w:rPr>
            </w:pPr>
          </w:p>
          <w:p w14:paraId="6ECF6BE4" w14:textId="77777777" w:rsidR="00DB00FD" w:rsidRPr="00AF3A31" w:rsidRDefault="00DB00FD" w:rsidP="001E2158">
            <w:pPr>
              <w:spacing w:after="0" w:line="240" w:lineRule="auto"/>
              <w:jc w:val="left"/>
              <w:rPr>
                <w:rFonts w:eastAsia="Calibri"/>
                <w:lang w:val="en-GB"/>
              </w:rPr>
            </w:pPr>
          </w:p>
          <w:p w14:paraId="266B053D" w14:textId="77777777" w:rsidR="00DB00FD" w:rsidRPr="00AF3A31" w:rsidRDefault="00DB00FD" w:rsidP="001E2158">
            <w:pPr>
              <w:spacing w:after="0" w:line="240" w:lineRule="auto"/>
              <w:jc w:val="left"/>
              <w:rPr>
                <w:rFonts w:eastAsia="Calibri"/>
                <w:lang w:val="en-GB"/>
              </w:rPr>
            </w:pPr>
            <w:r w:rsidRPr="00AF3A31">
              <w:rPr>
                <w:rFonts w:eastAsia="Calibri"/>
                <w:lang w:val="en-GB"/>
              </w:rPr>
              <w:t>Timeline for completion: 1Q2026</w:t>
            </w:r>
          </w:p>
          <w:p w14:paraId="72B4AEED" w14:textId="77777777" w:rsidR="00DB00FD" w:rsidRPr="00AF3A31" w:rsidRDefault="00DB00FD" w:rsidP="001E2158">
            <w:pPr>
              <w:spacing w:after="0" w:line="240" w:lineRule="auto"/>
              <w:jc w:val="left"/>
              <w:rPr>
                <w:rFonts w:eastAsia="Calibri"/>
                <w:lang w:val="en-GB"/>
              </w:rPr>
            </w:pPr>
          </w:p>
        </w:tc>
        <w:tc>
          <w:tcPr>
            <w:tcW w:w="1835" w:type="pct"/>
          </w:tcPr>
          <w:p w14:paraId="18A7BC07" w14:textId="77777777" w:rsidR="00DB00FD" w:rsidRPr="00AF3A31" w:rsidRDefault="00DB00FD" w:rsidP="001E2158">
            <w:pPr>
              <w:spacing w:after="0" w:line="240" w:lineRule="auto"/>
              <w:jc w:val="left"/>
              <w:rPr>
                <w:rFonts w:eastAsia="Calibri"/>
                <w:lang w:val="en-GB"/>
              </w:rPr>
            </w:pPr>
            <w:r w:rsidRPr="00AF3A31">
              <w:rPr>
                <w:rFonts w:eastAsia="Calibri"/>
                <w:lang w:val="en-GB"/>
              </w:rPr>
              <w:t>D20G T2</w:t>
            </w:r>
          </w:p>
          <w:p w14:paraId="75E50AD1" w14:textId="77777777" w:rsidR="00DB00FD" w:rsidRPr="00AF3A31" w:rsidRDefault="00DB00FD" w:rsidP="001E2158">
            <w:pPr>
              <w:spacing w:after="0" w:line="240" w:lineRule="auto"/>
              <w:ind w:left="-5"/>
              <w:contextualSpacing/>
              <w:rPr>
                <w:lang w:val="en-GB"/>
              </w:rPr>
            </w:pPr>
            <w:r w:rsidRPr="00AF3A31">
              <w:rPr>
                <w:lang w:val="en-GB"/>
              </w:rPr>
              <w:t xml:space="preserve">Medical documents digitised </w:t>
            </w:r>
          </w:p>
          <w:p w14:paraId="6EDCEF8E" w14:textId="77777777" w:rsidR="00DB00FD" w:rsidRPr="00AF3A31" w:rsidRDefault="00DB00FD" w:rsidP="001E2158">
            <w:pPr>
              <w:spacing w:after="0" w:line="240" w:lineRule="auto"/>
              <w:jc w:val="left"/>
              <w:rPr>
                <w:rFonts w:eastAsia="Calibri"/>
                <w:lang w:val="en-GB"/>
              </w:rPr>
            </w:pPr>
            <w:r w:rsidRPr="00AF3A31">
              <w:rPr>
                <w:rFonts w:eastAsia="Calibri"/>
                <w:lang w:val="en-GB"/>
              </w:rPr>
              <w:t>Description of the target:</w:t>
            </w:r>
          </w:p>
          <w:p w14:paraId="2CDF0FB3" w14:textId="77777777" w:rsidR="00DB00FD" w:rsidRPr="00AF3A31" w:rsidRDefault="00DB00FD" w:rsidP="001E2158">
            <w:pPr>
              <w:spacing w:after="0" w:line="240" w:lineRule="auto"/>
              <w:jc w:val="left"/>
              <w:rPr>
                <w:rFonts w:eastAsia="Calibri"/>
                <w:color w:val="FF0000"/>
                <w:lang w:val="en-GB"/>
              </w:rPr>
            </w:pPr>
            <w:r w:rsidRPr="00AF3A31">
              <w:rPr>
                <w:rFonts w:eastAsia="Calibri"/>
                <w:color w:val="FF0000"/>
                <w:lang w:val="en-GB"/>
              </w:rPr>
              <w:t>Digitalisation of the new medical documents</w:t>
            </w:r>
          </w:p>
          <w:p w14:paraId="046A1C46" w14:textId="77777777" w:rsidR="00DB00FD" w:rsidRPr="00AF3A31" w:rsidRDefault="00DB00FD" w:rsidP="001E2158">
            <w:pPr>
              <w:spacing w:after="0" w:line="240" w:lineRule="auto"/>
              <w:jc w:val="left"/>
              <w:rPr>
                <w:rFonts w:eastAsia="Calibri"/>
                <w:lang w:val="en-GB"/>
              </w:rPr>
            </w:pPr>
          </w:p>
          <w:p w14:paraId="75CB5F86" w14:textId="77777777" w:rsidR="00DB00FD" w:rsidRPr="00AF3A31" w:rsidRDefault="00DB00FD" w:rsidP="001E2158">
            <w:pPr>
              <w:spacing w:after="0" w:line="240" w:lineRule="auto"/>
              <w:jc w:val="left"/>
              <w:rPr>
                <w:rFonts w:eastAsia="Calibri"/>
                <w:lang w:val="en-US"/>
              </w:rPr>
            </w:pPr>
            <w:r w:rsidRPr="00AF3A31">
              <w:rPr>
                <w:rFonts w:eastAsia="Calibri"/>
                <w:lang w:val="en-US"/>
              </w:rPr>
              <w:t>Quantitative indicators:</w:t>
            </w:r>
          </w:p>
          <w:p w14:paraId="161C9D6E" w14:textId="77777777" w:rsidR="00DB00FD" w:rsidRPr="00AF3A31" w:rsidRDefault="00DB00FD" w:rsidP="001E2158">
            <w:pPr>
              <w:spacing w:after="0" w:line="240" w:lineRule="auto"/>
              <w:jc w:val="left"/>
              <w:rPr>
                <w:rFonts w:eastAsia="Calibri"/>
                <w:color w:val="FF0000"/>
                <w:lang w:val="en-US"/>
              </w:rPr>
            </w:pPr>
            <w:r w:rsidRPr="00AF3A31">
              <w:rPr>
                <w:rFonts w:eastAsia="Calibri"/>
                <w:color w:val="FF0000"/>
                <w:lang w:val="en-US"/>
              </w:rPr>
              <w:t>Measure: Number of documents</w:t>
            </w:r>
          </w:p>
          <w:p w14:paraId="62D04147" w14:textId="77777777" w:rsidR="00DB00FD" w:rsidRPr="00AF3A31" w:rsidRDefault="00DB00FD" w:rsidP="001E2158">
            <w:pPr>
              <w:spacing w:after="0" w:line="240" w:lineRule="auto"/>
              <w:jc w:val="left"/>
              <w:rPr>
                <w:rFonts w:eastAsia="Calibri"/>
                <w:color w:val="FF0000"/>
                <w:lang w:val="en-GB"/>
              </w:rPr>
            </w:pPr>
            <w:r w:rsidRPr="00AF3A31">
              <w:rPr>
                <w:rFonts w:eastAsia="Calibri"/>
                <w:color w:val="FF0000"/>
                <w:lang w:val="en-GB"/>
              </w:rPr>
              <w:t>Base level: 12</w:t>
            </w:r>
          </w:p>
          <w:p w14:paraId="6A652319" w14:textId="77777777" w:rsidR="00DB00FD" w:rsidRPr="00AF3A31" w:rsidRDefault="00DB00FD" w:rsidP="001E2158">
            <w:pPr>
              <w:spacing w:after="0" w:line="240" w:lineRule="auto"/>
              <w:jc w:val="left"/>
              <w:rPr>
                <w:rFonts w:eastAsia="Calibri"/>
                <w:color w:val="FF0000"/>
                <w:lang w:val="en-GB"/>
              </w:rPr>
            </w:pPr>
            <w:r w:rsidRPr="00AF3A31">
              <w:rPr>
                <w:rFonts w:eastAsia="Calibri"/>
                <w:color w:val="FF0000"/>
                <w:lang w:val="en-GB"/>
              </w:rPr>
              <w:t>Goal: 18</w:t>
            </w:r>
          </w:p>
          <w:p w14:paraId="45005BE9" w14:textId="77777777" w:rsidR="00DB00FD" w:rsidRPr="00AF3A31" w:rsidRDefault="00DB00FD" w:rsidP="001E2158">
            <w:pPr>
              <w:spacing w:after="0" w:line="240" w:lineRule="auto"/>
              <w:jc w:val="left"/>
              <w:rPr>
                <w:rFonts w:eastAsia="Calibri"/>
                <w:lang w:val="en-GB"/>
              </w:rPr>
            </w:pPr>
          </w:p>
          <w:p w14:paraId="39D2CDB7" w14:textId="77777777" w:rsidR="00DB00FD" w:rsidRPr="00AF3A31" w:rsidRDefault="00DB00FD" w:rsidP="001E2158">
            <w:pPr>
              <w:autoSpaceDE w:val="0"/>
              <w:autoSpaceDN w:val="0"/>
              <w:adjustRightInd w:val="0"/>
              <w:spacing w:after="0" w:line="240" w:lineRule="auto"/>
              <w:jc w:val="left"/>
              <w:rPr>
                <w:rFonts w:eastAsia="Calibri"/>
                <w:color w:val="000000"/>
                <w:lang w:val="en-US"/>
              </w:rPr>
            </w:pPr>
            <w:r w:rsidRPr="00AF3A31">
              <w:rPr>
                <w:rFonts w:eastAsia="Calibri"/>
                <w:lang w:val="en-GB"/>
              </w:rPr>
              <w:t xml:space="preserve">Timeline for completion: </w:t>
            </w:r>
            <w:r w:rsidRPr="00AF3A31">
              <w:rPr>
                <w:rFonts w:eastAsia="Calibri"/>
                <w:lang w:val="en-US"/>
              </w:rPr>
              <w:t>No changes</w:t>
            </w:r>
          </w:p>
        </w:tc>
      </w:tr>
      <w:tr w:rsidR="00DB00FD" w:rsidRPr="00C21B61" w14:paraId="2A2BCFD2" w14:textId="77777777" w:rsidTr="00A501D9">
        <w:tc>
          <w:tcPr>
            <w:tcW w:w="1230" w:type="pct"/>
          </w:tcPr>
          <w:p w14:paraId="6CD54BA6" w14:textId="77777777" w:rsidR="00DB00FD" w:rsidRPr="00AF3A31" w:rsidRDefault="00DB00FD" w:rsidP="001E2158">
            <w:pPr>
              <w:spacing w:after="120" w:line="240" w:lineRule="auto"/>
              <w:jc w:val="left"/>
              <w:rPr>
                <w:rFonts w:eastAsia="Calibri"/>
              </w:rPr>
            </w:pPr>
            <w:r w:rsidRPr="00AF3A31">
              <w:rPr>
                <w:rFonts w:eastAsia="Calibri"/>
              </w:rPr>
              <w:t>Uzasadnienie</w:t>
            </w:r>
          </w:p>
        </w:tc>
        <w:tc>
          <w:tcPr>
            <w:tcW w:w="3770" w:type="pct"/>
            <w:gridSpan w:val="2"/>
          </w:tcPr>
          <w:p w14:paraId="4DC41D69" w14:textId="77777777" w:rsidR="00DB00FD" w:rsidRPr="001B63B4" w:rsidRDefault="00DB00FD" w:rsidP="001E2158">
            <w:pPr>
              <w:autoSpaceDE w:val="0"/>
              <w:autoSpaceDN w:val="0"/>
              <w:adjustRightInd w:val="0"/>
              <w:spacing w:after="120" w:line="240" w:lineRule="auto"/>
            </w:pPr>
            <w:r w:rsidRPr="008F19AE">
              <w:rPr>
                <w:rFonts w:eastAsia="Calibri"/>
              </w:rPr>
              <w:t xml:space="preserve">D19G, D20G - </w:t>
            </w:r>
            <w:r w:rsidRPr="001B63B4">
              <w:t xml:space="preserve">Proponowana zmiana dotyczy opisu wskaźnika ilościowego, poprzez odejście od wskaźnika procentowego na rzecz wskaźnika opartego na liczbie ucyfrowionych dokumentów oraz odniesienie tego wskaźnika do istniejących aktów prawnych. Jednocześnie zmiany mają na celu wprowadzenie przejrzystego mechanizmu umożliwiającego efektywne zmierzenie rezultatu wraz z jednoczesnym doprecyzowaniem podstawy obliczeń wskaźnika. </w:t>
            </w:r>
          </w:p>
          <w:p w14:paraId="77A91397" w14:textId="77777777" w:rsidR="00DB00FD" w:rsidRPr="001B63B4" w:rsidRDefault="00DB00FD" w:rsidP="001E2158">
            <w:pPr>
              <w:autoSpaceDE w:val="0"/>
              <w:autoSpaceDN w:val="0"/>
              <w:adjustRightInd w:val="0"/>
              <w:spacing w:after="120" w:line="240" w:lineRule="auto"/>
            </w:pPr>
            <w:r w:rsidRPr="001B63B4">
              <w:t xml:space="preserve">W wyniku przeprowadzonych analiz proponujemy realizację lepszej alternatywy, tj. odejście od pierwotnie planowanej koncepcji cyfryzacji większej ilości dokumentów mniej kompleksowych, na rzecz rozwiązania polegającego na koncentracji działań na dokumentach bardziej złożonych i jednocześnie bardziej istotnych z punktu widzenia pacjenta i profesjonalisty medycznego. </w:t>
            </w:r>
          </w:p>
          <w:p w14:paraId="2C618EE1" w14:textId="77777777" w:rsidR="00DB00FD" w:rsidRPr="001B63B4" w:rsidRDefault="00DB00FD" w:rsidP="001E2158">
            <w:pPr>
              <w:autoSpaceDE w:val="0"/>
              <w:autoSpaceDN w:val="0"/>
              <w:adjustRightInd w:val="0"/>
              <w:spacing w:after="120" w:line="240" w:lineRule="auto"/>
            </w:pPr>
            <w:r w:rsidRPr="001B63B4">
              <w:lastRenderedPageBreak/>
              <w:t xml:space="preserve">O ile pierwotne założenia przewidywały ucyfrowienie prostych dokumentów poprzez zdefiniowanie ich standardów i formatów oraz indeksowanie w ramach systemu centralnego, o tyle zaproponowana w ramach rewizji zmiana, obejmuje cyfryzację rozbudowanych i kluczowych dokumentów medycznych, których proces ucyfrowienia wymagać będzie dodatkowo szeregu działań związanych m.in. z poszerzeniem konsultacji z profesjonalistami medycznymi w celu dostarczenia jak najszerszego zakresu danych, zautomatyzowaniem przekazywania danych do rejestrów państwowych i innych instytucji publicznych, budową repozytoriów umożliwiających przechowywania dokumentów oraz zakupem infrastruktury IT dla tych repozytoriów. </w:t>
            </w:r>
          </w:p>
          <w:p w14:paraId="35B30D81" w14:textId="77777777" w:rsidR="00DB00FD" w:rsidRPr="001B63B4" w:rsidRDefault="00DB00FD" w:rsidP="001E2158">
            <w:pPr>
              <w:autoSpaceDE w:val="0"/>
              <w:autoSpaceDN w:val="0"/>
              <w:adjustRightInd w:val="0"/>
              <w:spacing w:after="120" w:line="240" w:lineRule="auto"/>
            </w:pPr>
            <w:r w:rsidRPr="001B63B4">
              <w:t xml:space="preserve">W ramach kamieni D19G i D20G planowane jest ucyfrowienie następujących dokumentów medycznych: </w:t>
            </w:r>
          </w:p>
          <w:p w14:paraId="3119D772" w14:textId="77777777" w:rsidR="00DB00FD" w:rsidRPr="001B63B4" w:rsidRDefault="00DB00FD" w:rsidP="001E2158">
            <w:pPr>
              <w:autoSpaceDE w:val="0"/>
              <w:autoSpaceDN w:val="0"/>
              <w:adjustRightInd w:val="0"/>
              <w:spacing w:after="120" w:line="240" w:lineRule="auto"/>
            </w:pPr>
            <w:r w:rsidRPr="001B63B4">
              <w:t>1.</w:t>
            </w:r>
            <w:r w:rsidRPr="001B63B4">
              <w:tab/>
              <w:t xml:space="preserve">Karta Diagnostyki i Leczenia Onkologicznego (karta DILO), E-wyniki i opisy badań histopatologicznych i cytologicznych (3 dokumenty) - kluczowe dokumenty z punktu widzenia wdrożenia i funkcjonowania Krajowej Sieci Onkologicznej, zarówno w kontekście tzw. opieki koordynowanej jak i wyliczania wskaźników oceny jakości leczenia onkologicznego; ucyfrowienie dokumentów umożliwi szybki i prosty dostęp do informacji w nich zawartych zarówno pacjentowi jak i kadrze medycznej;  </w:t>
            </w:r>
          </w:p>
          <w:p w14:paraId="476AF220" w14:textId="77777777" w:rsidR="00DB00FD" w:rsidRPr="001B63B4" w:rsidRDefault="00DB00FD" w:rsidP="001E2158">
            <w:pPr>
              <w:autoSpaceDE w:val="0"/>
              <w:autoSpaceDN w:val="0"/>
              <w:adjustRightInd w:val="0"/>
              <w:spacing w:after="120" w:line="240" w:lineRule="auto"/>
            </w:pPr>
            <w:r w:rsidRPr="001B63B4">
              <w:t>2.</w:t>
            </w:r>
            <w:r w:rsidRPr="001B63B4">
              <w:tab/>
              <w:t>Patient Summary (e-Karta Zdrowia Pacjenta) – złożony i rozbudowany dokument zawierający informacje na temat najważniejszych aspektów zdrowotnych pacjenta, jak m.in. grupa krwi, alergie, aktualnie przyjmowane leki, choroby przewlekłe, operacje czy wszczepione urządzenia; ucyfrowienie dokumentu przyczyni się do usprawnienia pracy lekarza, dostarczając mu w prosty i szybki sposób danych na temat pacjenta, pomocnych w szybkim i prawidłowym postawieniu diagnozy i ustaleniu terapii; rozwiązanie zostanie zaprojektowane z uwzględnieniem specyfikacji dla tej usługi ujętej w ramach Europejskiej Przestrzeni Danych o Zdrowiu  m.in. w zakresie danych i formatu technicznego;</w:t>
            </w:r>
          </w:p>
          <w:p w14:paraId="6CD79AED" w14:textId="77777777" w:rsidR="00DB00FD" w:rsidRPr="001B63B4" w:rsidRDefault="00DB00FD" w:rsidP="001E2158">
            <w:pPr>
              <w:autoSpaceDE w:val="0"/>
              <w:autoSpaceDN w:val="0"/>
              <w:adjustRightInd w:val="0"/>
              <w:spacing w:after="120" w:line="240" w:lineRule="auto"/>
            </w:pPr>
            <w:r w:rsidRPr="001B63B4">
              <w:t>3.</w:t>
            </w:r>
            <w:r w:rsidRPr="001B63B4">
              <w:tab/>
              <w:t>E-karty: zgonu, urodzenia, martwego urodzenia (3 dokumenty) – dokumenty kluczowe z puntu widzenia unowocześnienia usług publicznych dla obywatela, których cyfryzacja umożliwi zautomatyzowanie przekazywania zawartych w nich danych do centralnych rejestrów państwowych takich jak np. Urzędy Stanu Cywilnego (wystawienie Aktu Urodzenia i nadanie nr PESEL czy wystawienie Aktu Zgonu), Główny Inspektora Sanitarny (w przypadku gdy m.in. zgon wystąpił w związku z choroba zakaźną), Główny Urząd Statystyczny (w celu prowadzenia statystyki publicznej) i innych instytucji jak np. zakłady pogrzebowe i cmentarze (w celu realizacji pochówku); w efekcie cyfryzacji ww. dokumentów powstanie bardzo rozbudowany systemem, ściśle powiązanych ze sobą rozwiązań informatycznych, zapewniający sprawny i jak najmniej absorbujący dla obywatela obieg procesu związanego z urodzeniem i zgonem człowieka</w:t>
            </w:r>
            <w:r>
              <w:t>;</w:t>
            </w:r>
            <w:r w:rsidRPr="001B63B4">
              <w:t xml:space="preserve"> </w:t>
            </w:r>
          </w:p>
          <w:p w14:paraId="265F661E" w14:textId="77777777" w:rsidR="00DB00FD" w:rsidRPr="001B63B4" w:rsidRDefault="00DB00FD" w:rsidP="001E2158">
            <w:pPr>
              <w:pStyle w:val="Akapitzlist"/>
              <w:numPr>
                <w:ilvl w:val="0"/>
                <w:numId w:val="41"/>
              </w:numPr>
              <w:autoSpaceDE w:val="0"/>
              <w:autoSpaceDN w:val="0"/>
              <w:adjustRightInd w:val="0"/>
              <w:spacing w:after="120" w:line="240" w:lineRule="auto"/>
              <w:ind w:left="0" w:firstLine="64"/>
            </w:pPr>
            <w:r w:rsidRPr="00F655E1">
              <w:t>zlecenia na zaopatrzenie i zlecenia naprawy, o których mowa w art. 38 ust. 4a ustawy z dnia 12 maja 2011 r. o refundacji leków, środków spożywczych specjalnego przeznaczenia żywieniowego oraz wyrobów medycznych oraz Indywidualny Plan Opieki Medycznej, o którym mowa w przepisach wydanych na podstawie art. 30 ust. 1 ustawy z dnia 6 listopada 2008 r. o prawach pacjenta i Rzeczniku Praw Pacjenta.</w:t>
            </w:r>
          </w:p>
          <w:p w14:paraId="34DD55A8" w14:textId="77777777" w:rsidR="00DB00FD" w:rsidRPr="00A1213F" w:rsidRDefault="00DB00FD" w:rsidP="001E2158">
            <w:pPr>
              <w:autoSpaceDE w:val="0"/>
              <w:autoSpaceDN w:val="0"/>
              <w:adjustRightInd w:val="0"/>
              <w:spacing w:after="120" w:line="240" w:lineRule="auto"/>
            </w:pPr>
            <w:r w:rsidRPr="001B63B4">
              <w:t xml:space="preserve">Proponowana w ramach rewizji zmiana </w:t>
            </w:r>
            <w:r w:rsidRPr="001B63B4">
              <w:rPr>
                <w:b/>
                <w:bCs/>
              </w:rPr>
              <w:t>jest lepszą alternatywą</w:t>
            </w:r>
            <w:r w:rsidRPr="001B63B4">
              <w:t xml:space="preserve"> w kontekście celu inwestycji, pozwalającą zaadresować pilne potrzeby pacjentów i środowisk medycznych, a przez to dokonać istotnych procesów optymalizacyjnych zarówno po stronie pacjenta, jak i wykonywania pracy przez profesjonalistę medycznego</w:t>
            </w:r>
            <w:r>
              <w:t>.</w:t>
            </w:r>
          </w:p>
        </w:tc>
      </w:tr>
      <w:tr w:rsidR="00DB00FD" w:rsidRPr="00AF3A31" w14:paraId="644B69DE" w14:textId="77777777" w:rsidTr="00A501D9">
        <w:tc>
          <w:tcPr>
            <w:tcW w:w="1230" w:type="pct"/>
          </w:tcPr>
          <w:p w14:paraId="6DD07132" w14:textId="77777777" w:rsidR="00DB00FD" w:rsidRPr="00AF3A31" w:rsidRDefault="00DB00FD" w:rsidP="001E2158">
            <w:pPr>
              <w:spacing w:after="120" w:line="240" w:lineRule="auto"/>
              <w:jc w:val="left"/>
              <w:rPr>
                <w:rFonts w:eastAsia="Calibri"/>
              </w:rPr>
            </w:pPr>
            <w:r w:rsidRPr="00AF3A31">
              <w:rPr>
                <w:rFonts w:eastAsia="Calibri"/>
              </w:rPr>
              <w:lastRenderedPageBreak/>
              <w:t>Szacowany koszt</w:t>
            </w:r>
          </w:p>
        </w:tc>
        <w:tc>
          <w:tcPr>
            <w:tcW w:w="3770" w:type="pct"/>
            <w:gridSpan w:val="2"/>
          </w:tcPr>
          <w:p w14:paraId="7093770F" w14:textId="77777777" w:rsidR="00DB00FD" w:rsidRPr="00AF3A31" w:rsidRDefault="00DB00FD" w:rsidP="001E2158">
            <w:pPr>
              <w:spacing w:after="120" w:line="240" w:lineRule="auto"/>
              <w:jc w:val="left"/>
              <w:rPr>
                <w:rFonts w:eastAsia="Calibri"/>
                <w:b/>
                <w:bCs/>
              </w:rPr>
            </w:pPr>
            <w:r w:rsidRPr="00AF3A31">
              <w:rPr>
                <w:rFonts w:eastAsia="Calibri"/>
              </w:rPr>
              <w:t xml:space="preserve">Zmiana nie ma wpływu na szacowany koszt </w:t>
            </w:r>
          </w:p>
        </w:tc>
      </w:tr>
      <w:tr w:rsidR="00DB00FD" w:rsidRPr="00AF3A31" w14:paraId="3A9E5555" w14:textId="77777777" w:rsidTr="00A501D9">
        <w:tc>
          <w:tcPr>
            <w:tcW w:w="1230" w:type="pct"/>
          </w:tcPr>
          <w:p w14:paraId="3C294762" w14:textId="77777777" w:rsidR="00DB00FD" w:rsidRPr="00AF3A31" w:rsidRDefault="00DB00FD" w:rsidP="001E2158">
            <w:pPr>
              <w:spacing w:after="120" w:line="240" w:lineRule="auto"/>
              <w:jc w:val="left"/>
              <w:rPr>
                <w:rFonts w:eastAsia="Calibri"/>
              </w:rPr>
            </w:pPr>
            <w:r w:rsidRPr="00AF3A31">
              <w:rPr>
                <w:rFonts w:eastAsia="Calibri"/>
              </w:rPr>
              <w:t xml:space="preserve">Cyfrowy i klimatyczny tagging </w:t>
            </w:r>
          </w:p>
        </w:tc>
        <w:tc>
          <w:tcPr>
            <w:tcW w:w="3770" w:type="pct"/>
            <w:gridSpan w:val="2"/>
          </w:tcPr>
          <w:p w14:paraId="16A45D5C" w14:textId="77777777" w:rsidR="00DB00FD" w:rsidRPr="00AF3A31" w:rsidRDefault="00DB00FD" w:rsidP="001E2158">
            <w:pPr>
              <w:spacing w:after="120" w:line="240" w:lineRule="auto"/>
              <w:jc w:val="left"/>
              <w:rPr>
                <w:rFonts w:eastAsia="Calibri"/>
              </w:rPr>
            </w:pPr>
            <w:r w:rsidRPr="00AF3A31">
              <w:rPr>
                <w:rFonts w:eastAsia="Calibri"/>
              </w:rPr>
              <w:t>Zmiana nie ma wpływu na tagging klimatyczny i cyfrowy</w:t>
            </w:r>
          </w:p>
        </w:tc>
      </w:tr>
      <w:tr w:rsidR="00DB00FD" w:rsidRPr="00AF3A31" w14:paraId="2DDAD2DD" w14:textId="77777777" w:rsidTr="00A501D9">
        <w:tc>
          <w:tcPr>
            <w:tcW w:w="1230" w:type="pct"/>
            <w:tcBorders>
              <w:bottom w:val="single" w:sz="4" w:space="0" w:color="auto"/>
            </w:tcBorders>
          </w:tcPr>
          <w:p w14:paraId="673C7F95" w14:textId="77777777" w:rsidR="00DB00FD" w:rsidRPr="00AF3A31" w:rsidRDefault="00DB00FD" w:rsidP="001E2158">
            <w:pPr>
              <w:spacing w:after="120" w:line="240" w:lineRule="auto"/>
              <w:jc w:val="left"/>
              <w:rPr>
                <w:rFonts w:eastAsia="Calibri"/>
              </w:rPr>
            </w:pPr>
            <w:r w:rsidRPr="00AF3A31">
              <w:rPr>
                <w:rFonts w:eastAsia="Calibri"/>
              </w:rPr>
              <w:t xml:space="preserve">Zasada DNSH </w:t>
            </w:r>
          </w:p>
        </w:tc>
        <w:tc>
          <w:tcPr>
            <w:tcW w:w="3770" w:type="pct"/>
            <w:gridSpan w:val="2"/>
            <w:tcBorders>
              <w:bottom w:val="single" w:sz="4" w:space="0" w:color="auto"/>
            </w:tcBorders>
          </w:tcPr>
          <w:p w14:paraId="16F771F0" w14:textId="77777777" w:rsidR="00DB00FD" w:rsidRPr="00AF3A31" w:rsidRDefault="00DB00FD" w:rsidP="001E2158">
            <w:pPr>
              <w:spacing w:after="120" w:line="240" w:lineRule="auto"/>
              <w:jc w:val="left"/>
              <w:rPr>
                <w:rFonts w:eastAsia="Calibri"/>
              </w:rPr>
            </w:pPr>
            <w:r w:rsidRPr="00AF3A31">
              <w:rPr>
                <w:rFonts w:eastAsia="Calibri"/>
              </w:rPr>
              <w:t>Zmiana nie ma wpływu na DNSH</w:t>
            </w:r>
          </w:p>
        </w:tc>
      </w:tr>
      <w:tr w:rsidR="00DB00FD" w:rsidRPr="005B3603" w14:paraId="21435B87" w14:textId="77777777" w:rsidTr="00A501D9">
        <w:tc>
          <w:tcPr>
            <w:tcW w:w="1230" w:type="pct"/>
            <w:tcBorders>
              <w:bottom w:val="single" w:sz="4" w:space="0" w:color="auto"/>
            </w:tcBorders>
          </w:tcPr>
          <w:p w14:paraId="3ED8377C" w14:textId="77777777" w:rsidR="00DB00FD" w:rsidRPr="00AF3A31" w:rsidRDefault="00DB00FD" w:rsidP="001E2158">
            <w:pPr>
              <w:spacing w:after="120" w:line="240" w:lineRule="auto"/>
              <w:jc w:val="left"/>
              <w:rPr>
                <w:rFonts w:eastAsia="Calibri"/>
              </w:rPr>
            </w:pPr>
            <w:r w:rsidRPr="00AF3A31">
              <w:rPr>
                <w:rFonts w:eastAsia="Calibri"/>
              </w:rPr>
              <w:t xml:space="preserve">Pomoc publiczna </w:t>
            </w:r>
          </w:p>
        </w:tc>
        <w:tc>
          <w:tcPr>
            <w:tcW w:w="3770" w:type="pct"/>
            <w:gridSpan w:val="2"/>
            <w:tcBorders>
              <w:bottom w:val="single" w:sz="4" w:space="0" w:color="auto"/>
            </w:tcBorders>
          </w:tcPr>
          <w:p w14:paraId="07D569AA" w14:textId="77777777" w:rsidR="00DB00FD" w:rsidRPr="005B3603" w:rsidRDefault="00DB00FD" w:rsidP="001E2158">
            <w:pPr>
              <w:spacing w:after="120" w:line="240" w:lineRule="auto"/>
              <w:jc w:val="left"/>
              <w:rPr>
                <w:rFonts w:eastAsia="Calibri"/>
              </w:rPr>
            </w:pPr>
            <w:r>
              <w:rPr>
                <w:rFonts w:eastAsia="Calibri"/>
              </w:rPr>
              <w:t>planuje się udzielenie pomocy publicznej w odniesieniu do części przedsięwzięć realizowanych w ramach D1.1.2</w:t>
            </w:r>
          </w:p>
        </w:tc>
      </w:tr>
    </w:tbl>
    <w:p w14:paraId="301B096F" w14:textId="77777777" w:rsidR="00DB00FD" w:rsidRPr="005B3603" w:rsidRDefault="00DB00FD" w:rsidP="00DB00FD">
      <w:pPr>
        <w:spacing w:after="120" w:line="240" w:lineRule="auto"/>
        <w:jc w:val="left"/>
        <w:rPr>
          <w:rFonts w:eastAsia="Calibri"/>
          <w:b/>
          <w:bCs/>
        </w:rPr>
      </w:pPr>
    </w:p>
    <w:tbl>
      <w:tblPr>
        <w:tblW w:w="47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21"/>
        <w:gridCol w:w="6622"/>
      </w:tblGrid>
      <w:tr w:rsidR="00DB00FD" w:rsidRPr="004D5321" w14:paraId="19C8E771" w14:textId="77777777" w:rsidTr="00A501D9">
        <w:tc>
          <w:tcPr>
            <w:tcW w:w="1169" w:type="pct"/>
          </w:tcPr>
          <w:p w14:paraId="1845B46E" w14:textId="77777777" w:rsidR="00DB00FD" w:rsidRPr="004D5321" w:rsidRDefault="00DB00FD" w:rsidP="001E2158">
            <w:pPr>
              <w:spacing w:after="120" w:line="240" w:lineRule="auto"/>
              <w:rPr>
                <w:b/>
                <w:bCs/>
              </w:rPr>
            </w:pPr>
            <w:r w:rsidRPr="004D5321">
              <w:rPr>
                <w:b/>
                <w:bCs/>
              </w:rPr>
              <w:t>Numer reformy</w:t>
            </w:r>
          </w:p>
        </w:tc>
        <w:tc>
          <w:tcPr>
            <w:tcW w:w="3831" w:type="pct"/>
          </w:tcPr>
          <w:p w14:paraId="45278FEA" w14:textId="77777777" w:rsidR="00DB00FD" w:rsidRPr="00374808" w:rsidRDefault="00DB00FD" w:rsidP="001E2158">
            <w:pPr>
              <w:spacing w:after="120" w:line="240" w:lineRule="auto"/>
              <w:rPr>
                <w:b/>
                <w:bCs/>
              </w:rPr>
            </w:pPr>
            <w:r w:rsidRPr="00374808">
              <w:rPr>
                <w:b/>
                <w:bCs/>
              </w:rPr>
              <w:t>D</w:t>
            </w:r>
            <w:r>
              <w:rPr>
                <w:b/>
                <w:bCs/>
              </w:rPr>
              <w:t>1.2</w:t>
            </w:r>
          </w:p>
        </w:tc>
      </w:tr>
      <w:tr w:rsidR="00DB00FD" w:rsidRPr="00935797" w14:paraId="54DC26FF" w14:textId="77777777" w:rsidTr="00A501D9">
        <w:tc>
          <w:tcPr>
            <w:tcW w:w="1169" w:type="pct"/>
          </w:tcPr>
          <w:p w14:paraId="4B638EF3" w14:textId="77777777" w:rsidR="00DB00FD" w:rsidRPr="004D5321" w:rsidRDefault="00DB00FD" w:rsidP="001E2158">
            <w:pPr>
              <w:spacing w:after="120" w:line="240" w:lineRule="auto"/>
              <w:rPr>
                <w:b/>
                <w:bCs/>
              </w:rPr>
            </w:pPr>
            <w:r w:rsidRPr="004D5321">
              <w:rPr>
                <w:b/>
                <w:bCs/>
              </w:rPr>
              <w:t>Nazwa reformy</w:t>
            </w:r>
          </w:p>
        </w:tc>
        <w:tc>
          <w:tcPr>
            <w:tcW w:w="3831" w:type="pct"/>
          </w:tcPr>
          <w:p w14:paraId="456FE342" w14:textId="77777777" w:rsidR="00DB00FD" w:rsidRDefault="00DB00FD" w:rsidP="001E2158">
            <w:pPr>
              <w:spacing w:after="120" w:line="240" w:lineRule="auto"/>
              <w:rPr>
                <w:b/>
                <w:bCs/>
                <w:sz w:val="23"/>
                <w:szCs w:val="23"/>
              </w:rPr>
            </w:pPr>
            <w:r>
              <w:rPr>
                <w:b/>
                <w:bCs/>
                <w:sz w:val="23"/>
                <w:szCs w:val="23"/>
              </w:rPr>
              <w:t>Zwiększenie efektywności, dostępności i jakości świadczeń opieki długoterminowej podmiotów leczniczych na poziomie powiatowym</w:t>
            </w:r>
          </w:p>
          <w:p w14:paraId="706E32CA" w14:textId="77777777" w:rsidR="00DB00FD" w:rsidRPr="009D1150" w:rsidRDefault="00DB00FD" w:rsidP="001E2158">
            <w:pPr>
              <w:pStyle w:val="Default"/>
              <w:jc w:val="both"/>
              <w:rPr>
                <w:b/>
                <w:bCs/>
                <w:sz w:val="23"/>
                <w:szCs w:val="23"/>
              </w:rPr>
            </w:pPr>
            <w:r w:rsidRPr="009D1150">
              <w:rPr>
                <w:b/>
                <w:bCs/>
                <w:sz w:val="23"/>
                <w:szCs w:val="23"/>
              </w:rPr>
              <w:t xml:space="preserve">Increasing the efficiency, availability and quality of long-term care services of healthcare providers at district level </w:t>
            </w:r>
          </w:p>
          <w:p w14:paraId="4E9F6B17" w14:textId="77777777" w:rsidR="00DB00FD" w:rsidRPr="00386B2F" w:rsidRDefault="00DB00FD" w:rsidP="001E2158">
            <w:pPr>
              <w:spacing w:after="120" w:line="240" w:lineRule="auto"/>
              <w:rPr>
                <w:b/>
                <w:bCs/>
                <w:lang w:val="en-GB"/>
              </w:rPr>
            </w:pPr>
          </w:p>
        </w:tc>
      </w:tr>
      <w:tr w:rsidR="00DB00FD" w:rsidRPr="00935797" w14:paraId="4F03DA31" w14:textId="77777777" w:rsidTr="00A501D9">
        <w:tc>
          <w:tcPr>
            <w:tcW w:w="1169" w:type="pct"/>
            <w:shd w:val="clear" w:color="auto" w:fill="auto"/>
          </w:tcPr>
          <w:p w14:paraId="1CD0F615" w14:textId="77777777" w:rsidR="00DB00FD" w:rsidRPr="004D5321" w:rsidRDefault="00DB00FD" w:rsidP="001E2158">
            <w:pPr>
              <w:spacing w:after="120" w:line="240" w:lineRule="auto"/>
            </w:pPr>
            <w:r w:rsidRPr="004D5321">
              <w:t>Rodzaj wprowadzonej zmiany w odniesieniu do CID</w:t>
            </w:r>
          </w:p>
        </w:tc>
        <w:tc>
          <w:tcPr>
            <w:tcW w:w="3831" w:type="pct"/>
            <w:shd w:val="clear" w:color="auto" w:fill="auto"/>
          </w:tcPr>
          <w:p w14:paraId="177D3742" w14:textId="77777777" w:rsidR="00DB00FD" w:rsidRDefault="00DB00FD" w:rsidP="001E2158">
            <w:pPr>
              <w:pStyle w:val="HTML-wstpniesformatowany"/>
              <w:rPr>
                <w:rFonts w:ascii="Times New Roman" w:hAnsi="Times New Roman" w:cs="Times New Roman"/>
                <w:sz w:val="24"/>
                <w:szCs w:val="24"/>
              </w:rPr>
            </w:pPr>
            <w:r w:rsidRPr="008F19AE">
              <w:rPr>
                <w:rFonts w:ascii="Times New Roman" w:hAnsi="Times New Roman" w:cs="Times New Roman"/>
                <w:sz w:val="24"/>
                <w:szCs w:val="24"/>
              </w:rPr>
              <w:t>Przeniesienie reform</w:t>
            </w:r>
            <w:r>
              <w:rPr>
                <w:rFonts w:ascii="Times New Roman" w:hAnsi="Times New Roman" w:cs="Times New Roman"/>
                <w:sz w:val="24"/>
                <w:szCs w:val="24"/>
              </w:rPr>
              <w:t>y</w:t>
            </w:r>
            <w:r w:rsidRPr="008F19AE">
              <w:rPr>
                <w:rFonts w:ascii="Times New Roman" w:hAnsi="Times New Roman" w:cs="Times New Roman"/>
                <w:sz w:val="24"/>
                <w:szCs w:val="24"/>
              </w:rPr>
              <w:t xml:space="preserve"> D1.2 z części pożyczkowej do części grantowej</w:t>
            </w:r>
            <w:r>
              <w:rPr>
                <w:rFonts w:ascii="Times New Roman" w:hAnsi="Times New Roman" w:cs="Times New Roman"/>
                <w:sz w:val="24"/>
                <w:szCs w:val="24"/>
              </w:rPr>
              <w:t>.</w:t>
            </w:r>
          </w:p>
          <w:p w14:paraId="39BD9839" w14:textId="77777777" w:rsidR="00DB00FD" w:rsidRPr="008F19AE" w:rsidRDefault="00DB00FD" w:rsidP="001E2158">
            <w:pPr>
              <w:pStyle w:val="HTML-wstpniesformatowany"/>
              <w:rPr>
                <w:rFonts w:ascii="Times New Roman" w:hAnsi="Times New Roman" w:cs="Times New Roman"/>
                <w:sz w:val="24"/>
                <w:szCs w:val="24"/>
                <w:lang w:val="en-GB"/>
              </w:rPr>
            </w:pPr>
            <w:r>
              <w:rPr>
                <w:rFonts w:ascii="Times New Roman" w:hAnsi="Times New Roman" w:cs="Times New Roman"/>
                <w:sz w:val="24"/>
                <w:szCs w:val="24"/>
              </w:rPr>
              <w:t xml:space="preserve">Zmiana numeracji mierników D1L-D2L na kolejne w części grantowej w komponencie D (np. </w:t>
            </w:r>
            <w:r w:rsidRPr="008F19AE">
              <w:rPr>
                <w:rFonts w:ascii="Times New Roman" w:hAnsi="Times New Roman" w:cs="Times New Roman"/>
                <w:sz w:val="24"/>
                <w:szCs w:val="24"/>
                <w:lang w:val="en-GB"/>
              </w:rPr>
              <w:t xml:space="preserve">D38G, D39G) </w:t>
            </w:r>
          </w:p>
          <w:p w14:paraId="398593DB" w14:textId="77777777" w:rsidR="00DB00FD" w:rsidRPr="008F19AE" w:rsidRDefault="00DB00FD" w:rsidP="001E2158">
            <w:pPr>
              <w:pStyle w:val="HTML-wstpniesformatowany"/>
              <w:rPr>
                <w:rFonts w:ascii="Times New Roman" w:hAnsi="Times New Roman" w:cs="Times New Roman"/>
                <w:sz w:val="24"/>
                <w:szCs w:val="24"/>
                <w:lang w:val="en-GB"/>
              </w:rPr>
            </w:pPr>
          </w:p>
          <w:p w14:paraId="54860788" w14:textId="77777777" w:rsidR="00DB00FD" w:rsidRDefault="00DB00FD" w:rsidP="001E2158">
            <w:pPr>
              <w:pStyle w:val="HTML-wstpniesformatowany"/>
              <w:rPr>
                <w:rFonts w:ascii="Times New Roman" w:hAnsi="Times New Roman" w:cs="Times New Roman"/>
                <w:sz w:val="24"/>
                <w:szCs w:val="24"/>
                <w:lang w:val="en-GB"/>
              </w:rPr>
            </w:pPr>
            <w:r w:rsidRPr="008F19AE">
              <w:rPr>
                <w:rFonts w:ascii="Times New Roman" w:hAnsi="Times New Roman" w:cs="Times New Roman"/>
                <w:sz w:val="24"/>
                <w:szCs w:val="24"/>
                <w:lang w:val="en-GB"/>
              </w:rPr>
              <w:t>Transferring the D1.2 reform f</w:t>
            </w:r>
            <w:r>
              <w:rPr>
                <w:rFonts w:ascii="Times New Roman" w:hAnsi="Times New Roman" w:cs="Times New Roman"/>
                <w:sz w:val="24"/>
                <w:szCs w:val="24"/>
                <w:lang w:val="en-GB"/>
              </w:rPr>
              <w:t>rom loan to grant part of NDP.</w:t>
            </w:r>
          </w:p>
          <w:p w14:paraId="34DBD77B" w14:textId="77777777" w:rsidR="00DB00FD" w:rsidRPr="008F19AE"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lang w:val="en-GB" w:eastAsia="pl-PL"/>
              </w:rPr>
            </w:pPr>
            <w:r w:rsidRPr="008F19AE">
              <w:rPr>
                <w:lang w:val="en" w:eastAsia="pl-PL"/>
              </w:rPr>
              <w:t>Changing the numbers of D1L-D2L as a result of the transfer to subsequent ones in the grant part of component D (e.g. D38G, D39G)</w:t>
            </w:r>
          </w:p>
          <w:p w14:paraId="70E652D0" w14:textId="77777777" w:rsidR="00DB00FD" w:rsidRPr="008F19AE" w:rsidRDefault="00DB00FD" w:rsidP="001E2158">
            <w:pPr>
              <w:pStyle w:val="HTML-wstpniesformatowany"/>
              <w:rPr>
                <w:lang w:val="en-GB"/>
              </w:rPr>
            </w:pPr>
          </w:p>
        </w:tc>
      </w:tr>
      <w:tr w:rsidR="00DB00FD" w:rsidRPr="005845C3" w14:paraId="4291BC58" w14:textId="77777777" w:rsidTr="00A501D9">
        <w:tc>
          <w:tcPr>
            <w:tcW w:w="1169" w:type="pct"/>
            <w:shd w:val="clear" w:color="auto" w:fill="auto"/>
          </w:tcPr>
          <w:p w14:paraId="61D6618A" w14:textId="77777777" w:rsidR="00DB00FD" w:rsidRPr="004D5321" w:rsidRDefault="00DB00FD" w:rsidP="001E2158">
            <w:pPr>
              <w:spacing w:after="120" w:line="240" w:lineRule="auto"/>
            </w:pPr>
            <w:r w:rsidRPr="004D5321">
              <w:t>Podstawa prawna zmiany</w:t>
            </w:r>
          </w:p>
        </w:tc>
        <w:tc>
          <w:tcPr>
            <w:tcW w:w="3831" w:type="pct"/>
            <w:shd w:val="clear" w:color="auto" w:fill="auto"/>
          </w:tcPr>
          <w:p w14:paraId="7868DFDE" w14:textId="77777777" w:rsidR="00DB00FD" w:rsidRDefault="00DB00FD" w:rsidP="001E2158">
            <w:pPr>
              <w:spacing w:after="120" w:line="240" w:lineRule="auto"/>
            </w:pPr>
            <w:r w:rsidRPr="00374808">
              <w:t>art. 21 rozporządzenia Parlamentu Europejskiego i Rady (UE) 2021/241 z dnia 12 lutego 2021 r. ustanawiające Instrument na rzecz Odbudowy i Zwiększania Odporności</w:t>
            </w:r>
          </w:p>
          <w:p w14:paraId="6A6147B3" w14:textId="77777777" w:rsidR="00DB00FD" w:rsidRPr="008F19AE" w:rsidRDefault="00DB00FD" w:rsidP="001E2158">
            <w:pPr>
              <w:spacing w:after="120" w:line="240" w:lineRule="auto"/>
              <w:rPr>
                <w:lang w:val="en-GB"/>
              </w:rPr>
            </w:pPr>
            <w:r w:rsidRPr="008F19AE">
              <w:rPr>
                <w:lang w:val="en-GB"/>
              </w:rPr>
              <w:t>L</w:t>
            </w:r>
            <w:r>
              <w:rPr>
                <w:lang w:val="en-GB"/>
              </w:rPr>
              <w:t>epsza alternatywa</w:t>
            </w:r>
          </w:p>
          <w:p w14:paraId="31088834" w14:textId="77777777" w:rsidR="00DB00FD" w:rsidRDefault="00DB00FD" w:rsidP="001E2158">
            <w:pPr>
              <w:spacing w:after="120" w:line="240" w:lineRule="auto"/>
              <w:rPr>
                <w:rFonts w:eastAsia="Calibri"/>
                <w:color w:val="000000"/>
                <w:lang w:val="en-GB" w:eastAsia="en-GB"/>
              </w:rPr>
            </w:pPr>
            <w:r>
              <w:rPr>
                <w:rFonts w:eastAsia="Calibri"/>
                <w:color w:val="000000"/>
                <w:lang w:val="en-GB" w:eastAsia="en-GB"/>
              </w:rPr>
              <w:t>a</w:t>
            </w:r>
            <w:r w:rsidRPr="0091494F">
              <w:rPr>
                <w:rFonts w:eastAsia="Calibri"/>
                <w:color w:val="000000"/>
                <w:lang w:val="en-GB" w:eastAsia="en-GB"/>
              </w:rPr>
              <w:t>rticle 21 of Regulation (EU) 2021/241 of the European Parliament and of the Council of 12 February 2021 establishing an Instrument for Reconstruction and Increasing Resilience</w:t>
            </w:r>
          </w:p>
          <w:p w14:paraId="2F5DF521" w14:textId="77777777" w:rsidR="00DB00FD" w:rsidRPr="00B8242D" w:rsidRDefault="00DB00FD" w:rsidP="001E2158">
            <w:pPr>
              <w:spacing w:after="120" w:line="240" w:lineRule="auto"/>
              <w:rPr>
                <w:lang w:val="en-GB"/>
              </w:rPr>
            </w:pPr>
            <w:r>
              <w:rPr>
                <w:lang w:val="en-GB"/>
              </w:rPr>
              <w:t>Better alternative</w:t>
            </w:r>
          </w:p>
        </w:tc>
      </w:tr>
      <w:tr w:rsidR="00DB00FD" w:rsidRPr="00406882" w14:paraId="7832EF34" w14:textId="77777777" w:rsidTr="00A501D9">
        <w:tc>
          <w:tcPr>
            <w:tcW w:w="1169" w:type="pct"/>
          </w:tcPr>
          <w:p w14:paraId="6BF34F23" w14:textId="77777777" w:rsidR="00DB00FD" w:rsidRPr="004D5321" w:rsidRDefault="00DB00FD" w:rsidP="001E2158">
            <w:pPr>
              <w:spacing w:after="120" w:line="240" w:lineRule="auto"/>
            </w:pPr>
            <w:r w:rsidRPr="004D5321">
              <w:t>Uzasadnienie</w:t>
            </w:r>
          </w:p>
        </w:tc>
        <w:tc>
          <w:tcPr>
            <w:tcW w:w="3831" w:type="pct"/>
          </w:tcPr>
          <w:p w14:paraId="702FE361" w14:textId="77777777" w:rsidR="00DB00FD" w:rsidRPr="00412BDF" w:rsidRDefault="00DB00FD" w:rsidP="001E2158">
            <w:pPr>
              <w:spacing w:line="240" w:lineRule="auto"/>
              <w:jc w:val="left"/>
            </w:pPr>
            <w:r>
              <w:t>Propozycja przeniesienia reformy D1.2 dotyczącej opieki długoterminowej z części pożyczkowej do części grantowej jest dokonywana w związku z przeniesieniem inwestycji D1.2.1 dotyczącej opieki długoterminowej z części pożyczkowej do części grantowej.</w:t>
            </w:r>
          </w:p>
        </w:tc>
      </w:tr>
      <w:tr w:rsidR="00DB00FD" w:rsidRPr="004D5321" w14:paraId="2860C0EF" w14:textId="77777777" w:rsidTr="00A501D9">
        <w:tc>
          <w:tcPr>
            <w:tcW w:w="1169" w:type="pct"/>
          </w:tcPr>
          <w:p w14:paraId="550F9E8B" w14:textId="77777777" w:rsidR="00DB00FD" w:rsidRPr="004D5321" w:rsidRDefault="00DB00FD" w:rsidP="001E2158">
            <w:pPr>
              <w:spacing w:after="120" w:line="240" w:lineRule="auto"/>
            </w:pPr>
            <w:r w:rsidRPr="004D5321">
              <w:t>Szacowany kosz</w:t>
            </w:r>
            <w:r>
              <w:t>t</w:t>
            </w:r>
          </w:p>
        </w:tc>
        <w:tc>
          <w:tcPr>
            <w:tcW w:w="3831" w:type="pct"/>
          </w:tcPr>
          <w:p w14:paraId="53420FB0" w14:textId="77777777" w:rsidR="00DB00FD" w:rsidRPr="00083559" w:rsidRDefault="00DB00FD" w:rsidP="001E2158">
            <w:pPr>
              <w:spacing w:after="120" w:line="240" w:lineRule="auto"/>
            </w:pPr>
            <w:r w:rsidRPr="00083559">
              <w:t>Bez zmian</w:t>
            </w:r>
          </w:p>
        </w:tc>
      </w:tr>
      <w:tr w:rsidR="00DB00FD" w:rsidRPr="004D5321" w14:paraId="5A415A08" w14:textId="77777777" w:rsidTr="00A501D9">
        <w:tc>
          <w:tcPr>
            <w:tcW w:w="1169" w:type="pct"/>
          </w:tcPr>
          <w:p w14:paraId="22D65D2E" w14:textId="77777777" w:rsidR="00DB00FD" w:rsidRPr="004D5321" w:rsidRDefault="00DB00FD" w:rsidP="001E2158">
            <w:pPr>
              <w:spacing w:after="120" w:line="240" w:lineRule="auto"/>
            </w:pPr>
            <w:r w:rsidRPr="004D5321">
              <w:t>Klimatyczny i cyfrowy tagging</w:t>
            </w:r>
          </w:p>
        </w:tc>
        <w:tc>
          <w:tcPr>
            <w:tcW w:w="3831" w:type="pct"/>
          </w:tcPr>
          <w:p w14:paraId="14C164B6" w14:textId="77777777" w:rsidR="00DB00FD" w:rsidRPr="00083559" w:rsidRDefault="00DB00FD" w:rsidP="001E2158">
            <w:pPr>
              <w:spacing w:after="120" w:line="240" w:lineRule="auto"/>
            </w:pPr>
            <w:r w:rsidRPr="00083559">
              <w:t>Zmiana nie ma wpływu na tagging klimatyczny i cyfrowy</w:t>
            </w:r>
          </w:p>
        </w:tc>
      </w:tr>
      <w:tr w:rsidR="00DB00FD" w:rsidRPr="004D5321" w14:paraId="55D6813A" w14:textId="77777777" w:rsidTr="00A501D9">
        <w:tc>
          <w:tcPr>
            <w:tcW w:w="1169" w:type="pct"/>
          </w:tcPr>
          <w:p w14:paraId="1827BC6D" w14:textId="77777777" w:rsidR="00DB00FD" w:rsidRPr="004D5321" w:rsidRDefault="00DB00FD" w:rsidP="001E2158">
            <w:pPr>
              <w:spacing w:after="120" w:line="240" w:lineRule="auto"/>
            </w:pPr>
            <w:r w:rsidRPr="004D5321">
              <w:t xml:space="preserve">Ocena DNSH </w:t>
            </w:r>
          </w:p>
        </w:tc>
        <w:tc>
          <w:tcPr>
            <w:tcW w:w="3831" w:type="pct"/>
          </w:tcPr>
          <w:p w14:paraId="47745B11" w14:textId="77777777" w:rsidR="00DB00FD" w:rsidRPr="00083559" w:rsidRDefault="00DB00FD" w:rsidP="001E2158">
            <w:pPr>
              <w:spacing w:after="120" w:line="240" w:lineRule="auto"/>
            </w:pPr>
            <w:r w:rsidRPr="00083559">
              <w:t>Zmiana nie ma wpływu na DNSH</w:t>
            </w:r>
          </w:p>
        </w:tc>
      </w:tr>
    </w:tbl>
    <w:p w14:paraId="2128770C" w14:textId="77777777" w:rsidR="00DB00FD" w:rsidRDefault="00DB00FD" w:rsidP="00DB00FD">
      <w:pPr>
        <w:spacing w:after="120" w:line="240" w:lineRule="auto"/>
        <w:jc w:val="left"/>
        <w:rPr>
          <w:rFonts w:eastAsia="Calibri"/>
          <w:b/>
          <w:bCs/>
        </w:rPr>
      </w:pPr>
    </w:p>
    <w:tbl>
      <w:tblPr>
        <w:tblW w:w="47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1"/>
        <w:gridCol w:w="3554"/>
        <w:gridCol w:w="3108"/>
      </w:tblGrid>
      <w:tr w:rsidR="00DB00FD" w:rsidRPr="00AF3A31" w14:paraId="3867941C" w14:textId="77777777" w:rsidTr="00A501D9">
        <w:tc>
          <w:tcPr>
            <w:tcW w:w="1146" w:type="pct"/>
            <w:shd w:val="clear" w:color="auto" w:fill="auto"/>
          </w:tcPr>
          <w:p w14:paraId="286BCD32" w14:textId="77777777" w:rsidR="00DB00FD" w:rsidRPr="008F19AE" w:rsidRDefault="00DB00FD" w:rsidP="001E2158">
            <w:pPr>
              <w:spacing w:after="120" w:line="240" w:lineRule="auto"/>
              <w:jc w:val="left"/>
              <w:rPr>
                <w:rFonts w:eastAsia="Calibri"/>
                <w:b/>
                <w:bCs/>
              </w:rPr>
            </w:pPr>
            <w:r w:rsidRPr="008F19AE">
              <w:rPr>
                <w:rFonts w:eastAsia="Calibri"/>
                <w:b/>
                <w:bCs/>
              </w:rPr>
              <w:t>Numer inwestycji</w:t>
            </w:r>
          </w:p>
        </w:tc>
        <w:tc>
          <w:tcPr>
            <w:tcW w:w="3854" w:type="pct"/>
            <w:gridSpan w:val="2"/>
            <w:shd w:val="clear" w:color="auto" w:fill="auto"/>
          </w:tcPr>
          <w:p w14:paraId="4AABB5BB" w14:textId="77777777" w:rsidR="00DB00FD" w:rsidRPr="008F19AE" w:rsidRDefault="00DB00FD" w:rsidP="001E2158">
            <w:pPr>
              <w:spacing w:after="120"/>
              <w:ind w:left="550" w:hanging="567"/>
              <w:contextualSpacing/>
              <w:rPr>
                <w:b/>
                <w:bCs/>
              </w:rPr>
            </w:pPr>
            <w:r w:rsidRPr="008F19AE">
              <w:rPr>
                <w:b/>
                <w:bCs/>
              </w:rPr>
              <w:t>D1.2.1.</w:t>
            </w:r>
          </w:p>
        </w:tc>
      </w:tr>
      <w:tr w:rsidR="00DB00FD" w:rsidRPr="00935797" w14:paraId="706F091E" w14:textId="77777777" w:rsidTr="00A501D9">
        <w:tc>
          <w:tcPr>
            <w:tcW w:w="1146" w:type="pct"/>
            <w:shd w:val="clear" w:color="auto" w:fill="auto"/>
          </w:tcPr>
          <w:p w14:paraId="78A9D374" w14:textId="77777777" w:rsidR="00DB00FD" w:rsidRPr="008F19AE" w:rsidRDefault="00DB00FD" w:rsidP="001E2158">
            <w:pPr>
              <w:spacing w:after="120"/>
              <w:ind w:left="67"/>
              <w:contextualSpacing/>
              <w:rPr>
                <w:b/>
                <w:bCs/>
              </w:rPr>
            </w:pPr>
            <w:r w:rsidRPr="008F19AE">
              <w:rPr>
                <w:b/>
                <w:bCs/>
              </w:rPr>
              <w:t xml:space="preserve">Nazwa inwestycji </w:t>
            </w:r>
          </w:p>
        </w:tc>
        <w:tc>
          <w:tcPr>
            <w:tcW w:w="3854" w:type="pct"/>
            <w:gridSpan w:val="2"/>
            <w:shd w:val="clear" w:color="auto" w:fill="auto"/>
          </w:tcPr>
          <w:p w14:paraId="26220ED1" w14:textId="77777777" w:rsidR="00DB00FD" w:rsidRDefault="00DB00FD" w:rsidP="001E2158">
            <w:pPr>
              <w:spacing w:after="120"/>
              <w:contextualSpacing/>
              <w:rPr>
                <w:lang w:eastAsia="pl-PL"/>
              </w:rPr>
            </w:pPr>
            <w:r w:rsidRPr="008F19AE">
              <w:rPr>
                <w:b/>
                <w:bCs/>
              </w:rPr>
              <w:t>Rozwój opieki długoterminowej poprzez modernizację infrastruktury podmiotów leczniczych na poziomie powiatowym</w:t>
            </w:r>
            <w:r w:rsidRPr="008F19AE" w:rsidDel="007A4127">
              <w:rPr>
                <w:lang w:eastAsia="pl-PL"/>
              </w:rPr>
              <w:t xml:space="preserve"> </w:t>
            </w:r>
          </w:p>
          <w:p w14:paraId="039F1D34" w14:textId="77777777" w:rsidR="00DB00FD" w:rsidRPr="008F19AE" w:rsidRDefault="00DB00FD" w:rsidP="001E2158">
            <w:pPr>
              <w:spacing w:after="120"/>
              <w:contextualSpacing/>
              <w:rPr>
                <w:b/>
                <w:bCs/>
                <w:lang w:val="en-US"/>
              </w:rPr>
            </w:pPr>
            <w:r w:rsidRPr="008F19AE">
              <w:rPr>
                <w:b/>
                <w:bCs/>
                <w:lang w:val="en-GB"/>
              </w:rPr>
              <w:t xml:space="preserve">Development of long-term care by modernisation of medical entities’ infrastructure at district level </w:t>
            </w:r>
          </w:p>
          <w:p w14:paraId="0A300CFD" w14:textId="77777777" w:rsidR="00DB00FD" w:rsidRPr="008F19AE" w:rsidRDefault="00DB00FD" w:rsidP="001E2158">
            <w:pPr>
              <w:spacing w:after="120"/>
              <w:contextualSpacing/>
              <w:rPr>
                <w:b/>
                <w:bCs/>
                <w:lang w:val="en-GB"/>
              </w:rPr>
            </w:pPr>
          </w:p>
        </w:tc>
      </w:tr>
      <w:tr w:rsidR="00DB00FD" w:rsidRPr="00935797" w14:paraId="750BADEC" w14:textId="77777777" w:rsidTr="00A501D9">
        <w:trPr>
          <w:trHeight w:val="1212"/>
        </w:trPr>
        <w:tc>
          <w:tcPr>
            <w:tcW w:w="1146" w:type="pct"/>
            <w:shd w:val="clear" w:color="auto" w:fill="auto"/>
          </w:tcPr>
          <w:p w14:paraId="6EBDC17A" w14:textId="77777777" w:rsidR="00DB00FD" w:rsidRPr="00AF3A31" w:rsidRDefault="00DB00FD" w:rsidP="001E2158">
            <w:pPr>
              <w:spacing w:after="120"/>
              <w:ind w:left="67"/>
              <w:contextualSpacing/>
            </w:pPr>
            <w:r w:rsidRPr="00AF3A31">
              <w:t>Rodzaj wprowadzonej zmiany w odniesieniu do CID</w:t>
            </w:r>
          </w:p>
        </w:tc>
        <w:tc>
          <w:tcPr>
            <w:tcW w:w="3854" w:type="pct"/>
            <w:gridSpan w:val="2"/>
            <w:shd w:val="clear" w:color="auto" w:fill="auto"/>
          </w:tcPr>
          <w:p w14:paraId="00B44FA6" w14:textId="77777777" w:rsidR="00DB00FD" w:rsidRPr="009D1150" w:rsidRDefault="00DB00FD" w:rsidP="001E2158">
            <w:pPr>
              <w:spacing w:line="259" w:lineRule="auto"/>
              <w:jc w:val="left"/>
              <w:rPr>
                <w:rFonts w:eastAsia="Calibri"/>
                <w:sz w:val="23"/>
                <w:szCs w:val="23"/>
              </w:rPr>
            </w:pPr>
            <w:r w:rsidRPr="009D1150">
              <w:rPr>
                <w:rFonts w:eastAsia="Calibri"/>
                <w:sz w:val="23"/>
                <w:szCs w:val="23"/>
              </w:rPr>
              <w:t>Przeniesienie inwestycji z części pożyczkowej do części grantowej KPO.</w:t>
            </w:r>
          </w:p>
          <w:p w14:paraId="20603D31" w14:textId="77777777" w:rsidR="00DB00FD" w:rsidRPr="009D1150" w:rsidRDefault="00DB00FD" w:rsidP="001E2158">
            <w:pPr>
              <w:spacing w:line="259" w:lineRule="auto"/>
              <w:jc w:val="left"/>
              <w:rPr>
                <w:rFonts w:eastAsia="Calibri"/>
                <w:sz w:val="23"/>
                <w:szCs w:val="23"/>
              </w:rPr>
            </w:pPr>
            <w:r w:rsidRPr="009D1150">
              <w:rPr>
                <w:rFonts w:eastAsia="Calibri"/>
                <w:sz w:val="23"/>
                <w:szCs w:val="23"/>
              </w:rPr>
              <w:t>Zwiększenie budżetu do 300 mln EUR.</w:t>
            </w:r>
          </w:p>
          <w:p w14:paraId="271848E3" w14:textId="77777777" w:rsidR="00DB00FD" w:rsidRPr="009D1150" w:rsidRDefault="00DB00FD" w:rsidP="001E2158">
            <w:pPr>
              <w:spacing w:line="259" w:lineRule="auto"/>
              <w:jc w:val="left"/>
              <w:rPr>
                <w:rFonts w:eastAsia="Calibri"/>
                <w:sz w:val="23"/>
                <w:szCs w:val="23"/>
              </w:rPr>
            </w:pPr>
            <w:r w:rsidRPr="009D1150">
              <w:rPr>
                <w:rFonts w:eastAsia="Calibri"/>
                <w:sz w:val="23"/>
                <w:szCs w:val="23"/>
              </w:rPr>
              <w:t>Zmiana wartości wskaźnikow D4L-D5L</w:t>
            </w:r>
          </w:p>
          <w:p w14:paraId="69B0E166" w14:textId="77777777" w:rsidR="00DB00FD" w:rsidRPr="009D1150" w:rsidRDefault="00DB00FD" w:rsidP="001E2158">
            <w:pPr>
              <w:spacing w:line="259" w:lineRule="auto"/>
              <w:jc w:val="left"/>
              <w:rPr>
                <w:rFonts w:eastAsia="Calibri"/>
                <w:sz w:val="23"/>
                <w:szCs w:val="23"/>
              </w:rPr>
            </w:pPr>
            <w:r w:rsidRPr="009D1150">
              <w:rPr>
                <w:rFonts w:eastAsia="Calibri"/>
                <w:sz w:val="23"/>
                <w:szCs w:val="23"/>
              </w:rPr>
              <w:t xml:space="preserve">Zmiana terminów wskaźnika D3L </w:t>
            </w:r>
          </w:p>
          <w:p w14:paraId="41C3FFB3" w14:textId="77777777" w:rsidR="00DB00FD" w:rsidRPr="009D1150"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sz w:val="23"/>
                <w:szCs w:val="23"/>
                <w:lang w:val="en" w:eastAsia="pl-PL"/>
              </w:rPr>
            </w:pPr>
            <w:r w:rsidRPr="009D1150">
              <w:rPr>
                <w:sz w:val="23"/>
                <w:szCs w:val="23"/>
                <w:lang w:val="en" w:eastAsia="pl-PL"/>
              </w:rPr>
              <w:t>Transferring the investment from the loan part to the grant part of the KPO.</w:t>
            </w:r>
          </w:p>
          <w:p w14:paraId="17355EEE" w14:textId="77777777" w:rsidR="00DB00FD" w:rsidRPr="009D1150"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sz w:val="23"/>
                <w:szCs w:val="23"/>
                <w:lang w:val="en" w:eastAsia="pl-PL"/>
              </w:rPr>
            </w:pPr>
            <w:r w:rsidRPr="009D1150">
              <w:rPr>
                <w:sz w:val="23"/>
                <w:szCs w:val="23"/>
                <w:lang w:val="en" w:eastAsia="pl-PL"/>
              </w:rPr>
              <w:t>Budget increase to EUR 300 million.</w:t>
            </w:r>
          </w:p>
          <w:p w14:paraId="75878F53" w14:textId="77777777" w:rsidR="00DB00FD" w:rsidRPr="009D1150"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sz w:val="23"/>
                <w:szCs w:val="23"/>
                <w:lang w:val="en" w:eastAsia="pl-PL"/>
              </w:rPr>
            </w:pPr>
            <w:r w:rsidRPr="009D1150">
              <w:rPr>
                <w:sz w:val="23"/>
                <w:szCs w:val="23"/>
                <w:lang w:val="en" w:eastAsia="pl-PL"/>
              </w:rPr>
              <w:t>Change in the values ​​of D4L-D5L indicators</w:t>
            </w:r>
          </w:p>
          <w:p w14:paraId="438233D8" w14:textId="1BAB3916" w:rsidR="00DB00FD" w:rsidRPr="00A501D9" w:rsidRDefault="00DB00FD" w:rsidP="00A501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hAnsi="Courier New" w:cs="Courier New"/>
                <w:sz w:val="23"/>
                <w:szCs w:val="23"/>
                <w:lang w:val="en-GB" w:eastAsia="pl-PL"/>
              </w:rPr>
            </w:pPr>
            <w:r w:rsidRPr="009D1150">
              <w:rPr>
                <w:sz w:val="23"/>
                <w:szCs w:val="23"/>
                <w:lang w:val="en" w:eastAsia="pl-PL"/>
              </w:rPr>
              <w:t>Change of D3L indicator completion date.</w:t>
            </w:r>
          </w:p>
        </w:tc>
      </w:tr>
      <w:tr w:rsidR="00DB00FD" w:rsidRPr="00935797" w14:paraId="5A581340" w14:textId="77777777" w:rsidTr="00A501D9">
        <w:tc>
          <w:tcPr>
            <w:tcW w:w="1146" w:type="pct"/>
            <w:shd w:val="clear" w:color="auto" w:fill="auto"/>
          </w:tcPr>
          <w:p w14:paraId="5C1C2960" w14:textId="77777777" w:rsidR="00DB00FD" w:rsidRPr="00AF3A31" w:rsidRDefault="00DB00FD" w:rsidP="001E2158">
            <w:pPr>
              <w:spacing w:after="120"/>
              <w:ind w:left="67"/>
              <w:contextualSpacing/>
            </w:pPr>
            <w:r w:rsidRPr="00AF3A31">
              <w:t>Podstawa prawna zmiany</w:t>
            </w:r>
          </w:p>
        </w:tc>
        <w:tc>
          <w:tcPr>
            <w:tcW w:w="3854" w:type="pct"/>
            <w:gridSpan w:val="2"/>
            <w:shd w:val="clear" w:color="auto" w:fill="auto"/>
          </w:tcPr>
          <w:p w14:paraId="3F6C1E6B" w14:textId="77777777" w:rsidR="00DB00FD" w:rsidRDefault="00DB00FD" w:rsidP="001E2158">
            <w:pPr>
              <w:contextualSpacing/>
            </w:pPr>
            <w:r w:rsidRPr="00AF3A31">
              <w:t>art. 21 rozporządzenia Parlamentu Europejskiego i Rady (UE) 2021/241 z dnia 12 lutego 2021 r. ustanawiającego Instrument na rzecz Odbudowy i Zwiększania Odporności</w:t>
            </w:r>
          </w:p>
          <w:p w14:paraId="3D0DED5E" w14:textId="12B9CF98" w:rsidR="00DB00FD" w:rsidRPr="00A501D9" w:rsidRDefault="00DB00FD" w:rsidP="00A501D9">
            <w:pPr>
              <w:spacing w:after="120" w:line="240" w:lineRule="auto"/>
              <w:contextualSpacing/>
              <w:rPr>
                <w:rFonts w:eastAsia="Calibri"/>
                <w:color w:val="000000"/>
                <w:lang w:val="en-GB" w:eastAsia="en-GB"/>
              </w:rPr>
            </w:pPr>
            <w:r>
              <w:rPr>
                <w:rFonts w:eastAsia="Calibri"/>
                <w:color w:val="000000"/>
                <w:lang w:val="en-GB" w:eastAsia="en-GB"/>
              </w:rPr>
              <w:t>article 21 of Regulation (EU) 2021/241 of the European Parliament and of the Council of 12 February 2021 establishing an Instrument for Reconstruction and Increasing Resilience</w:t>
            </w:r>
          </w:p>
        </w:tc>
      </w:tr>
      <w:tr w:rsidR="00DB00FD" w:rsidRPr="00AF3A31" w14:paraId="300A719E" w14:textId="77777777" w:rsidTr="00A501D9">
        <w:tc>
          <w:tcPr>
            <w:tcW w:w="1146" w:type="pct"/>
            <w:shd w:val="clear" w:color="auto" w:fill="auto"/>
          </w:tcPr>
          <w:p w14:paraId="7FE771DC" w14:textId="77777777" w:rsidR="00DB00FD" w:rsidRPr="008F19AE" w:rsidRDefault="00DB00FD" w:rsidP="001E2158">
            <w:pPr>
              <w:spacing w:after="120" w:line="240" w:lineRule="auto"/>
            </w:pPr>
            <w:r w:rsidRPr="008F19AE">
              <w:t>Modyfikowany element</w:t>
            </w:r>
          </w:p>
        </w:tc>
        <w:tc>
          <w:tcPr>
            <w:tcW w:w="2056" w:type="pct"/>
            <w:shd w:val="clear" w:color="auto" w:fill="auto"/>
          </w:tcPr>
          <w:p w14:paraId="6D080F89" w14:textId="77777777" w:rsidR="00DB00FD" w:rsidRPr="008F19AE" w:rsidRDefault="00DB00FD" w:rsidP="001E2158">
            <w:pPr>
              <w:spacing w:line="240" w:lineRule="auto"/>
            </w:pPr>
            <w:r w:rsidRPr="008F19AE">
              <w:t>Bieżąca wersja</w:t>
            </w:r>
          </w:p>
        </w:tc>
        <w:tc>
          <w:tcPr>
            <w:tcW w:w="1798" w:type="pct"/>
            <w:shd w:val="clear" w:color="auto" w:fill="auto"/>
          </w:tcPr>
          <w:p w14:paraId="6948FC78" w14:textId="77777777" w:rsidR="00DB00FD" w:rsidRPr="008F19AE" w:rsidRDefault="00DB00FD" w:rsidP="001E2158">
            <w:pPr>
              <w:spacing w:line="240" w:lineRule="auto"/>
            </w:pPr>
            <w:r w:rsidRPr="008F19AE">
              <w:t>Wersja zmieniona</w:t>
            </w:r>
          </w:p>
        </w:tc>
      </w:tr>
      <w:tr w:rsidR="00DB00FD" w:rsidRPr="00AF3A31" w14:paraId="22504B38" w14:textId="77777777" w:rsidTr="00A501D9">
        <w:tc>
          <w:tcPr>
            <w:tcW w:w="1146" w:type="pct"/>
            <w:shd w:val="clear" w:color="auto" w:fill="auto"/>
          </w:tcPr>
          <w:p w14:paraId="1BB59510" w14:textId="77777777" w:rsidR="00DB00FD" w:rsidRPr="008F19AE" w:rsidRDefault="00DB00FD" w:rsidP="001E2158">
            <w:pPr>
              <w:spacing w:after="120" w:line="240" w:lineRule="auto"/>
            </w:pPr>
          </w:p>
        </w:tc>
        <w:tc>
          <w:tcPr>
            <w:tcW w:w="2056" w:type="pct"/>
            <w:shd w:val="clear" w:color="auto" w:fill="auto"/>
          </w:tcPr>
          <w:p w14:paraId="20245869" w14:textId="77777777" w:rsidR="00DB00FD" w:rsidRPr="008F19AE" w:rsidRDefault="00DB00FD" w:rsidP="001E2158">
            <w:pPr>
              <w:spacing w:line="240" w:lineRule="auto"/>
              <w:jc w:val="left"/>
              <w:rPr>
                <w:b/>
                <w:bCs/>
              </w:rPr>
            </w:pPr>
            <w:r w:rsidRPr="008F19AE">
              <w:rPr>
                <w:b/>
                <w:bCs/>
              </w:rPr>
              <w:t>D3L</w:t>
            </w:r>
          </w:p>
          <w:p w14:paraId="2D608691" w14:textId="77777777" w:rsidR="00DB00FD" w:rsidRPr="008F19AE" w:rsidRDefault="00DB00FD" w:rsidP="001E2158">
            <w:pPr>
              <w:spacing w:line="240" w:lineRule="auto"/>
              <w:jc w:val="left"/>
              <w:rPr>
                <w:rFonts w:cstheme="minorHAnsi"/>
                <w:color w:val="000000"/>
                <w:lang w:eastAsia="pl-PL"/>
              </w:rPr>
            </w:pPr>
            <w:r w:rsidRPr="008F19AE">
              <w:rPr>
                <w:rFonts w:cstheme="minorHAnsi"/>
                <w:color w:val="000000"/>
                <w:lang w:eastAsia="pl-PL"/>
              </w:rPr>
              <w:t xml:space="preserve">Lista szpitali powiatowych wybranych do dodatkowego wsparcia tworzenia łóżek długoterminowych i geriatrycznych, na podstawie określonych kryteriów wyboru </w:t>
            </w:r>
          </w:p>
          <w:p w14:paraId="6B173B05" w14:textId="77777777" w:rsidR="00DB00FD" w:rsidRPr="008F19AE" w:rsidRDefault="00DB00FD" w:rsidP="001E2158">
            <w:pPr>
              <w:spacing w:line="240" w:lineRule="auto"/>
              <w:jc w:val="left"/>
            </w:pPr>
            <w:r w:rsidRPr="008F19AE">
              <w:t>Termin realizacji: II kw. 2024 r.</w:t>
            </w:r>
          </w:p>
        </w:tc>
        <w:tc>
          <w:tcPr>
            <w:tcW w:w="1798" w:type="pct"/>
            <w:shd w:val="clear" w:color="auto" w:fill="auto"/>
          </w:tcPr>
          <w:p w14:paraId="7540208E" w14:textId="77777777" w:rsidR="00DB00FD" w:rsidRPr="008F19AE" w:rsidRDefault="00DB00FD" w:rsidP="001E2158">
            <w:pPr>
              <w:spacing w:line="240" w:lineRule="auto"/>
              <w:jc w:val="left"/>
              <w:rPr>
                <w:b/>
                <w:bCs/>
              </w:rPr>
            </w:pPr>
            <w:r w:rsidRPr="008F19AE">
              <w:rPr>
                <w:b/>
                <w:bCs/>
              </w:rPr>
              <w:t>D3L</w:t>
            </w:r>
          </w:p>
          <w:p w14:paraId="382DDD99" w14:textId="77777777" w:rsidR="00DB00FD" w:rsidRPr="008F19AE" w:rsidRDefault="00DB00FD" w:rsidP="001E2158">
            <w:pPr>
              <w:spacing w:line="240" w:lineRule="auto"/>
              <w:jc w:val="left"/>
              <w:rPr>
                <w:rFonts w:cstheme="minorHAnsi"/>
                <w:color w:val="000000"/>
                <w:lang w:eastAsia="pl-PL"/>
              </w:rPr>
            </w:pPr>
            <w:r w:rsidRPr="008F19AE">
              <w:rPr>
                <w:rFonts w:cstheme="minorHAnsi"/>
                <w:color w:val="000000"/>
                <w:lang w:eastAsia="pl-PL"/>
              </w:rPr>
              <w:t xml:space="preserve">Lista szpitali powiatowych wybranych do dodatkowego wsparcia tworzenia łóżek długoterminowych i geriatrycznych, na podstawie określonych kryteriów wyboru </w:t>
            </w:r>
          </w:p>
          <w:p w14:paraId="529B13B8" w14:textId="77777777" w:rsidR="00DB00FD" w:rsidRPr="008F19AE" w:rsidRDefault="00DB00FD" w:rsidP="001E2158">
            <w:pPr>
              <w:spacing w:line="240" w:lineRule="auto"/>
              <w:jc w:val="left"/>
            </w:pPr>
            <w:r w:rsidRPr="008F19AE">
              <w:t xml:space="preserve">Termin realizacji: </w:t>
            </w:r>
            <w:r w:rsidRPr="008F19AE">
              <w:rPr>
                <w:color w:val="FF0000"/>
              </w:rPr>
              <w:t>IV kw. 2024 r.</w:t>
            </w:r>
          </w:p>
        </w:tc>
      </w:tr>
      <w:tr w:rsidR="00DB00FD" w:rsidRPr="00A20429" w14:paraId="579EFE79" w14:textId="77777777" w:rsidTr="00A501D9">
        <w:tc>
          <w:tcPr>
            <w:tcW w:w="1146" w:type="pct"/>
            <w:shd w:val="clear" w:color="auto" w:fill="auto"/>
          </w:tcPr>
          <w:p w14:paraId="7D6260DB" w14:textId="77777777" w:rsidR="00DB00FD" w:rsidRPr="00C424BC" w:rsidRDefault="00DB00FD" w:rsidP="001E2158">
            <w:pPr>
              <w:spacing w:after="120" w:line="240" w:lineRule="auto"/>
              <w:rPr>
                <w:highlight w:val="lightGray"/>
              </w:rPr>
            </w:pPr>
          </w:p>
        </w:tc>
        <w:tc>
          <w:tcPr>
            <w:tcW w:w="2056" w:type="pct"/>
            <w:shd w:val="clear" w:color="auto" w:fill="auto"/>
          </w:tcPr>
          <w:p w14:paraId="422AB6A2" w14:textId="77777777" w:rsidR="00DB00FD" w:rsidRPr="009D1150" w:rsidRDefault="00DB00FD" w:rsidP="001E2158">
            <w:pPr>
              <w:pStyle w:val="Default"/>
              <w:rPr>
                <w:b/>
                <w:bCs/>
                <w:sz w:val="23"/>
                <w:szCs w:val="23"/>
              </w:rPr>
            </w:pPr>
            <w:r w:rsidRPr="009D1150">
              <w:rPr>
                <w:b/>
                <w:bCs/>
                <w:sz w:val="23"/>
                <w:szCs w:val="23"/>
              </w:rPr>
              <w:t>D3L</w:t>
            </w:r>
          </w:p>
          <w:p w14:paraId="7BAD2F1A" w14:textId="77777777" w:rsidR="00DB00FD" w:rsidRPr="009D1150" w:rsidRDefault="00DB00FD" w:rsidP="001E2158">
            <w:pPr>
              <w:pStyle w:val="Default"/>
              <w:rPr>
                <w:sz w:val="23"/>
                <w:szCs w:val="23"/>
              </w:rPr>
            </w:pPr>
            <w:r w:rsidRPr="009D1150">
              <w:rPr>
                <w:sz w:val="23"/>
                <w:szCs w:val="23"/>
              </w:rPr>
              <w:t xml:space="preserve">List of district hospitals selected for the additional support for the creation of long-term and geriatric beds, based on specific selection criteria </w:t>
            </w:r>
          </w:p>
          <w:p w14:paraId="3DF4F8DF" w14:textId="77777777" w:rsidR="00DB00FD" w:rsidRPr="008F19AE" w:rsidRDefault="00DB00FD" w:rsidP="001E2158">
            <w:pPr>
              <w:pStyle w:val="Default"/>
              <w:rPr>
                <w:sz w:val="18"/>
                <w:szCs w:val="18"/>
              </w:rPr>
            </w:pPr>
            <w:r w:rsidRPr="009D1150">
              <w:rPr>
                <w:sz w:val="23"/>
                <w:szCs w:val="23"/>
              </w:rPr>
              <w:t>Date of completion: 2Q2024</w:t>
            </w:r>
          </w:p>
        </w:tc>
        <w:tc>
          <w:tcPr>
            <w:tcW w:w="1798" w:type="pct"/>
            <w:shd w:val="clear" w:color="auto" w:fill="auto"/>
          </w:tcPr>
          <w:p w14:paraId="79FC69BC" w14:textId="77777777" w:rsidR="00DB00FD" w:rsidRPr="009D1150" w:rsidRDefault="00DB00FD" w:rsidP="001E2158">
            <w:pPr>
              <w:pStyle w:val="Default"/>
              <w:rPr>
                <w:b/>
                <w:bCs/>
                <w:sz w:val="23"/>
                <w:szCs w:val="23"/>
              </w:rPr>
            </w:pPr>
            <w:r w:rsidRPr="009D1150">
              <w:rPr>
                <w:b/>
                <w:bCs/>
                <w:sz w:val="23"/>
                <w:szCs w:val="23"/>
              </w:rPr>
              <w:t>D3L</w:t>
            </w:r>
          </w:p>
          <w:p w14:paraId="6371529F" w14:textId="77777777" w:rsidR="00DB00FD" w:rsidRPr="009D1150" w:rsidRDefault="00DB00FD" w:rsidP="001E2158">
            <w:pPr>
              <w:pStyle w:val="Default"/>
              <w:rPr>
                <w:sz w:val="23"/>
                <w:szCs w:val="23"/>
              </w:rPr>
            </w:pPr>
            <w:r w:rsidRPr="009D1150">
              <w:rPr>
                <w:sz w:val="23"/>
                <w:szCs w:val="23"/>
              </w:rPr>
              <w:t xml:space="preserve">List of district hospitals selected for the additional support for the creation of long-term and geriatric beds, based on specific selection criteria </w:t>
            </w:r>
          </w:p>
          <w:p w14:paraId="0D7B8B63" w14:textId="77777777" w:rsidR="00DB00FD" w:rsidRPr="008F19AE" w:rsidRDefault="00DB00FD" w:rsidP="001E2158">
            <w:pPr>
              <w:spacing w:line="240" w:lineRule="auto"/>
              <w:jc w:val="left"/>
              <w:rPr>
                <w:highlight w:val="lightGray"/>
                <w:lang w:val="en-GB"/>
              </w:rPr>
            </w:pPr>
            <w:r w:rsidRPr="009D1150">
              <w:rPr>
                <w:sz w:val="23"/>
                <w:szCs w:val="23"/>
              </w:rPr>
              <w:t xml:space="preserve">Date of completion:  </w:t>
            </w:r>
            <w:r w:rsidRPr="009D1150">
              <w:rPr>
                <w:color w:val="FF0000"/>
                <w:sz w:val="23"/>
                <w:szCs w:val="23"/>
              </w:rPr>
              <w:t>4Q2024</w:t>
            </w:r>
          </w:p>
        </w:tc>
      </w:tr>
      <w:tr w:rsidR="00DB00FD" w:rsidRPr="00AF3A31" w14:paraId="1C951022" w14:textId="77777777" w:rsidTr="00A501D9">
        <w:tc>
          <w:tcPr>
            <w:tcW w:w="1146" w:type="pct"/>
            <w:shd w:val="clear" w:color="auto" w:fill="auto"/>
          </w:tcPr>
          <w:p w14:paraId="099559ED" w14:textId="77777777" w:rsidR="00DB00FD" w:rsidRPr="008F19AE" w:rsidRDefault="00DB00FD" w:rsidP="001E2158">
            <w:pPr>
              <w:spacing w:after="120" w:line="240" w:lineRule="auto"/>
              <w:rPr>
                <w:highlight w:val="lightGray"/>
                <w:lang w:val="en-GB"/>
              </w:rPr>
            </w:pPr>
          </w:p>
        </w:tc>
        <w:tc>
          <w:tcPr>
            <w:tcW w:w="2056" w:type="pct"/>
            <w:shd w:val="clear" w:color="auto" w:fill="auto"/>
            <w:vAlign w:val="center"/>
          </w:tcPr>
          <w:p w14:paraId="41A79723" w14:textId="77777777" w:rsidR="00DB00FD" w:rsidRPr="008F19AE" w:rsidRDefault="00DB00FD" w:rsidP="001E2158">
            <w:pPr>
              <w:spacing w:line="240" w:lineRule="auto"/>
              <w:jc w:val="left"/>
              <w:rPr>
                <w:rFonts w:cstheme="minorHAnsi"/>
                <w:b/>
                <w:bCs/>
                <w:color w:val="000000"/>
                <w:lang w:eastAsia="pl-PL"/>
              </w:rPr>
            </w:pPr>
            <w:r w:rsidRPr="008F19AE">
              <w:rPr>
                <w:rFonts w:cstheme="minorHAnsi"/>
                <w:b/>
                <w:bCs/>
                <w:color w:val="000000"/>
                <w:lang w:eastAsia="pl-PL"/>
              </w:rPr>
              <w:t>D4L</w:t>
            </w:r>
          </w:p>
          <w:p w14:paraId="555E02D7" w14:textId="77777777" w:rsidR="00DB00FD" w:rsidRPr="008F19AE" w:rsidRDefault="00DB00FD" w:rsidP="001E2158">
            <w:pPr>
              <w:spacing w:line="240" w:lineRule="auto"/>
              <w:jc w:val="left"/>
              <w:rPr>
                <w:rFonts w:cstheme="minorHAnsi"/>
                <w:color w:val="000000"/>
                <w:lang w:eastAsia="pl-PL"/>
              </w:rPr>
            </w:pPr>
            <w:r w:rsidRPr="008F19AE">
              <w:rPr>
                <w:rFonts w:cstheme="minorHAnsi"/>
                <w:color w:val="000000"/>
                <w:lang w:eastAsia="pl-PL"/>
              </w:rPr>
              <w:t>Podpisane umowy pomiędzy szpitalami powiatowymi a Ministerstwem Zdrowia (lub inną instytucją wskazaną przez Ministerstwo) na wsparcie inwestycyjne w tworzeniu jednostek/ośrodków opieki długoterminowej i geriatrycznej:</w:t>
            </w:r>
          </w:p>
          <w:p w14:paraId="129FC5E1" w14:textId="77777777" w:rsidR="00DB00FD" w:rsidRPr="008F19AE" w:rsidRDefault="00DB00FD" w:rsidP="001E2158">
            <w:pPr>
              <w:spacing w:line="240" w:lineRule="auto"/>
              <w:jc w:val="left"/>
              <w:rPr>
                <w:rFonts w:cstheme="minorHAnsi"/>
                <w:color w:val="000000"/>
                <w:lang w:eastAsia="pl-PL"/>
              </w:rPr>
            </w:pPr>
            <w:r w:rsidRPr="008F19AE">
              <w:rPr>
                <w:rFonts w:cstheme="minorHAnsi"/>
                <w:color w:val="000000"/>
                <w:lang w:eastAsia="pl-PL"/>
              </w:rPr>
              <w:t>Wartość wskaźnika: 50</w:t>
            </w:r>
          </w:p>
          <w:p w14:paraId="1676FF10" w14:textId="77777777" w:rsidR="00DB00FD" w:rsidRPr="008F19AE" w:rsidRDefault="00DB00FD" w:rsidP="001E2158">
            <w:pPr>
              <w:spacing w:line="240" w:lineRule="auto"/>
              <w:jc w:val="left"/>
            </w:pPr>
            <w:r w:rsidRPr="00DB00FD">
              <w:t>Termin realizacji: IV kw. 2024 r.</w:t>
            </w:r>
          </w:p>
        </w:tc>
        <w:tc>
          <w:tcPr>
            <w:tcW w:w="1798" w:type="pct"/>
            <w:shd w:val="clear" w:color="auto" w:fill="auto"/>
          </w:tcPr>
          <w:p w14:paraId="6E23D6BC" w14:textId="77777777" w:rsidR="00DB00FD" w:rsidRPr="008F19AE" w:rsidRDefault="00DB00FD" w:rsidP="001E2158">
            <w:pPr>
              <w:spacing w:line="240" w:lineRule="auto"/>
              <w:jc w:val="left"/>
              <w:rPr>
                <w:rFonts w:cstheme="minorHAnsi"/>
                <w:color w:val="000000"/>
                <w:lang w:eastAsia="pl-PL"/>
              </w:rPr>
            </w:pPr>
            <w:r w:rsidRPr="008F19AE">
              <w:rPr>
                <w:rFonts w:cstheme="minorHAnsi"/>
                <w:b/>
                <w:bCs/>
                <w:color w:val="000000"/>
                <w:lang w:eastAsia="pl-PL"/>
              </w:rPr>
              <w:t>D4L</w:t>
            </w:r>
          </w:p>
          <w:p w14:paraId="6FF1E6E6" w14:textId="77777777" w:rsidR="00DB00FD" w:rsidRPr="008F19AE" w:rsidRDefault="00DB00FD" w:rsidP="001E2158">
            <w:pPr>
              <w:spacing w:line="240" w:lineRule="auto"/>
              <w:jc w:val="left"/>
              <w:rPr>
                <w:rFonts w:cstheme="minorHAnsi"/>
                <w:color w:val="000000"/>
                <w:lang w:eastAsia="pl-PL"/>
              </w:rPr>
            </w:pPr>
            <w:r w:rsidRPr="008F19AE">
              <w:rPr>
                <w:rFonts w:cstheme="minorHAnsi"/>
                <w:color w:val="000000"/>
                <w:lang w:eastAsia="pl-PL"/>
              </w:rPr>
              <w:t>Podpisane umowy pomiędzy szpitalami powiatowymi a Ministerstwem Zdrowia (lub inną instytucją wskazaną przez Ministerstwo) na wsparcie inwestycyjne w tworzeniu jednostek/ośrodków opieki długoterminowej i geriatrycznej:</w:t>
            </w:r>
          </w:p>
          <w:p w14:paraId="2E340875" w14:textId="77777777" w:rsidR="00DB00FD" w:rsidRPr="003B5185" w:rsidRDefault="00DB00FD" w:rsidP="001E2158">
            <w:pPr>
              <w:spacing w:line="240" w:lineRule="auto"/>
              <w:jc w:val="left"/>
              <w:rPr>
                <w:rFonts w:cstheme="minorHAnsi"/>
                <w:color w:val="FF0000"/>
                <w:lang w:eastAsia="pl-PL"/>
              </w:rPr>
            </w:pPr>
            <w:r w:rsidRPr="008F19AE">
              <w:rPr>
                <w:rFonts w:cstheme="minorHAnsi"/>
                <w:color w:val="000000"/>
                <w:lang w:eastAsia="pl-PL"/>
              </w:rPr>
              <w:t xml:space="preserve">Wartość wskaźnika: </w:t>
            </w:r>
            <w:r w:rsidRPr="005B3603">
              <w:rPr>
                <w:rFonts w:cstheme="minorHAnsi"/>
                <w:color w:val="FF0000"/>
                <w:lang w:eastAsia="pl-PL"/>
              </w:rPr>
              <w:t>37</w:t>
            </w:r>
            <w:r w:rsidRPr="003B5185">
              <w:rPr>
                <w:rFonts w:cstheme="minorHAnsi"/>
                <w:color w:val="FF0000"/>
                <w:lang w:eastAsia="pl-PL"/>
              </w:rPr>
              <w:t xml:space="preserve"> </w:t>
            </w:r>
          </w:p>
          <w:p w14:paraId="1D353092" w14:textId="77777777" w:rsidR="00DB00FD" w:rsidRPr="008F19AE" w:rsidRDefault="00DB00FD" w:rsidP="001E2158">
            <w:pPr>
              <w:spacing w:line="240" w:lineRule="auto"/>
              <w:jc w:val="left"/>
              <w:rPr>
                <w:rFonts w:cstheme="minorHAnsi"/>
                <w:color w:val="000000"/>
                <w:lang w:eastAsia="pl-PL"/>
              </w:rPr>
            </w:pPr>
            <w:r w:rsidRPr="003B5185">
              <w:t xml:space="preserve">Termin realizacji: </w:t>
            </w:r>
            <w:r w:rsidRPr="005B3603">
              <w:rPr>
                <w:color w:val="FF0000"/>
              </w:rPr>
              <w:t>I</w:t>
            </w:r>
            <w:r w:rsidRPr="003B5185">
              <w:rPr>
                <w:color w:val="FF0000"/>
              </w:rPr>
              <w:t xml:space="preserve"> kw. 2025 r.</w:t>
            </w:r>
          </w:p>
        </w:tc>
      </w:tr>
      <w:tr w:rsidR="00DB00FD" w:rsidRPr="003C0C8F" w14:paraId="039A2CDF" w14:textId="77777777" w:rsidTr="00A501D9">
        <w:tc>
          <w:tcPr>
            <w:tcW w:w="1146" w:type="pct"/>
            <w:shd w:val="clear" w:color="auto" w:fill="auto"/>
          </w:tcPr>
          <w:p w14:paraId="1D989995" w14:textId="77777777" w:rsidR="00DB00FD" w:rsidRPr="0056086B" w:rsidRDefault="00DB00FD" w:rsidP="001E2158">
            <w:pPr>
              <w:spacing w:after="120" w:line="240" w:lineRule="auto"/>
              <w:rPr>
                <w:highlight w:val="lightGray"/>
              </w:rPr>
            </w:pPr>
          </w:p>
        </w:tc>
        <w:tc>
          <w:tcPr>
            <w:tcW w:w="2056" w:type="pct"/>
            <w:shd w:val="clear" w:color="auto" w:fill="auto"/>
            <w:vAlign w:val="center"/>
          </w:tcPr>
          <w:p w14:paraId="0248A992" w14:textId="77777777" w:rsidR="00DB00FD" w:rsidRPr="009D1150" w:rsidRDefault="00DB00FD" w:rsidP="001E2158">
            <w:pPr>
              <w:spacing w:line="240" w:lineRule="auto"/>
              <w:jc w:val="left"/>
              <w:rPr>
                <w:rFonts w:cstheme="minorHAnsi"/>
                <w:b/>
                <w:bCs/>
                <w:color w:val="000000"/>
                <w:sz w:val="23"/>
                <w:szCs w:val="23"/>
                <w:lang w:val="en-GB" w:eastAsia="pl-PL"/>
              </w:rPr>
            </w:pPr>
            <w:r w:rsidRPr="009D1150">
              <w:rPr>
                <w:rFonts w:cstheme="minorHAnsi"/>
                <w:b/>
                <w:bCs/>
                <w:color w:val="000000"/>
                <w:sz w:val="23"/>
                <w:szCs w:val="23"/>
                <w:lang w:val="en-GB" w:eastAsia="pl-PL"/>
              </w:rPr>
              <w:t>D4L</w:t>
            </w:r>
          </w:p>
          <w:p w14:paraId="389E019C" w14:textId="77777777" w:rsidR="00DB00FD" w:rsidRPr="009D1150" w:rsidRDefault="00DB00FD" w:rsidP="001E2158">
            <w:pPr>
              <w:pStyle w:val="Default"/>
              <w:rPr>
                <w:sz w:val="23"/>
                <w:szCs w:val="23"/>
              </w:rPr>
            </w:pPr>
            <w:r w:rsidRPr="009D1150">
              <w:rPr>
                <w:sz w:val="23"/>
                <w:szCs w:val="23"/>
              </w:rPr>
              <w:t xml:space="preserve">Signed contracts between district hospitals and the Ministry of Health (or other institution indicated by Ministry) for investment support in creating long-term care and </w:t>
            </w:r>
          </w:p>
          <w:p w14:paraId="20B080AA" w14:textId="77777777" w:rsidR="00DB00FD" w:rsidRPr="009D1150" w:rsidRDefault="00DB00FD" w:rsidP="001E2158">
            <w:pPr>
              <w:pStyle w:val="Default"/>
              <w:rPr>
                <w:sz w:val="23"/>
                <w:szCs w:val="23"/>
              </w:rPr>
            </w:pPr>
            <w:r w:rsidRPr="009D1150">
              <w:rPr>
                <w:sz w:val="23"/>
                <w:szCs w:val="23"/>
              </w:rPr>
              <w:t xml:space="preserve">geriatric care units/centres </w:t>
            </w:r>
          </w:p>
          <w:p w14:paraId="2E44ACB6" w14:textId="77777777" w:rsidR="00DB00FD" w:rsidRPr="009D1150" w:rsidRDefault="00DB00FD" w:rsidP="001E2158">
            <w:pPr>
              <w:pStyle w:val="Default"/>
              <w:rPr>
                <w:sz w:val="23"/>
                <w:szCs w:val="23"/>
              </w:rPr>
            </w:pPr>
            <w:r w:rsidRPr="009D1150">
              <w:rPr>
                <w:sz w:val="23"/>
                <w:szCs w:val="23"/>
              </w:rPr>
              <w:t>Value of indicator: 50</w:t>
            </w:r>
          </w:p>
          <w:p w14:paraId="1BA28960" w14:textId="77777777" w:rsidR="00DB00FD" w:rsidRPr="009D1150" w:rsidRDefault="00DB00FD" w:rsidP="001E2158">
            <w:pPr>
              <w:spacing w:line="240" w:lineRule="auto"/>
              <w:jc w:val="left"/>
              <w:rPr>
                <w:rFonts w:cstheme="minorHAnsi"/>
                <w:color w:val="000000"/>
                <w:sz w:val="23"/>
                <w:szCs w:val="23"/>
                <w:lang w:val="en-GB" w:eastAsia="pl-PL"/>
              </w:rPr>
            </w:pPr>
            <w:r w:rsidRPr="009D1150">
              <w:rPr>
                <w:sz w:val="23"/>
                <w:szCs w:val="23"/>
                <w:lang w:val="en-GB"/>
              </w:rPr>
              <w:t>Timeline for completion: 4Q2023</w:t>
            </w:r>
          </w:p>
        </w:tc>
        <w:tc>
          <w:tcPr>
            <w:tcW w:w="1798" w:type="pct"/>
            <w:shd w:val="clear" w:color="auto" w:fill="auto"/>
          </w:tcPr>
          <w:p w14:paraId="457CF7C0" w14:textId="77777777" w:rsidR="00DB00FD" w:rsidRPr="009D1150" w:rsidRDefault="00DB00FD" w:rsidP="001E2158">
            <w:pPr>
              <w:spacing w:line="240" w:lineRule="auto"/>
              <w:jc w:val="left"/>
              <w:rPr>
                <w:rFonts w:cstheme="minorHAnsi"/>
                <w:b/>
                <w:bCs/>
                <w:color w:val="000000"/>
                <w:sz w:val="23"/>
                <w:szCs w:val="23"/>
                <w:lang w:val="en-GB" w:eastAsia="pl-PL"/>
              </w:rPr>
            </w:pPr>
            <w:r w:rsidRPr="009D1150">
              <w:rPr>
                <w:rFonts w:cstheme="minorHAnsi"/>
                <w:b/>
                <w:bCs/>
                <w:color w:val="000000"/>
                <w:sz w:val="23"/>
                <w:szCs w:val="23"/>
                <w:lang w:val="en-GB" w:eastAsia="pl-PL"/>
              </w:rPr>
              <w:t>D4L</w:t>
            </w:r>
          </w:p>
          <w:p w14:paraId="66394C5A" w14:textId="77777777" w:rsidR="00DB00FD" w:rsidRPr="009D1150" w:rsidRDefault="00DB00FD" w:rsidP="001E2158">
            <w:pPr>
              <w:pStyle w:val="Default"/>
              <w:rPr>
                <w:sz w:val="23"/>
                <w:szCs w:val="23"/>
              </w:rPr>
            </w:pPr>
            <w:r w:rsidRPr="009D1150">
              <w:rPr>
                <w:sz w:val="23"/>
                <w:szCs w:val="23"/>
              </w:rPr>
              <w:t xml:space="preserve">Signed contracts between district hospitals and the Ministry of Health (or other institution indicated by Ministry) for investment support in creating long-term care and </w:t>
            </w:r>
          </w:p>
          <w:p w14:paraId="3F32FD19" w14:textId="77777777" w:rsidR="00DB00FD" w:rsidRPr="009D1150" w:rsidRDefault="00DB00FD" w:rsidP="001E2158">
            <w:pPr>
              <w:pStyle w:val="Default"/>
              <w:rPr>
                <w:sz w:val="23"/>
                <w:szCs w:val="23"/>
              </w:rPr>
            </w:pPr>
            <w:r w:rsidRPr="009D1150">
              <w:rPr>
                <w:sz w:val="23"/>
                <w:szCs w:val="23"/>
              </w:rPr>
              <w:t xml:space="preserve">geriatric care units/centres </w:t>
            </w:r>
          </w:p>
          <w:p w14:paraId="22249135" w14:textId="77777777" w:rsidR="00DB00FD" w:rsidRPr="009D1150" w:rsidRDefault="00DB00FD" w:rsidP="001E2158">
            <w:pPr>
              <w:pStyle w:val="Default"/>
              <w:rPr>
                <w:color w:val="FF0000"/>
                <w:sz w:val="23"/>
                <w:szCs w:val="23"/>
              </w:rPr>
            </w:pPr>
            <w:r w:rsidRPr="009D1150">
              <w:rPr>
                <w:sz w:val="23"/>
                <w:szCs w:val="23"/>
              </w:rPr>
              <w:t xml:space="preserve">Value of indicator: </w:t>
            </w:r>
            <w:r w:rsidRPr="009D1150">
              <w:rPr>
                <w:color w:val="FF0000"/>
                <w:sz w:val="23"/>
                <w:szCs w:val="23"/>
              </w:rPr>
              <w:t>37</w:t>
            </w:r>
          </w:p>
          <w:p w14:paraId="6FE37205" w14:textId="77777777" w:rsidR="00DB00FD" w:rsidRPr="009D1150" w:rsidRDefault="00DB00FD" w:rsidP="001E2158">
            <w:pPr>
              <w:spacing w:line="240" w:lineRule="auto"/>
              <w:jc w:val="left"/>
              <w:rPr>
                <w:rFonts w:cstheme="minorHAnsi"/>
                <w:b/>
                <w:bCs/>
                <w:color w:val="000000"/>
                <w:sz w:val="23"/>
                <w:szCs w:val="23"/>
                <w:lang w:val="en-GB" w:eastAsia="pl-PL"/>
              </w:rPr>
            </w:pPr>
            <w:r w:rsidRPr="009D1150">
              <w:rPr>
                <w:sz w:val="23"/>
                <w:szCs w:val="23"/>
                <w:lang w:val="en-GB"/>
              </w:rPr>
              <w:t xml:space="preserve">Date of completion:  </w:t>
            </w:r>
            <w:r w:rsidRPr="009D1150">
              <w:rPr>
                <w:color w:val="FF0000"/>
                <w:sz w:val="23"/>
                <w:szCs w:val="23"/>
                <w:lang w:val="en-GB"/>
              </w:rPr>
              <w:t>Q1 2025</w:t>
            </w:r>
          </w:p>
        </w:tc>
      </w:tr>
      <w:tr w:rsidR="00DB00FD" w:rsidRPr="00AF3A31" w14:paraId="650A32CF" w14:textId="77777777" w:rsidTr="00A501D9">
        <w:tc>
          <w:tcPr>
            <w:tcW w:w="1146" w:type="pct"/>
            <w:shd w:val="clear" w:color="auto" w:fill="auto"/>
          </w:tcPr>
          <w:p w14:paraId="4CB80EA6" w14:textId="77777777" w:rsidR="00DB00FD" w:rsidRPr="008F19AE" w:rsidRDefault="00DB00FD" w:rsidP="001E2158">
            <w:pPr>
              <w:spacing w:after="120" w:line="240" w:lineRule="auto"/>
              <w:rPr>
                <w:highlight w:val="lightGray"/>
                <w:lang w:val="en-GB"/>
              </w:rPr>
            </w:pPr>
          </w:p>
        </w:tc>
        <w:tc>
          <w:tcPr>
            <w:tcW w:w="2056" w:type="pct"/>
            <w:shd w:val="clear" w:color="auto" w:fill="auto"/>
            <w:vAlign w:val="center"/>
          </w:tcPr>
          <w:p w14:paraId="4C16D384" w14:textId="77777777" w:rsidR="00DB00FD" w:rsidRPr="008F19AE" w:rsidRDefault="00DB00FD" w:rsidP="001E2158">
            <w:pPr>
              <w:spacing w:line="240" w:lineRule="auto"/>
              <w:jc w:val="left"/>
              <w:rPr>
                <w:rFonts w:cstheme="minorHAnsi"/>
                <w:b/>
                <w:bCs/>
                <w:color w:val="000000"/>
                <w:lang w:eastAsia="pl-PL"/>
              </w:rPr>
            </w:pPr>
            <w:r w:rsidRPr="008F19AE">
              <w:rPr>
                <w:rFonts w:cstheme="minorHAnsi"/>
                <w:b/>
                <w:bCs/>
                <w:color w:val="000000"/>
                <w:lang w:eastAsia="pl-PL"/>
              </w:rPr>
              <w:t>D5L</w:t>
            </w:r>
          </w:p>
          <w:p w14:paraId="22BD474C" w14:textId="77777777" w:rsidR="00DB00FD" w:rsidRPr="008F19AE" w:rsidRDefault="00DB00FD" w:rsidP="001E2158">
            <w:pPr>
              <w:spacing w:line="240" w:lineRule="auto"/>
              <w:jc w:val="left"/>
              <w:rPr>
                <w:rFonts w:cstheme="minorHAnsi"/>
                <w:color w:val="000000"/>
                <w:lang w:eastAsia="pl-PL"/>
              </w:rPr>
            </w:pPr>
            <w:r w:rsidRPr="008F19AE">
              <w:rPr>
                <w:rFonts w:cstheme="minorHAnsi"/>
                <w:color w:val="000000"/>
                <w:lang w:eastAsia="pl-PL"/>
              </w:rPr>
              <w:t>Zakończone projekty mające na celu rozwój opieki długoterminowej i opieki geriatrycznej w szpitalach powiatowych</w:t>
            </w:r>
          </w:p>
          <w:p w14:paraId="5264E801" w14:textId="77777777" w:rsidR="00DB00FD" w:rsidRPr="008F19AE" w:rsidRDefault="00DB00FD" w:rsidP="001E2158">
            <w:pPr>
              <w:spacing w:line="240" w:lineRule="auto"/>
              <w:jc w:val="left"/>
            </w:pPr>
            <w:r w:rsidRPr="008F19AE">
              <w:rPr>
                <w:rFonts w:cstheme="minorHAnsi"/>
                <w:color w:val="000000"/>
                <w:lang w:eastAsia="pl-PL"/>
              </w:rPr>
              <w:t>Wartość wskaźnika: 50</w:t>
            </w:r>
          </w:p>
        </w:tc>
        <w:tc>
          <w:tcPr>
            <w:tcW w:w="1798" w:type="pct"/>
            <w:shd w:val="clear" w:color="auto" w:fill="auto"/>
          </w:tcPr>
          <w:p w14:paraId="04254D74" w14:textId="77777777" w:rsidR="00DB00FD" w:rsidRPr="008F19AE" w:rsidRDefault="00DB00FD" w:rsidP="001E2158">
            <w:pPr>
              <w:spacing w:line="240" w:lineRule="auto"/>
              <w:jc w:val="left"/>
              <w:rPr>
                <w:rFonts w:cstheme="minorHAnsi"/>
                <w:b/>
                <w:bCs/>
                <w:color w:val="000000"/>
                <w:lang w:eastAsia="pl-PL"/>
              </w:rPr>
            </w:pPr>
            <w:r w:rsidRPr="008F19AE">
              <w:rPr>
                <w:rFonts w:cstheme="minorHAnsi"/>
                <w:b/>
                <w:bCs/>
                <w:color w:val="000000"/>
                <w:lang w:eastAsia="pl-PL"/>
              </w:rPr>
              <w:t>D5L</w:t>
            </w:r>
          </w:p>
          <w:p w14:paraId="2618FB83" w14:textId="77777777" w:rsidR="00DB00FD" w:rsidRPr="008F19AE" w:rsidRDefault="00DB00FD" w:rsidP="001E2158">
            <w:pPr>
              <w:spacing w:line="240" w:lineRule="auto"/>
              <w:jc w:val="left"/>
              <w:rPr>
                <w:rFonts w:cstheme="minorHAnsi"/>
                <w:color w:val="000000"/>
                <w:lang w:eastAsia="pl-PL"/>
              </w:rPr>
            </w:pPr>
            <w:r w:rsidRPr="008F19AE">
              <w:rPr>
                <w:rFonts w:cstheme="minorHAnsi"/>
                <w:color w:val="000000"/>
                <w:lang w:eastAsia="pl-PL"/>
              </w:rPr>
              <w:t>Zakończone projekty mające na celu rozwój opieki długoterminowej i opieki geriatrycznej w szpitalach powiatowych</w:t>
            </w:r>
          </w:p>
          <w:p w14:paraId="2775960D" w14:textId="77777777" w:rsidR="00DB00FD" w:rsidRPr="008F19AE" w:rsidRDefault="00DB00FD" w:rsidP="001E2158">
            <w:pPr>
              <w:spacing w:line="240" w:lineRule="auto"/>
            </w:pPr>
            <w:r w:rsidRPr="008F19AE">
              <w:rPr>
                <w:rFonts w:cstheme="minorHAnsi"/>
                <w:color w:val="000000"/>
                <w:lang w:eastAsia="pl-PL"/>
              </w:rPr>
              <w:t xml:space="preserve">Wartość wskaźnika: </w:t>
            </w:r>
            <w:r w:rsidRPr="00A03F77">
              <w:rPr>
                <w:rFonts w:cstheme="minorHAnsi"/>
                <w:color w:val="FF0000"/>
                <w:lang w:eastAsia="pl-PL"/>
              </w:rPr>
              <w:t>37</w:t>
            </w:r>
          </w:p>
        </w:tc>
      </w:tr>
      <w:tr w:rsidR="00DB00FD" w:rsidRPr="00A20429" w14:paraId="3CA048A8" w14:textId="77777777" w:rsidTr="00A501D9">
        <w:tc>
          <w:tcPr>
            <w:tcW w:w="1146" w:type="pct"/>
            <w:shd w:val="clear" w:color="auto" w:fill="auto"/>
          </w:tcPr>
          <w:p w14:paraId="534C10FB" w14:textId="77777777" w:rsidR="00DB00FD" w:rsidRPr="00C424BC" w:rsidRDefault="00DB00FD" w:rsidP="001E2158">
            <w:pPr>
              <w:spacing w:after="120" w:line="240" w:lineRule="auto"/>
              <w:rPr>
                <w:highlight w:val="lightGray"/>
              </w:rPr>
            </w:pPr>
          </w:p>
        </w:tc>
        <w:tc>
          <w:tcPr>
            <w:tcW w:w="2056" w:type="pct"/>
            <w:shd w:val="clear" w:color="auto" w:fill="auto"/>
            <w:vAlign w:val="center"/>
          </w:tcPr>
          <w:p w14:paraId="28344899" w14:textId="77777777" w:rsidR="00DB00FD" w:rsidRPr="008F19AE" w:rsidRDefault="00DB00FD" w:rsidP="001E2158">
            <w:pPr>
              <w:spacing w:line="240" w:lineRule="auto"/>
              <w:jc w:val="left"/>
              <w:rPr>
                <w:rFonts w:cstheme="minorHAnsi"/>
                <w:b/>
                <w:bCs/>
                <w:color w:val="000000"/>
                <w:lang w:val="en-GB" w:eastAsia="pl-PL"/>
              </w:rPr>
            </w:pPr>
            <w:r w:rsidRPr="008F19AE">
              <w:rPr>
                <w:rFonts w:cstheme="minorHAnsi"/>
                <w:b/>
                <w:bCs/>
                <w:color w:val="000000"/>
                <w:lang w:val="en-GB" w:eastAsia="pl-PL"/>
              </w:rPr>
              <w:t>D5L</w:t>
            </w:r>
          </w:p>
          <w:p w14:paraId="78D1E022" w14:textId="77777777" w:rsidR="00DB00FD" w:rsidRPr="008F19AE" w:rsidRDefault="00DB00FD" w:rsidP="001E2158">
            <w:pPr>
              <w:pStyle w:val="Default"/>
            </w:pPr>
            <w:r w:rsidRPr="008F19AE">
              <w:t xml:space="preserve">Finalised projects aiming to develop long-term care and geriatric care provision in district hospitals </w:t>
            </w:r>
          </w:p>
          <w:p w14:paraId="0DE3E321" w14:textId="7D5DC272" w:rsidR="00DB00FD" w:rsidRPr="00A501D9" w:rsidRDefault="00DB00FD" w:rsidP="00A501D9">
            <w:pPr>
              <w:pStyle w:val="Default"/>
              <w:rPr>
                <w:sz w:val="22"/>
                <w:szCs w:val="22"/>
              </w:rPr>
            </w:pPr>
            <w:r w:rsidRPr="008F19AE">
              <w:t>Value of</w:t>
            </w:r>
            <w:r w:rsidRPr="005845C3">
              <w:rPr>
                <w:sz w:val="22"/>
                <w:szCs w:val="22"/>
              </w:rPr>
              <w:t xml:space="preserve"> indicator: 50</w:t>
            </w:r>
          </w:p>
        </w:tc>
        <w:tc>
          <w:tcPr>
            <w:tcW w:w="1798" w:type="pct"/>
            <w:shd w:val="clear" w:color="auto" w:fill="auto"/>
          </w:tcPr>
          <w:p w14:paraId="7A8D1F15" w14:textId="77777777" w:rsidR="00DB00FD" w:rsidRPr="008F19AE" w:rsidRDefault="00DB00FD" w:rsidP="001E2158">
            <w:pPr>
              <w:spacing w:line="240" w:lineRule="auto"/>
              <w:jc w:val="left"/>
              <w:rPr>
                <w:rFonts w:cstheme="minorHAnsi"/>
                <w:b/>
                <w:bCs/>
                <w:color w:val="000000"/>
                <w:lang w:val="en-GB" w:eastAsia="pl-PL"/>
              </w:rPr>
            </w:pPr>
            <w:r w:rsidRPr="008F19AE">
              <w:rPr>
                <w:rFonts w:cstheme="minorHAnsi"/>
                <w:b/>
                <w:bCs/>
                <w:color w:val="000000"/>
                <w:lang w:val="en-GB" w:eastAsia="pl-PL"/>
              </w:rPr>
              <w:t>D5L</w:t>
            </w:r>
          </w:p>
          <w:p w14:paraId="12EE6E61" w14:textId="77777777" w:rsidR="00DB00FD" w:rsidRPr="005845C3" w:rsidRDefault="00DB00FD" w:rsidP="001E2158">
            <w:pPr>
              <w:pStyle w:val="Default"/>
            </w:pPr>
            <w:r w:rsidRPr="005845C3">
              <w:t xml:space="preserve">Finalised projects aiming to develop long-term care and geriatric care provision in district hospitals </w:t>
            </w:r>
          </w:p>
          <w:p w14:paraId="600D3B8E" w14:textId="77777777" w:rsidR="00DB00FD" w:rsidRPr="005845C3" w:rsidRDefault="00DB00FD" w:rsidP="001E2158">
            <w:pPr>
              <w:pStyle w:val="Default"/>
              <w:rPr>
                <w:sz w:val="22"/>
                <w:szCs w:val="22"/>
              </w:rPr>
            </w:pPr>
            <w:r w:rsidRPr="005845C3">
              <w:t>Value of</w:t>
            </w:r>
            <w:r w:rsidRPr="005845C3">
              <w:rPr>
                <w:sz w:val="22"/>
                <w:szCs w:val="22"/>
              </w:rPr>
              <w:t xml:space="preserve"> indicator: </w:t>
            </w:r>
            <w:r w:rsidRPr="009D1150">
              <w:rPr>
                <w:color w:val="FF0000"/>
                <w:sz w:val="23"/>
                <w:szCs w:val="23"/>
              </w:rPr>
              <w:t>37</w:t>
            </w:r>
          </w:p>
          <w:p w14:paraId="76B298E4" w14:textId="77777777" w:rsidR="00DB00FD" w:rsidRPr="008F19AE" w:rsidRDefault="00DB00FD" w:rsidP="001E2158">
            <w:pPr>
              <w:spacing w:line="240" w:lineRule="auto"/>
              <w:jc w:val="left"/>
              <w:rPr>
                <w:rFonts w:cstheme="minorHAnsi"/>
                <w:b/>
                <w:bCs/>
                <w:color w:val="000000"/>
                <w:lang w:val="en-GB" w:eastAsia="pl-PL"/>
              </w:rPr>
            </w:pPr>
          </w:p>
        </w:tc>
      </w:tr>
      <w:tr w:rsidR="00DB00FD" w:rsidRPr="005E1667" w14:paraId="055202A0" w14:textId="77777777" w:rsidTr="00A501D9">
        <w:tc>
          <w:tcPr>
            <w:tcW w:w="1146" w:type="pct"/>
          </w:tcPr>
          <w:p w14:paraId="6C10292C" w14:textId="77777777" w:rsidR="00DB00FD" w:rsidRPr="00AF3A31" w:rsidRDefault="00DB00FD" w:rsidP="001E2158">
            <w:pPr>
              <w:spacing w:after="120" w:line="240" w:lineRule="auto"/>
              <w:jc w:val="left"/>
              <w:rPr>
                <w:rFonts w:eastAsia="Calibri"/>
              </w:rPr>
            </w:pPr>
            <w:r w:rsidRPr="00AF3A31">
              <w:rPr>
                <w:rFonts w:eastAsia="Calibri"/>
              </w:rPr>
              <w:t>Uzasadnienie</w:t>
            </w:r>
          </w:p>
        </w:tc>
        <w:tc>
          <w:tcPr>
            <w:tcW w:w="3854" w:type="pct"/>
            <w:gridSpan w:val="2"/>
          </w:tcPr>
          <w:p w14:paraId="43087C83" w14:textId="77777777" w:rsidR="00DB00FD" w:rsidRDefault="00DB00FD" w:rsidP="001E2158">
            <w:pPr>
              <w:autoSpaceDE w:val="0"/>
              <w:autoSpaceDN w:val="0"/>
              <w:adjustRightInd w:val="0"/>
              <w:spacing w:after="0" w:line="240" w:lineRule="auto"/>
              <w:jc w:val="left"/>
              <w:rPr>
                <w:rFonts w:eastAsia="Calibri"/>
              </w:rPr>
            </w:pPr>
          </w:p>
          <w:p w14:paraId="379D8D6D" w14:textId="77777777" w:rsidR="00DB00FD" w:rsidRDefault="00DB00FD" w:rsidP="001E2158">
            <w:pPr>
              <w:autoSpaceDE w:val="0"/>
              <w:autoSpaceDN w:val="0"/>
              <w:adjustRightInd w:val="0"/>
              <w:spacing w:after="0" w:line="240" w:lineRule="auto"/>
              <w:jc w:val="left"/>
              <w:rPr>
                <w:rFonts w:eastAsia="Calibri"/>
              </w:rPr>
            </w:pPr>
            <w:r w:rsidRPr="005845C3">
              <w:rPr>
                <w:rFonts w:eastAsia="Calibri"/>
              </w:rPr>
              <w:t xml:space="preserve">Proponowane jest przeniesienie inwestycji </w:t>
            </w:r>
            <w:r w:rsidRPr="005845C3">
              <w:rPr>
                <w:rFonts w:eastAsia="Calibri"/>
                <w:i/>
                <w:iCs/>
              </w:rPr>
              <w:t>D1.2.1 Rozwój opieki długoterminowej poprzez modernizację infrastruktury podmiotów leczniczych na poziomie powiatowym</w:t>
            </w:r>
            <w:r w:rsidRPr="005845C3">
              <w:rPr>
                <w:rFonts w:eastAsia="Calibri"/>
              </w:rPr>
              <w:t xml:space="preserve"> </w:t>
            </w:r>
            <w:r>
              <w:rPr>
                <w:rFonts w:eastAsia="Calibri"/>
              </w:rPr>
              <w:t xml:space="preserve">z </w:t>
            </w:r>
            <w:r w:rsidRPr="005845C3">
              <w:rPr>
                <w:rFonts w:eastAsia="Calibri"/>
              </w:rPr>
              <w:t>części pożyczkowej do części grantowej z uwagi na konieczność zapewnienia dla podmiotów leczniczych, dla których organem założycielskim lub prowadzącym są JST finansowania bezzwrotnego. Zwiększenie budżetu inwestycji do 300 mln EUR wynika ze wzrostu cen jaki miał miejsce od czerwca 2022 roku</w:t>
            </w:r>
            <w:r>
              <w:rPr>
                <w:rFonts w:eastAsia="Calibri"/>
              </w:rPr>
              <w:t xml:space="preserve"> oraz </w:t>
            </w:r>
            <w:r w:rsidRPr="005845C3">
              <w:rPr>
                <w:rFonts w:eastAsia="Calibri"/>
              </w:rPr>
              <w:t>z dużego zapotrzebowania na łóżka opieki długoterminowej i geriatrycznej jako istotnego elementu systemu opieki i usług dla osób starszych i przewlekle chorych</w:t>
            </w:r>
            <w:r>
              <w:rPr>
                <w:rFonts w:eastAsia="Calibri"/>
              </w:rPr>
              <w:t>, i przekłada się również na wzrost wskaźników D3L-D5L</w:t>
            </w:r>
            <w:r w:rsidRPr="005845C3">
              <w:rPr>
                <w:rFonts w:eastAsia="Calibri"/>
              </w:rPr>
              <w:t>.</w:t>
            </w:r>
            <w:r>
              <w:rPr>
                <w:rFonts w:eastAsia="Calibri"/>
              </w:rPr>
              <w:t xml:space="preserve"> </w:t>
            </w:r>
          </w:p>
          <w:p w14:paraId="32474E4A" w14:textId="77777777" w:rsidR="00DB00FD" w:rsidRDefault="00DB00FD" w:rsidP="001E2158">
            <w:pPr>
              <w:autoSpaceDE w:val="0"/>
              <w:autoSpaceDN w:val="0"/>
              <w:adjustRightInd w:val="0"/>
              <w:spacing w:after="0" w:line="240" w:lineRule="auto"/>
              <w:jc w:val="left"/>
              <w:rPr>
                <w:rFonts w:eastAsia="Calibri"/>
              </w:rPr>
            </w:pPr>
          </w:p>
          <w:p w14:paraId="74932F7E" w14:textId="77777777" w:rsidR="00DB00FD" w:rsidRPr="001B205E" w:rsidRDefault="00DB00FD" w:rsidP="001E2158">
            <w:pPr>
              <w:autoSpaceDE w:val="0"/>
              <w:autoSpaceDN w:val="0"/>
              <w:adjustRightInd w:val="0"/>
              <w:spacing w:after="0" w:line="240" w:lineRule="auto"/>
              <w:jc w:val="left"/>
              <w:rPr>
                <w:rFonts w:eastAsia="Calibri"/>
              </w:rPr>
            </w:pPr>
            <w:r w:rsidRPr="001B205E">
              <w:rPr>
                <w:rFonts w:eastAsia="Calibri"/>
              </w:rPr>
              <w:t>•</w:t>
            </w:r>
            <w:r w:rsidRPr="001B205E">
              <w:rPr>
                <w:rFonts w:eastAsia="Calibri"/>
              </w:rPr>
              <w:tab/>
              <w:t>Podaż opieki długoterminowej wymaga wzmocnionych wielokierunkowych działań, aby w pełni zabezpieczyć rosnące potrzeby oraz różnice terytorialne:</w:t>
            </w:r>
          </w:p>
          <w:p w14:paraId="4D91E0F8" w14:textId="77777777" w:rsidR="00DB00FD" w:rsidRPr="001B205E" w:rsidRDefault="00DB00FD" w:rsidP="001E2158">
            <w:pPr>
              <w:autoSpaceDE w:val="0"/>
              <w:autoSpaceDN w:val="0"/>
              <w:adjustRightInd w:val="0"/>
              <w:spacing w:after="0" w:line="240" w:lineRule="auto"/>
              <w:ind w:left="498"/>
              <w:jc w:val="left"/>
              <w:rPr>
                <w:rFonts w:eastAsia="Calibri"/>
              </w:rPr>
            </w:pPr>
            <w:r w:rsidRPr="001B205E">
              <w:rPr>
                <w:rFonts w:eastAsia="Calibri"/>
              </w:rPr>
              <w:t>− praktycznie wszystkie powiaty w Polsce zostały zabezpieczone w opiekę domową (oprócz 3). 89 powiatów funkcjonowało bez zakładu stacjonarnej opieki długoterminowej;</w:t>
            </w:r>
          </w:p>
          <w:p w14:paraId="70706F05" w14:textId="77777777" w:rsidR="00DB00FD" w:rsidRPr="001B205E" w:rsidRDefault="00DB00FD" w:rsidP="001E2158">
            <w:pPr>
              <w:autoSpaceDE w:val="0"/>
              <w:autoSpaceDN w:val="0"/>
              <w:adjustRightInd w:val="0"/>
              <w:spacing w:after="0" w:line="240" w:lineRule="auto"/>
              <w:ind w:left="498"/>
              <w:jc w:val="left"/>
              <w:rPr>
                <w:rFonts w:eastAsia="Calibri"/>
              </w:rPr>
            </w:pPr>
            <w:r w:rsidRPr="001B205E">
              <w:rPr>
                <w:rFonts w:eastAsia="Calibri"/>
              </w:rPr>
              <w:lastRenderedPageBreak/>
              <w:t xml:space="preserve">− między województwem o najwyższym wskaźniku liczby pacjentów w przeliczeniu na liczbę ludności (podkarpackie) a tym o najniższym (wielkopolskie) różnica jest ponad dwukrotna (odpowiednio 151 i 70, przy średniej krajowej 111). </w:t>
            </w:r>
          </w:p>
          <w:p w14:paraId="2460065C" w14:textId="77777777" w:rsidR="00DB00FD" w:rsidRPr="001B205E" w:rsidRDefault="00DB00FD" w:rsidP="001E2158">
            <w:pPr>
              <w:autoSpaceDE w:val="0"/>
              <w:autoSpaceDN w:val="0"/>
              <w:adjustRightInd w:val="0"/>
              <w:spacing w:after="0" w:line="240" w:lineRule="auto"/>
              <w:jc w:val="left"/>
              <w:rPr>
                <w:rFonts w:eastAsia="Calibri"/>
              </w:rPr>
            </w:pPr>
            <w:r w:rsidRPr="001B205E">
              <w:rPr>
                <w:rFonts w:eastAsia="Calibri"/>
              </w:rPr>
              <w:t>•</w:t>
            </w:r>
            <w:r w:rsidRPr="001B205E">
              <w:rPr>
                <w:rFonts w:eastAsia="Calibri"/>
              </w:rPr>
              <w:tab/>
              <w:t xml:space="preserve">Zapotrzebowanie na świadczenia i jego przewidywane kształtowanie się w przyszłości: </w:t>
            </w:r>
          </w:p>
          <w:p w14:paraId="12E0AE7F" w14:textId="77777777" w:rsidR="00DB00FD" w:rsidRPr="001B205E" w:rsidRDefault="00DB00FD" w:rsidP="001E2158">
            <w:pPr>
              <w:autoSpaceDE w:val="0"/>
              <w:autoSpaceDN w:val="0"/>
              <w:adjustRightInd w:val="0"/>
              <w:spacing w:after="0" w:line="240" w:lineRule="auto"/>
              <w:ind w:left="498"/>
              <w:jc w:val="left"/>
              <w:rPr>
                <w:rFonts w:eastAsia="Calibri"/>
              </w:rPr>
            </w:pPr>
            <w:r w:rsidRPr="001B205E">
              <w:rPr>
                <w:rFonts w:eastAsia="Calibri"/>
              </w:rPr>
              <w:t xml:space="preserve">− opieką długoterminową i geriatryczną w systemie ochrony zdrowia w dominującym stopniu objęte są osoby w wieku 60 lat i więcej. Charakterystyka pacjenta opieki długoterminowej, zarówno stacjonarnej, jak i domowej, oraz oddziałów geriatrycznych jest bardzo podobna. Głównym czynnikiem wpływającym na popyt będzie zatem sytuacja demograficzna; </w:t>
            </w:r>
          </w:p>
          <w:p w14:paraId="50930505" w14:textId="77777777" w:rsidR="00DB00FD" w:rsidRPr="001B205E" w:rsidRDefault="00DB00FD" w:rsidP="001E2158">
            <w:pPr>
              <w:autoSpaceDE w:val="0"/>
              <w:autoSpaceDN w:val="0"/>
              <w:adjustRightInd w:val="0"/>
              <w:spacing w:after="0" w:line="240" w:lineRule="auto"/>
              <w:ind w:left="498"/>
              <w:jc w:val="left"/>
              <w:rPr>
                <w:rFonts w:eastAsia="Calibri"/>
              </w:rPr>
            </w:pPr>
            <w:r w:rsidRPr="001B205E">
              <w:rPr>
                <w:rFonts w:eastAsia="Calibri"/>
              </w:rPr>
              <w:t xml:space="preserve">− populacja Polski starzeje się w dynamiczny sposób, a dodatkowo zmniejsza się liczba ludności. Procesy te dotykają przede wszystkim miast oraz powiatów oddalonych od ośrodków miejskich; </w:t>
            </w:r>
          </w:p>
          <w:p w14:paraId="33346436" w14:textId="77777777" w:rsidR="00DB00FD" w:rsidRPr="001B205E" w:rsidRDefault="00DB00FD" w:rsidP="001E2158">
            <w:pPr>
              <w:autoSpaceDE w:val="0"/>
              <w:autoSpaceDN w:val="0"/>
              <w:adjustRightInd w:val="0"/>
              <w:spacing w:after="0" w:line="240" w:lineRule="auto"/>
              <w:ind w:left="498"/>
              <w:jc w:val="left"/>
              <w:rPr>
                <w:rFonts w:eastAsia="Calibri"/>
              </w:rPr>
            </w:pPr>
            <w:r w:rsidRPr="001B205E">
              <w:rPr>
                <w:rFonts w:eastAsia="Calibri"/>
              </w:rPr>
              <w:t xml:space="preserve">− wskaźnik liczby lat przeżytych w zdrowiu rośnie proporcjonalnie wolniej, mimo zwiększania się długości życia. W przypadku tej miary sytuacja jest również zróżnicowana terytorialne. Mieszkańcy województw Polski zachodniej większą część życia przeżywają w zdrowiu w porównaniu do województw leżących na wschodzie kraju; </w:t>
            </w:r>
          </w:p>
          <w:p w14:paraId="7BF54BD2" w14:textId="77777777" w:rsidR="00DB00FD" w:rsidRPr="001B205E" w:rsidRDefault="00DB00FD" w:rsidP="001E2158">
            <w:pPr>
              <w:autoSpaceDE w:val="0"/>
              <w:autoSpaceDN w:val="0"/>
              <w:adjustRightInd w:val="0"/>
              <w:spacing w:after="0" w:line="240" w:lineRule="auto"/>
              <w:ind w:left="498"/>
              <w:jc w:val="left"/>
              <w:rPr>
                <w:rFonts w:eastAsia="Calibri"/>
              </w:rPr>
            </w:pPr>
            <w:r w:rsidRPr="001B205E">
              <w:rPr>
                <w:rFonts w:eastAsia="Calibri"/>
              </w:rPr>
              <w:t xml:space="preserve">− sytuacja demograficzna wpłynie nie tylko na liczbę pacjentów, ale także potencjalnych opiekunów, zarówno formalnych, jak i nieformalnych. Zasoby ludzkie mogące wspierać osoby starsze w codziennym funkcjonowaniu z biegiem lat ulegną również ograniczeniu; </w:t>
            </w:r>
          </w:p>
          <w:p w14:paraId="0C6AC030" w14:textId="77777777" w:rsidR="00DB00FD" w:rsidRPr="001B205E" w:rsidRDefault="00DB00FD" w:rsidP="001E2158">
            <w:pPr>
              <w:autoSpaceDE w:val="0"/>
              <w:autoSpaceDN w:val="0"/>
              <w:adjustRightInd w:val="0"/>
              <w:spacing w:after="0" w:line="240" w:lineRule="auto"/>
              <w:ind w:left="498"/>
              <w:jc w:val="left"/>
              <w:rPr>
                <w:rFonts w:eastAsia="Calibri"/>
              </w:rPr>
            </w:pPr>
            <w:r w:rsidRPr="001B205E">
              <w:rPr>
                <w:rFonts w:eastAsia="Calibri"/>
              </w:rPr>
              <w:t>− wszystkie miary i badania określające poziom niepełnosprawności i niesamodzielności wskazują na podobne wnioski: z wiekiem zwiększa się poziom niesprawności, a w ostatnich latach nastąpił w Polsce wzrost liczby osób niesamodzielnych co związane jest z sytuacją demograficzną. Wskazują one także na gorszą sytuację w tym zakresie kobiet, osób gorzej wykształconych, mieszkańców wsi oraz wschodnich regionów Polski;</w:t>
            </w:r>
          </w:p>
          <w:p w14:paraId="34037FFE" w14:textId="10F99384" w:rsidR="00DB00FD" w:rsidRPr="00A501D9" w:rsidRDefault="00DB00FD" w:rsidP="00A501D9">
            <w:pPr>
              <w:autoSpaceDE w:val="0"/>
              <w:autoSpaceDN w:val="0"/>
              <w:adjustRightInd w:val="0"/>
              <w:spacing w:after="0" w:line="240" w:lineRule="auto"/>
              <w:ind w:left="498"/>
              <w:jc w:val="left"/>
              <w:rPr>
                <w:rFonts w:eastAsia="Calibri"/>
              </w:rPr>
            </w:pPr>
            <w:r w:rsidRPr="001B205E">
              <w:rPr>
                <w:rFonts w:eastAsia="Calibri"/>
              </w:rPr>
              <w:t>- procesy demograficzne następujące w Polsce, mające wpływ na opiekę długoterminową i geriatryczną, mają podobny charakter do tych obserwowanych w innych krajach rozwiniętych (UE, OECD). Część z nich postępuje z zauważalnie większym nasileniem, skutkując przekroczeniem średnich wartości w najbliższych latach. Można więc powiedzieć, że Polska dorównuje trendom demograficznym widocznym w innych krajach</w:t>
            </w:r>
            <w:r>
              <w:rPr>
                <w:rFonts w:eastAsia="Calibri"/>
              </w:rPr>
              <w:t>.</w:t>
            </w:r>
          </w:p>
        </w:tc>
      </w:tr>
      <w:tr w:rsidR="00DB00FD" w:rsidRPr="00AF3A31" w14:paraId="683148C7" w14:textId="77777777" w:rsidTr="00A501D9">
        <w:tc>
          <w:tcPr>
            <w:tcW w:w="1146" w:type="pct"/>
          </w:tcPr>
          <w:p w14:paraId="363B7550" w14:textId="77777777" w:rsidR="00DB00FD" w:rsidRPr="00AF3A31" w:rsidRDefault="00DB00FD" w:rsidP="001E2158">
            <w:pPr>
              <w:spacing w:after="120" w:line="240" w:lineRule="auto"/>
              <w:jc w:val="left"/>
              <w:rPr>
                <w:rFonts w:eastAsia="Calibri"/>
              </w:rPr>
            </w:pPr>
            <w:r w:rsidRPr="00AF3A31">
              <w:rPr>
                <w:rFonts w:eastAsia="Calibri"/>
              </w:rPr>
              <w:lastRenderedPageBreak/>
              <w:t>Szacowany koszt</w:t>
            </w:r>
          </w:p>
        </w:tc>
        <w:tc>
          <w:tcPr>
            <w:tcW w:w="3854" w:type="pct"/>
            <w:gridSpan w:val="2"/>
          </w:tcPr>
          <w:p w14:paraId="221058F4" w14:textId="77777777" w:rsidR="00DB00FD" w:rsidRPr="00AF3A31" w:rsidRDefault="00DB00FD" w:rsidP="001E2158">
            <w:pPr>
              <w:spacing w:after="120" w:line="240" w:lineRule="auto"/>
              <w:jc w:val="left"/>
              <w:rPr>
                <w:rFonts w:eastAsia="Calibri"/>
                <w:b/>
                <w:bCs/>
              </w:rPr>
            </w:pPr>
            <w:r w:rsidRPr="00AF3A31">
              <w:rPr>
                <w:rFonts w:eastAsia="Calibri"/>
              </w:rPr>
              <w:t xml:space="preserve">Zmiana wpływa na </w:t>
            </w:r>
            <w:r>
              <w:rPr>
                <w:rFonts w:eastAsia="Calibri"/>
              </w:rPr>
              <w:t xml:space="preserve">zwiększenie budżetu inwestycji z 150 mln EUR na 300 mln EUR.  </w:t>
            </w:r>
          </w:p>
        </w:tc>
      </w:tr>
      <w:tr w:rsidR="00DB00FD" w:rsidRPr="00AF3A31" w14:paraId="7835CA73" w14:textId="77777777" w:rsidTr="00A501D9">
        <w:tc>
          <w:tcPr>
            <w:tcW w:w="1146" w:type="pct"/>
          </w:tcPr>
          <w:p w14:paraId="45C1E6B7" w14:textId="77777777" w:rsidR="00DB00FD" w:rsidRPr="00AF3A31" w:rsidRDefault="00DB00FD" w:rsidP="001E2158">
            <w:pPr>
              <w:spacing w:after="120" w:line="240" w:lineRule="auto"/>
              <w:jc w:val="left"/>
              <w:rPr>
                <w:rFonts w:eastAsia="Calibri"/>
              </w:rPr>
            </w:pPr>
            <w:r w:rsidRPr="00AF3A31">
              <w:rPr>
                <w:rFonts w:eastAsia="Calibri"/>
              </w:rPr>
              <w:t xml:space="preserve">Cyfrowy i klimatyczny tagging </w:t>
            </w:r>
          </w:p>
        </w:tc>
        <w:tc>
          <w:tcPr>
            <w:tcW w:w="3854" w:type="pct"/>
            <w:gridSpan w:val="2"/>
          </w:tcPr>
          <w:p w14:paraId="3ABCCDF4" w14:textId="77777777" w:rsidR="00DB00FD" w:rsidRPr="00AF3A31" w:rsidRDefault="00DB00FD" w:rsidP="001E2158">
            <w:pPr>
              <w:spacing w:after="120" w:line="240" w:lineRule="auto"/>
              <w:jc w:val="left"/>
              <w:rPr>
                <w:rFonts w:eastAsia="Calibri"/>
              </w:rPr>
            </w:pPr>
            <w:r w:rsidRPr="00AF3A31">
              <w:rPr>
                <w:rFonts w:eastAsia="Calibri"/>
              </w:rPr>
              <w:t>Zmiana nie ma wpływu na tagging klimatyczny i cyfrowy</w:t>
            </w:r>
          </w:p>
        </w:tc>
      </w:tr>
      <w:tr w:rsidR="00DB00FD" w:rsidRPr="00AF3A31" w14:paraId="3DC32147" w14:textId="77777777" w:rsidTr="00A501D9">
        <w:tc>
          <w:tcPr>
            <w:tcW w:w="1146" w:type="pct"/>
            <w:tcBorders>
              <w:bottom w:val="single" w:sz="4" w:space="0" w:color="auto"/>
            </w:tcBorders>
          </w:tcPr>
          <w:p w14:paraId="42A4A28D" w14:textId="77777777" w:rsidR="00DB00FD" w:rsidRPr="00AF3A31" w:rsidRDefault="00DB00FD" w:rsidP="001E2158">
            <w:pPr>
              <w:spacing w:after="120" w:line="240" w:lineRule="auto"/>
              <w:jc w:val="left"/>
              <w:rPr>
                <w:rFonts w:eastAsia="Calibri"/>
              </w:rPr>
            </w:pPr>
            <w:r w:rsidRPr="00AF3A31">
              <w:rPr>
                <w:rFonts w:eastAsia="Calibri"/>
              </w:rPr>
              <w:t xml:space="preserve">Zasada DNSH </w:t>
            </w:r>
          </w:p>
        </w:tc>
        <w:tc>
          <w:tcPr>
            <w:tcW w:w="3854" w:type="pct"/>
            <w:gridSpan w:val="2"/>
            <w:tcBorders>
              <w:bottom w:val="single" w:sz="4" w:space="0" w:color="auto"/>
            </w:tcBorders>
          </w:tcPr>
          <w:p w14:paraId="40FCCFF8" w14:textId="77777777" w:rsidR="00DB00FD" w:rsidRPr="00AF3A31" w:rsidRDefault="00DB00FD" w:rsidP="001E2158">
            <w:pPr>
              <w:spacing w:after="120" w:line="240" w:lineRule="auto"/>
              <w:jc w:val="left"/>
              <w:rPr>
                <w:rFonts w:eastAsia="Calibri"/>
              </w:rPr>
            </w:pPr>
            <w:r w:rsidRPr="00AF3A31">
              <w:rPr>
                <w:rFonts w:eastAsia="Calibri"/>
              </w:rPr>
              <w:t>Zmiana nie ma wpływu na DNSH</w:t>
            </w:r>
          </w:p>
        </w:tc>
      </w:tr>
      <w:tr w:rsidR="00DB00FD" w:rsidRPr="00AF3A31" w14:paraId="4FBE7BAC" w14:textId="77777777" w:rsidTr="00A501D9">
        <w:tc>
          <w:tcPr>
            <w:tcW w:w="1146" w:type="pct"/>
            <w:tcBorders>
              <w:bottom w:val="single" w:sz="4" w:space="0" w:color="auto"/>
            </w:tcBorders>
          </w:tcPr>
          <w:p w14:paraId="01E085E0" w14:textId="77777777" w:rsidR="00DB00FD" w:rsidRPr="00AF3A31" w:rsidRDefault="00DB00FD" w:rsidP="001E2158">
            <w:pPr>
              <w:spacing w:after="120" w:line="240" w:lineRule="auto"/>
              <w:jc w:val="left"/>
              <w:rPr>
                <w:rFonts w:eastAsia="Calibri"/>
              </w:rPr>
            </w:pPr>
            <w:r w:rsidRPr="00AF3A31">
              <w:rPr>
                <w:rFonts w:eastAsia="Calibri"/>
              </w:rPr>
              <w:t xml:space="preserve">Pomoc publiczna </w:t>
            </w:r>
          </w:p>
        </w:tc>
        <w:tc>
          <w:tcPr>
            <w:tcW w:w="3854" w:type="pct"/>
            <w:gridSpan w:val="2"/>
            <w:tcBorders>
              <w:bottom w:val="single" w:sz="4" w:space="0" w:color="auto"/>
            </w:tcBorders>
          </w:tcPr>
          <w:p w14:paraId="1D7C9721" w14:textId="77777777" w:rsidR="00DB00FD" w:rsidRPr="00AF3A31" w:rsidRDefault="00DB00FD" w:rsidP="001E2158">
            <w:pPr>
              <w:spacing w:after="120" w:line="240" w:lineRule="auto"/>
              <w:jc w:val="left"/>
              <w:rPr>
                <w:rFonts w:eastAsia="Calibri"/>
              </w:rPr>
            </w:pPr>
            <w:r w:rsidRPr="00AF3A31">
              <w:rPr>
                <w:rFonts w:eastAsia="Calibri"/>
              </w:rPr>
              <w:t>Nie dotyczy</w:t>
            </w:r>
          </w:p>
        </w:tc>
      </w:tr>
    </w:tbl>
    <w:p w14:paraId="599B462E" w14:textId="77777777" w:rsidR="00DB00FD" w:rsidRDefault="00DB00FD" w:rsidP="00DB00FD">
      <w:pPr>
        <w:spacing w:after="120" w:line="240" w:lineRule="auto"/>
        <w:jc w:val="left"/>
        <w:rPr>
          <w:rFonts w:eastAsia="Calibri"/>
          <w:b/>
          <w:bCs/>
        </w:rPr>
      </w:pPr>
    </w:p>
    <w:tbl>
      <w:tblPr>
        <w:tblW w:w="47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21"/>
        <w:gridCol w:w="3298"/>
        <w:gridCol w:w="3324"/>
      </w:tblGrid>
      <w:tr w:rsidR="00DB00FD" w:rsidRPr="004D5321" w14:paraId="1F39677C" w14:textId="77777777" w:rsidTr="00A501D9">
        <w:tc>
          <w:tcPr>
            <w:tcW w:w="1169" w:type="pct"/>
          </w:tcPr>
          <w:p w14:paraId="34E0449A" w14:textId="77777777" w:rsidR="00DB00FD" w:rsidRPr="004D5321" w:rsidRDefault="00DB00FD" w:rsidP="001E2158">
            <w:pPr>
              <w:spacing w:after="120" w:line="240" w:lineRule="auto"/>
              <w:rPr>
                <w:b/>
                <w:bCs/>
              </w:rPr>
            </w:pPr>
            <w:r w:rsidRPr="004D5321">
              <w:rPr>
                <w:b/>
                <w:bCs/>
              </w:rPr>
              <w:t>Numer reformy</w:t>
            </w:r>
          </w:p>
        </w:tc>
        <w:tc>
          <w:tcPr>
            <w:tcW w:w="3831" w:type="pct"/>
            <w:gridSpan w:val="2"/>
          </w:tcPr>
          <w:p w14:paraId="1AB4A562" w14:textId="77777777" w:rsidR="00DB00FD" w:rsidRPr="00374808" w:rsidRDefault="00DB00FD" w:rsidP="001E2158">
            <w:pPr>
              <w:spacing w:after="120" w:line="240" w:lineRule="auto"/>
              <w:rPr>
                <w:b/>
                <w:bCs/>
              </w:rPr>
            </w:pPr>
            <w:r w:rsidRPr="00374808">
              <w:rPr>
                <w:b/>
                <w:bCs/>
              </w:rPr>
              <w:t>D</w:t>
            </w:r>
            <w:r>
              <w:rPr>
                <w:b/>
                <w:bCs/>
              </w:rPr>
              <w:t>2.1</w:t>
            </w:r>
          </w:p>
        </w:tc>
      </w:tr>
      <w:tr w:rsidR="00DB00FD" w:rsidRPr="00935797" w14:paraId="502FE398" w14:textId="77777777" w:rsidTr="00A501D9">
        <w:tc>
          <w:tcPr>
            <w:tcW w:w="1169" w:type="pct"/>
          </w:tcPr>
          <w:p w14:paraId="7843D370" w14:textId="77777777" w:rsidR="00DB00FD" w:rsidRPr="004D5321" w:rsidRDefault="00DB00FD" w:rsidP="001E2158">
            <w:pPr>
              <w:spacing w:after="120" w:line="240" w:lineRule="auto"/>
              <w:rPr>
                <w:b/>
                <w:bCs/>
              </w:rPr>
            </w:pPr>
            <w:r w:rsidRPr="004D5321">
              <w:rPr>
                <w:b/>
                <w:bCs/>
              </w:rPr>
              <w:t>Nazwa reformy</w:t>
            </w:r>
          </w:p>
        </w:tc>
        <w:tc>
          <w:tcPr>
            <w:tcW w:w="3831" w:type="pct"/>
            <w:gridSpan w:val="2"/>
          </w:tcPr>
          <w:p w14:paraId="5D137642" w14:textId="77777777" w:rsidR="00DB00FD" w:rsidRDefault="00DB00FD" w:rsidP="001E2158">
            <w:pPr>
              <w:spacing w:after="120" w:line="240" w:lineRule="auto"/>
            </w:pPr>
            <w:r w:rsidRPr="00D86526">
              <w:t xml:space="preserve">Stworzenie odpowiednich warunków dla zwiększenia liczebności kadry medycznej </w:t>
            </w:r>
          </w:p>
          <w:p w14:paraId="4EACA482" w14:textId="77777777" w:rsidR="00DB00FD" w:rsidRPr="000410FB" w:rsidRDefault="00DB00FD" w:rsidP="001E2158">
            <w:pPr>
              <w:spacing w:after="120" w:line="240" w:lineRule="auto"/>
              <w:rPr>
                <w:b/>
                <w:bCs/>
                <w:lang w:val="en-GB"/>
              </w:rPr>
            </w:pPr>
            <w:r w:rsidRPr="00D86526">
              <w:rPr>
                <w:b/>
                <w:bCs/>
                <w:lang w:val="en-GB"/>
              </w:rPr>
              <w:t>Creating the right conditions for an increase in the number of medical staff</w:t>
            </w:r>
          </w:p>
        </w:tc>
      </w:tr>
      <w:tr w:rsidR="00DB00FD" w:rsidRPr="00935797" w14:paraId="141E8B9F" w14:textId="77777777" w:rsidTr="00A501D9">
        <w:tc>
          <w:tcPr>
            <w:tcW w:w="1169" w:type="pct"/>
            <w:shd w:val="clear" w:color="auto" w:fill="auto"/>
          </w:tcPr>
          <w:p w14:paraId="583B2C4A" w14:textId="77777777" w:rsidR="00DB00FD" w:rsidRPr="004D5321" w:rsidRDefault="00DB00FD" w:rsidP="001E2158">
            <w:pPr>
              <w:spacing w:after="120" w:line="240" w:lineRule="auto"/>
            </w:pPr>
            <w:r w:rsidRPr="004D5321">
              <w:t>Rodzaj wprowadzonej zmiany w odniesieniu do CID</w:t>
            </w:r>
          </w:p>
        </w:tc>
        <w:tc>
          <w:tcPr>
            <w:tcW w:w="3831" w:type="pct"/>
            <w:gridSpan w:val="2"/>
            <w:shd w:val="clear" w:color="auto" w:fill="auto"/>
          </w:tcPr>
          <w:p w14:paraId="711EE633" w14:textId="77777777" w:rsidR="00DB00FD" w:rsidRPr="008F19AE" w:rsidRDefault="00DB00FD" w:rsidP="001E2158">
            <w:pPr>
              <w:spacing w:after="120" w:line="240" w:lineRule="auto"/>
            </w:pPr>
            <w:r w:rsidRPr="008F19AE">
              <w:t>D25G:</w:t>
            </w:r>
            <w:r w:rsidRPr="003F458F">
              <w:t xml:space="preserve"> Zmiana  opisu kamienia milowego polegająca na poprawnym wskazaniu tytułu zawodowego, który będzie mógł uzyskać ratownik medyczny.  </w:t>
            </w:r>
          </w:p>
          <w:p w14:paraId="49723221" w14:textId="77777777" w:rsidR="00DB00FD" w:rsidRPr="003F458F" w:rsidRDefault="00DB00FD" w:rsidP="001E2158">
            <w:pPr>
              <w:spacing w:after="120" w:line="240" w:lineRule="auto"/>
            </w:pPr>
            <w:r w:rsidRPr="008F19AE">
              <w:t>D27G:</w:t>
            </w:r>
            <w:r w:rsidRPr="003F458F">
              <w:t xml:space="preserve"> Zmiana opisu kamienia milowego poprzez zamianę przepisów wprowadzanych reformą.</w:t>
            </w:r>
          </w:p>
          <w:p w14:paraId="3CFA02B7" w14:textId="77777777" w:rsidR="00DB00FD" w:rsidRPr="008F19AE" w:rsidRDefault="00DB00FD" w:rsidP="001E2158">
            <w:pPr>
              <w:pStyle w:val="HTML-wstpniesformatowany"/>
              <w:rPr>
                <w:rStyle w:val="y2iqfc"/>
                <w:rFonts w:ascii="Times New Roman" w:hAnsi="Times New Roman" w:cs="Times New Roman"/>
                <w:sz w:val="24"/>
                <w:szCs w:val="24"/>
                <w:lang w:val="en"/>
              </w:rPr>
            </w:pPr>
            <w:r w:rsidRPr="008F19AE">
              <w:rPr>
                <w:rStyle w:val="y2iqfc"/>
                <w:rFonts w:ascii="Times New Roman" w:hAnsi="Times New Roman" w:cs="Times New Roman"/>
                <w:sz w:val="24"/>
                <w:szCs w:val="24"/>
                <w:lang w:val="en"/>
              </w:rPr>
              <w:t>D25G: Change in the description of the milestone to correctly indicate the professional title that a paramedic will be able to obtain.</w:t>
            </w:r>
          </w:p>
          <w:p w14:paraId="650F3985" w14:textId="50A860C8" w:rsidR="00DB00FD" w:rsidRPr="00A501D9" w:rsidRDefault="00DB00FD" w:rsidP="00A501D9">
            <w:pPr>
              <w:pStyle w:val="HTML-wstpniesformatowany"/>
              <w:rPr>
                <w:rFonts w:ascii="Times New Roman" w:hAnsi="Times New Roman" w:cs="Times New Roman"/>
                <w:sz w:val="24"/>
                <w:szCs w:val="24"/>
                <w:lang w:val="en-GB"/>
              </w:rPr>
            </w:pPr>
            <w:r w:rsidRPr="008F19AE">
              <w:rPr>
                <w:rStyle w:val="y2iqfc"/>
                <w:rFonts w:ascii="Times New Roman" w:hAnsi="Times New Roman" w:cs="Times New Roman"/>
                <w:sz w:val="24"/>
                <w:szCs w:val="24"/>
                <w:lang w:val="en"/>
              </w:rPr>
              <w:t>D27G: Changing the description of the milestone by changing the provisions introduced by the reform.</w:t>
            </w:r>
          </w:p>
        </w:tc>
      </w:tr>
      <w:tr w:rsidR="00DB00FD" w:rsidRPr="00935797" w14:paraId="1F2FD6BF" w14:textId="77777777" w:rsidTr="00A501D9">
        <w:tc>
          <w:tcPr>
            <w:tcW w:w="1169" w:type="pct"/>
            <w:shd w:val="clear" w:color="auto" w:fill="auto"/>
          </w:tcPr>
          <w:p w14:paraId="72DF003E" w14:textId="77777777" w:rsidR="00DB00FD" w:rsidRPr="004D5321" w:rsidRDefault="00DB00FD" w:rsidP="001E2158">
            <w:pPr>
              <w:spacing w:after="120" w:line="240" w:lineRule="auto"/>
            </w:pPr>
            <w:r w:rsidRPr="004D5321">
              <w:t>Podstawa prawna zmiany</w:t>
            </w:r>
          </w:p>
        </w:tc>
        <w:tc>
          <w:tcPr>
            <w:tcW w:w="3831" w:type="pct"/>
            <w:gridSpan w:val="2"/>
            <w:shd w:val="clear" w:color="auto" w:fill="auto"/>
          </w:tcPr>
          <w:p w14:paraId="70192E2D" w14:textId="77777777" w:rsidR="00DB00FD" w:rsidRDefault="00DB00FD" w:rsidP="001E2158">
            <w:pPr>
              <w:spacing w:after="120" w:line="240" w:lineRule="auto"/>
            </w:pPr>
            <w:r w:rsidRPr="00374808">
              <w:t>art. 21 rozporządzenia Parlamentu Europejskiego i Rady (UE) 2021/241 z dnia 12 lutego 2021 r. ustanawiające Instrument na rzecz Odbudowy i Zwiększania Odporności</w:t>
            </w:r>
          </w:p>
          <w:p w14:paraId="110D64AB" w14:textId="77777777" w:rsidR="00DB00FD" w:rsidRPr="008F19AE" w:rsidRDefault="00DB00FD" w:rsidP="001E2158">
            <w:pPr>
              <w:spacing w:after="120" w:line="240" w:lineRule="auto"/>
            </w:pPr>
            <w:r w:rsidRPr="008F19AE">
              <w:t>D25G: błąd pisarski</w:t>
            </w:r>
          </w:p>
          <w:p w14:paraId="49DBB263" w14:textId="77777777" w:rsidR="00DB00FD" w:rsidRPr="00DC6242" w:rsidRDefault="00DB00FD" w:rsidP="001E2158">
            <w:pPr>
              <w:spacing w:after="120" w:line="240" w:lineRule="auto"/>
            </w:pPr>
            <w:r w:rsidRPr="008F19AE">
              <w:t>D27G: lepsza alternatywa</w:t>
            </w:r>
          </w:p>
          <w:p w14:paraId="0C5757A2" w14:textId="77777777" w:rsidR="00DB00FD" w:rsidRDefault="00DB00FD" w:rsidP="001E2158">
            <w:pPr>
              <w:spacing w:after="120" w:line="240" w:lineRule="auto"/>
              <w:rPr>
                <w:rFonts w:eastAsia="Calibri"/>
                <w:color w:val="000000"/>
                <w:lang w:val="en-GB" w:eastAsia="en-GB"/>
              </w:rPr>
            </w:pPr>
            <w:r>
              <w:rPr>
                <w:rFonts w:eastAsia="Calibri"/>
                <w:color w:val="000000"/>
                <w:lang w:val="en-GB" w:eastAsia="en-GB"/>
              </w:rPr>
              <w:t>a</w:t>
            </w:r>
            <w:r w:rsidRPr="0091494F">
              <w:rPr>
                <w:rFonts w:eastAsia="Calibri"/>
                <w:color w:val="000000"/>
                <w:lang w:val="en-GB" w:eastAsia="en-GB"/>
              </w:rPr>
              <w:t>rticle 21 of Regulation (EU) 2021/241 of the European Parliament and of the Council of 12 February 2021 establishing an Instrument for Reconstruction and Increasing Resilience</w:t>
            </w:r>
          </w:p>
          <w:p w14:paraId="0DC9A943" w14:textId="77777777" w:rsidR="00DB00FD" w:rsidRDefault="00DB00FD" w:rsidP="001E2158">
            <w:pPr>
              <w:spacing w:after="120" w:line="240" w:lineRule="auto"/>
              <w:rPr>
                <w:rFonts w:eastAsia="Calibri"/>
                <w:color w:val="000000"/>
                <w:lang w:val="en-GB" w:eastAsia="en-GB"/>
              </w:rPr>
            </w:pPr>
            <w:r>
              <w:rPr>
                <w:rFonts w:eastAsia="Calibri"/>
                <w:color w:val="000000"/>
                <w:lang w:val="en-GB" w:eastAsia="en-GB"/>
              </w:rPr>
              <w:t>D25G: clerical error</w:t>
            </w:r>
          </w:p>
          <w:p w14:paraId="0C6F26CA" w14:textId="77777777" w:rsidR="00DB00FD" w:rsidRPr="00B8242D" w:rsidRDefault="00DB00FD" w:rsidP="001E2158">
            <w:pPr>
              <w:spacing w:after="120" w:line="240" w:lineRule="auto"/>
              <w:rPr>
                <w:lang w:val="en-GB"/>
              </w:rPr>
            </w:pPr>
            <w:r>
              <w:rPr>
                <w:rFonts w:eastAsia="Calibri"/>
                <w:color w:val="000000"/>
                <w:lang w:val="en-GB" w:eastAsia="en-GB"/>
              </w:rPr>
              <w:t>D27G: better alternative</w:t>
            </w:r>
          </w:p>
        </w:tc>
      </w:tr>
      <w:tr w:rsidR="00DB00FD" w:rsidRPr="004D5321" w14:paraId="360A8689" w14:textId="77777777" w:rsidTr="00A501D9">
        <w:trPr>
          <w:trHeight w:val="561"/>
        </w:trPr>
        <w:tc>
          <w:tcPr>
            <w:tcW w:w="1169" w:type="pct"/>
            <w:shd w:val="clear" w:color="auto" w:fill="D9D9D9" w:themeFill="background1" w:themeFillShade="D9"/>
          </w:tcPr>
          <w:p w14:paraId="094E1C2E" w14:textId="77777777" w:rsidR="00DB00FD" w:rsidRPr="004D5321" w:rsidRDefault="00DB00FD" w:rsidP="001E2158">
            <w:pPr>
              <w:spacing w:after="120" w:line="240" w:lineRule="auto"/>
              <w:rPr>
                <w:highlight w:val="lightGray"/>
              </w:rPr>
            </w:pPr>
            <w:r w:rsidRPr="004D5321">
              <w:rPr>
                <w:highlight w:val="lightGray"/>
              </w:rPr>
              <w:t>Modyfikowany element</w:t>
            </w:r>
          </w:p>
        </w:tc>
        <w:tc>
          <w:tcPr>
            <w:tcW w:w="1908" w:type="pct"/>
            <w:shd w:val="clear" w:color="auto" w:fill="D9D9D9" w:themeFill="background1" w:themeFillShade="D9"/>
          </w:tcPr>
          <w:p w14:paraId="149BCC6F" w14:textId="77777777" w:rsidR="00DB00FD" w:rsidRPr="004D5321" w:rsidRDefault="00DB00FD" w:rsidP="001E2158">
            <w:pPr>
              <w:spacing w:after="120" w:line="240" w:lineRule="auto"/>
              <w:rPr>
                <w:highlight w:val="lightGray"/>
              </w:rPr>
            </w:pPr>
            <w:r w:rsidRPr="004D5321">
              <w:rPr>
                <w:highlight w:val="lightGray"/>
              </w:rPr>
              <w:t>Bieżąca wersja</w:t>
            </w:r>
          </w:p>
        </w:tc>
        <w:tc>
          <w:tcPr>
            <w:tcW w:w="1924" w:type="pct"/>
            <w:shd w:val="clear" w:color="auto" w:fill="D9D9D9" w:themeFill="background1" w:themeFillShade="D9"/>
          </w:tcPr>
          <w:p w14:paraId="37FE68E2" w14:textId="77777777" w:rsidR="00DB00FD" w:rsidRPr="004D5321" w:rsidRDefault="00DB00FD" w:rsidP="001E2158">
            <w:pPr>
              <w:spacing w:after="120" w:line="240" w:lineRule="auto"/>
              <w:rPr>
                <w:highlight w:val="lightGray"/>
              </w:rPr>
            </w:pPr>
            <w:r w:rsidRPr="004D5321">
              <w:rPr>
                <w:highlight w:val="lightGray"/>
              </w:rPr>
              <w:t>Wersja zmieniona</w:t>
            </w:r>
          </w:p>
        </w:tc>
      </w:tr>
      <w:tr w:rsidR="00DB00FD" w:rsidRPr="004D5321" w14:paraId="603E99E1" w14:textId="77777777" w:rsidTr="00A501D9">
        <w:tc>
          <w:tcPr>
            <w:tcW w:w="1169" w:type="pct"/>
            <w:vMerge w:val="restart"/>
          </w:tcPr>
          <w:p w14:paraId="4CD806D7" w14:textId="77777777" w:rsidR="00DB00FD" w:rsidRPr="004D5321" w:rsidRDefault="00DB00FD" w:rsidP="001E2158">
            <w:pPr>
              <w:spacing w:after="0" w:line="240" w:lineRule="auto"/>
            </w:pPr>
            <w:r w:rsidRPr="004D5321">
              <w:t xml:space="preserve">Opis reformy/mierników </w:t>
            </w:r>
          </w:p>
        </w:tc>
        <w:tc>
          <w:tcPr>
            <w:tcW w:w="1908" w:type="pct"/>
          </w:tcPr>
          <w:p w14:paraId="168B547A" w14:textId="77777777" w:rsidR="00DB00FD" w:rsidRPr="00374808" w:rsidRDefault="00DB00FD" w:rsidP="001E2158">
            <w:pPr>
              <w:spacing w:line="240" w:lineRule="auto"/>
              <w:jc w:val="left"/>
              <w:rPr>
                <w:b/>
                <w:bCs/>
              </w:rPr>
            </w:pPr>
            <w:r>
              <w:rPr>
                <w:b/>
                <w:bCs/>
              </w:rPr>
              <w:t>D25G</w:t>
            </w:r>
          </w:p>
          <w:p w14:paraId="7A349526" w14:textId="77777777" w:rsidR="00DB00FD" w:rsidRDefault="00DB00FD" w:rsidP="001E2158">
            <w:pPr>
              <w:tabs>
                <w:tab w:val="left" w:pos="1750"/>
              </w:tabs>
              <w:spacing w:after="120"/>
              <w:contextualSpacing/>
              <w:jc w:val="left"/>
            </w:pPr>
            <w:r w:rsidRPr="003F6FE8">
              <w:t>Wejście w życie aktu ustawodawczego o zawodzie ratownika medycznego oraz samorządzie ratowników medycznych, który wprowadzi możliwość tworzenia programów studiów II stopnia w ramach przygotowania do wykonywania zawodu ratownika medycznego</w:t>
            </w:r>
            <w:r>
              <w:t>.</w:t>
            </w:r>
          </w:p>
          <w:p w14:paraId="4E4AC1EC" w14:textId="77777777" w:rsidR="00DB00FD" w:rsidRDefault="00DB00FD" w:rsidP="001E2158">
            <w:pPr>
              <w:tabs>
                <w:tab w:val="left" w:pos="1750"/>
              </w:tabs>
              <w:spacing w:after="120"/>
              <w:contextualSpacing/>
              <w:jc w:val="left"/>
            </w:pPr>
          </w:p>
          <w:p w14:paraId="24FE62F6" w14:textId="77777777" w:rsidR="00DB00FD" w:rsidRPr="004D5321" w:rsidRDefault="00DB00FD" w:rsidP="001E2158">
            <w:pPr>
              <w:tabs>
                <w:tab w:val="left" w:pos="1750"/>
              </w:tabs>
              <w:jc w:val="left"/>
            </w:pPr>
            <w:r w:rsidRPr="004D5321">
              <w:rPr>
                <w:b/>
                <w:bCs/>
              </w:rPr>
              <w:t>Termin realizacji</w:t>
            </w:r>
            <w:r w:rsidRPr="004D5321">
              <w:t xml:space="preserve">: </w:t>
            </w:r>
            <w:r w:rsidRPr="004D5321">
              <w:rPr>
                <w:b/>
                <w:bCs/>
              </w:rPr>
              <w:t>I</w:t>
            </w:r>
            <w:r>
              <w:rPr>
                <w:b/>
                <w:bCs/>
              </w:rPr>
              <w:t>II</w:t>
            </w:r>
            <w:r w:rsidRPr="004D5321">
              <w:rPr>
                <w:b/>
                <w:bCs/>
              </w:rPr>
              <w:t xml:space="preserve"> kw.</w:t>
            </w:r>
            <w:r w:rsidRPr="004D5321">
              <w:t xml:space="preserve"> </w:t>
            </w:r>
            <w:r w:rsidRPr="004D5321">
              <w:rPr>
                <w:b/>
                <w:bCs/>
              </w:rPr>
              <w:t>202</w:t>
            </w:r>
            <w:r>
              <w:rPr>
                <w:b/>
                <w:bCs/>
              </w:rPr>
              <w:t>2</w:t>
            </w:r>
            <w:r w:rsidRPr="004D5321">
              <w:rPr>
                <w:b/>
                <w:bCs/>
              </w:rPr>
              <w:t xml:space="preserve"> r.</w:t>
            </w:r>
          </w:p>
          <w:p w14:paraId="4E27443E" w14:textId="77777777" w:rsidR="00DB00FD" w:rsidRDefault="00DB00FD" w:rsidP="001E2158">
            <w:pPr>
              <w:tabs>
                <w:tab w:val="left" w:pos="1750"/>
              </w:tabs>
              <w:spacing w:after="120"/>
              <w:contextualSpacing/>
              <w:jc w:val="left"/>
            </w:pPr>
            <w:r w:rsidRPr="009A3F1D">
              <w:rPr>
                <w:b/>
                <w:bCs/>
              </w:rPr>
              <w:t>Opis kamienia milowego:</w:t>
            </w:r>
            <w:r w:rsidRPr="004D5321">
              <w:t xml:space="preserve"> </w:t>
            </w:r>
          </w:p>
          <w:p w14:paraId="5371E64C" w14:textId="77777777" w:rsidR="00DB00FD" w:rsidRPr="00C940D6" w:rsidRDefault="00DB00FD" w:rsidP="001E2158">
            <w:pPr>
              <w:tabs>
                <w:tab w:val="left" w:pos="1750"/>
              </w:tabs>
              <w:spacing w:after="120"/>
              <w:contextualSpacing/>
              <w:jc w:val="left"/>
              <w:rPr>
                <w:b/>
                <w:bCs/>
              </w:rPr>
            </w:pPr>
            <w:r w:rsidRPr="00C940D6">
              <w:t xml:space="preserve">Aby zwiększyć kompetencje ratowników medycznych, wejdzie w życie akt ustawodawczy umożliwiający utworzenie programów studiów II stopnia na kierunku ratownictwa medycznego, zdefiniowanych jako studia dwuletnie zakończone uzyskaniem stopnia magistra. Uzyskanie </w:t>
            </w:r>
            <w:r w:rsidRPr="008F19AE">
              <w:rPr>
                <w:b/>
                <w:bCs/>
              </w:rPr>
              <w:t>tytułu specjalisty</w:t>
            </w:r>
            <w:r w:rsidRPr="00C940D6">
              <w:t xml:space="preserve"> umożliwi ratownikom medycznym zdobycie dodatkowych kwalifikacji, co zgodnie z oczekiwaniami </w:t>
            </w:r>
            <w:r w:rsidRPr="00C940D6">
              <w:lastRenderedPageBreak/>
              <w:t>przełoży się na wyższą pozycję w kategorii płac.</w:t>
            </w:r>
            <w:r w:rsidRPr="00C940D6">
              <w:rPr>
                <w:rStyle w:val="eop"/>
                <w:noProof/>
                <w:color w:val="000000" w:themeColor="text1"/>
                <w:sz w:val="18"/>
                <w:szCs w:val="18"/>
              </w:rPr>
              <w:t> </w:t>
            </w:r>
          </w:p>
        </w:tc>
        <w:tc>
          <w:tcPr>
            <w:tcW w:w="1924" w:type="pct"/>
          </w:tcPr>
          <w:p w14:paraId="539CE167" w14:textId="77777777" w:rsidR="00DB00FD" w:rsidRPr="00374808" w:rsidRDefault="00DB00FD" w:rsidP="001E2158">
            <w:pPr>
              <w:spacing w:line="240" w:lineRule="auto"/>
              <w:jc w:val="left"/>
              <w:rPr>
                <w:b/>
                <w:bCs/>
              </w:rPr>
            </w:pPr>
            <w:r>
              <w:rPr>
                <w:b/>
                <w:bCs/>
              </w:rPr>
              <w:lastRenderedPageBreak/>
              <w:t>D25G</w:t>
            </w:r>
          </w:p>
          <w:p w14:paraId="514FD842" w14:textId="6695B99D" w:rsidR="00DB00FD" w:rsidRPr="00A501D9" w:rsidRDefault="00DB00FD" w:rsidP="00A501D9">
            <w:pPr>
              <w:tabs>
                <w:tab w:val="left" w:pos="1750"/>
              </w:tabs>
              <w:spacing w:after="120"/>
              <w:contextualSpacing/>
              <w:jc w:val="left"/>
            </w:pPr>
            <w:r w:rsidRPr="003F6FE8">
              <w:t>Wejście w życie aktu ustawodawczego o zawodzie ratownika medycznego oraz samorządzie ratowników medycznych, który wprowadzi możliwość tworzenia programów studiów II stopnia w ramach przygotowania do wykonywania zawodu ratownika medycznego</w:t>
            </w:r>
            <w:r>
              <w:t>.</w:t>
            </w:r>
          </w:p>
          <w:p w14:paraId="7A07C133" w14:textId="77777777" w:rsidR="00A501D9" w:rsidRDefault="00A501D9" w:rsidP="001E2158">
            <w:pPr>
              <w:tabs>
                <w:tab w:val="left" w:pos="1750"/>
              </w:tabs>
              <w:jc w:val="left"/>
              <w:rPr>
                <w:b/>
                <w:bCs/>
              </w:rPr>
            </w:pPr>
          </w:p>
          <w:p w14:paraId="7F282BC6" w14:textId="18FE9786" w:rsidR="00DB00FD" w:rsidRPr="004D5321" w:rsidRDefault="00DB00FD" w:rsidP="001E2158">
            <w:pPr>
              <w:tabs>
                <w:tab w:val="left" w:pos="1750"/>
              </w:tabs>
              <w:jc w:val="left"/>
            </w:pPr>
            <w:r w:rsidRPr="004D5321">
              <w:rPr>
                <w:b/>
                <w:bCs/>
              </w:rPr>
              <w:t>Termin realizacji</w:t>
            </w:r>
            <w:r w:rsidRPr="004D5321">
              <w:t xml:space="preserve">: </w:t>
            </w:r>
            <w:r w:rsidRPr="004D5321">
              <w:rPr>
                <w:b/>
                <w:bCs/>
              </w:rPr>
              <w:t>I</w:t>
            </w:r>
            <w:r>
              <w:rPr>
                <w:b/>
                <w:bCs/>
              </w:rPr>
              <w:t>II</w:t>
            </w:r>
            <w:r w:rsidRPr="004D5321">
              <w:rPr>
                <w:b/>
                <w:bCs/>
              </w:rPr>
              <w:t xml:space="preserve"> kw.</w:t>
            </w:r>
            <w:r w:rsidRPr="004D5321">
              <w:t xml:space="preserve"> </w:t>
            </w:r>
            <w:r w:rsidRPr="004D5321">
              <w:rPr>
                <w:b/>
                <w:bCs/>
              </w:rPr>
              <w:t>202</w:t>
            </w:r>
            <w:r>
              <w:rPr>
                <w:b/>
                <w:bCs/>
              </w:rPr>
              <w:t>2</w:t>
            </w:r>
            <w:r w:rsidRPr="004D5321">
              <w:rPr>
                <w:b/>
                <w:bCs/>
              </w:rPr>
              <w:t xml:space="preserve"> r.</w:t>
            </w:r>
          </w:p>
          <w:p w14:paraId="432435ED" w14:textId="40040A60" w:rsidR="00DB00FD" w:rsidRDefault="00DB00FD" w:rsidP="001E2158">
            <w:pPr>
              <w:spacing w:after="0" w:line="240" w:lineRule="auto"/>
              <w:jc w:val="left"/>
            </w:pPr>
            <w:r w:rsidRPr="009A3F1D">
              <w:rPr>
                <w:b/>
                <w:bCs/>
              </w:rPr>
              <w:t>Opis kamienia milowego:</w:t>
            </w:r>
            <w:r w:rsidRPr="004D5321">
              <w:t xml:space="preserve"> </w:t>
            </w:r>
          </w:p>
          <w:p w14:paraId="5F35AD9F" w14:textId="77777777" w:rsidR="00DB00FD" w:rsidRDefault="00DB00FD" w:rsidP="001E2158">
            <w:pPr>
              <w:spacing w:after="0" w:line="240" w:lineRule="auto"/>
              <w:jc w:val="left"/>
            </w:pPr>
          </w:p>
          <w:p w14:paraId="29529583" w14:textId="77777777" w:rsidR="00DB00FD" w:rsidRPr="004D5321" w:rsidRDefault="00DB00FD" w:rsidP="001E2158">
            <w:pPr>
              <w:spacing w:after="0" w:line="240" w:lineRule="auto"/>
              <w:jc w:val="left"/>
              <w:rPr>
                <w:b/>
                <w:bCs/>
              </w:rPr>
            </w:pPr>
            <w:r w:rsidRPr="00C940D6">
              <w:t xml:space="preserve">Aby zwiększyć kompetencje ratowników medycznych, wejdzie w życie akt ustawodawczy umożliwiający utworzenie programów studiów II stopnia na kierunku ratownictwa medycznego, zdefiniowanych jako studia dwuletnie zakończone uzyskaniem </w:t>
            </w:r>
            <w:r w:rsidRPr="00412BDF">
              <w:rPr>
                <w:color w:val="FF0000"/>
              </w:rPr>
              <w:t>tytułu</w:t>
            </w:r>
            <w:r w:rsidRPr="00C940D6">
              <w:t xml:space="preserve"> magistra. </w:t>
            </w:r>
            <w:r w:rsidRPr="00AE5D27">
              <w:t xml:space="preserve">Uzyskanie </w:t>
            </w:r>
            <w:r w:rsidRPr="000549F0">
              <w:rPr>
                <w:color w:val="FF0000"/>
              </w:rPr>
              <w:t xml:space="preserve">tytułu magistra </w:t>
            </w:r>
            <w:r w:rsidRPr="00C940D6">
              <w:t xml:space="preserve">umożliwi ratownikom medycznym zdobycie dodatkowych kwalifikacji, co zgodnie z oczekiwaniami </w:t>
            </w:r>
            <w:r w:rsidRPr="00C940D6">
              <w:lastRenderedPageBreak/>
              <w:t>przełoży się na wyższą pozycję w kategorii płac.</w:t>
            </w:r>
            <w:r w:rsidRPr="00C940D6">
              <w:rPr>
                <w:rStyle w:val="eop"/>
                <w:noProof/>
                <w:color w:val="000000" w:themeColor="text1"/>
                <w:sz w:val="18"/>
                <w:szCs w:val="18"/>
              </w:rPr>
              <w:t> </w:t>
            </w:r>
          </w:p>
        </w:tc>
      </w:tr>
      <w:tr w:rsidR="00DB00FD" w:rsidRPr="00935797" w14:paraId="1F9ADE4D" w14:textId="77777777" w:rsidTr="00A501D9">
        <w:tc>
          <w:tcPr>
            <w:tcW w:w="1169" w:type="pct"/>
            <w:vMerge/>
          </w:tcPr>
          <w:p w14:paraId="5CA23E07" w14:textId="77777777" w:rsidR="00DB00FD" w:rsidRPr="004D5321" w:rsidRDefault="00DB00FD" w:rsidP="001E2158">
            <w:pPr>
              <w:spacing w:after="0" w:line="240" w:lineRule="auto"/>
            </w:pPr>
          </w:p>
        </w:tc>
        <w:tc>
          <w:tcPr>
            <w:tcW w:w="1908" w:type="pct"/>
          </w:tcPr>
          <w:p w14:paraId="573284F5" w14:textId="77777777" w:rsidR="00DB00FD" w:rsidRPr="008F19AE" w:rsidRDefault="00DB00FD" w:rsidP="001E2158">
            <w:pPr>
              <w:spacing w:line="240" w:lineRule="auto"/>
              <w:rPr>
                <w:b/>
                <w:bCs/>
                <w:lang w:val="en-US"/>
              </w:rPr>
            </w:pPr>
            <w:r w:rsidRPr="008F19AE">
              <w:rPr>
                <w:b/>
                <w:bCs/>
                <w:lang w:val="en-US"/>
              </w:rPr>
              <w:t>D25G</w:t>
            </w:r>
          </w:p>
          <w:p w14:paraId="482392DB" w14:textId="77777777" w:rsidR="00DB00FD" w:rsidRPr="008D770C" w:rsidRDefault="00DB00FD" w:rsidP="001E2158">
            <w:pPr>
              <w:tabs>
                <w:tab w:val="left" w:pos="1750"/>
              </w:tabs>
              <w:rPr>
                <w:lang w:val="en-US"/>
              </w:rPr>
            </w:pPr>
            <w:r w:rsidRPr="008D770C">
              <w:rPr>
                <w:lang w:val="en-US"/>
              </w:rPr>
              <w:t xml:space="preserve">Entry into force of the legislative Act on the profession of paramedic and the self-government of paramedics, which shall introduce the possibility of creating second-cycle programmes in the field of preparation for the profession of paramedic  </w:t>
            </w:r>
          </w:p>
          <w:p w14:paraId="17C5ABF6" w14:textId="77777777" w:rsidR="00DB00FD" w:rsidRPr="008F19AE" w:rsidRDefault="00DB00FD" w:rsidP="001E2158">
            <w:pPr>
              <w:spacing w:line="240" w:lineRule="auto"/>
              <w:rPr>
                <w:lang w:val="en-US"/>
              </w:rPr>
            </w:pPr>
            <w:r w:rsidRPr="008F19AE">
              <w:rPr>
                <w:lang w:val="en-US"/>
              </w:rPr>
              <w:t>In order to improve the competences of paramedics, a legislative act shall enter into force and enable the creation of second- cycle programmes in the field of paramedic, defined as two-year studies ending with obtaining a master's degree. Obtaining the title of a specialist shall allow paramedics to gain additional qualifications, which aims to translate into higher ranking in the salary category.</w:t>
            </w:r>
          </w:p>
        </w:tc>
        <w:tc>
          <w:tcPr>
            <w:tcW w:w="1924" w:type="pct"/>
          </w:tcPr>
          <w:p w14:paraId="1562AC06" w14:textId="77777777" w:rsidR="00DB00FD" w:rsidRPr="008F19AE" w:rsidRDefault="00DB00FD" w:rsidP="001E2158">
            <w:pPr>
              <w:spacing w:line="240" w:lineRule="auto"/>
              <w:rPr>
                <w:b/>
                <w:bCs/>
                <w:lang w:val="en-US"/>
              </w:rPr>
            </w:pPr>
            <w:r w:rsidRPr="008F19AE">
              <w:rPr>
                <w:b/>
                <w:bCs/>
                <w:lang w:val="en-US"/>
              </w:rPr>
              <w:t>D25G</w:t>
            </w:r>
          </w:p>
          <w:p w14:paraId="056E29BD" w14:textId="77777777" w:rsidR="00DB00FD" w:rsidRPr="008D770C" w:rsidRDefault="00DB00FD" w:rsidP="001E2158">
            <w:pPr>
              <w:tabs>
                <w:tab w:val="left" w:pos="1750"/>
              </w:tabs>
              <w:rPr>
                <w:lang w:val="en-US"/>
              </w:rPr>
            </w:pPr>
            <w:r w:rsidRPr="009D1150">
              <w:rPr>
                <w:lang w:val="en-US"/>
              </w:rPr>
              <w:t>Entry into force of the legislative Act on the profession of paramedic and the self-government of paramedics, which shall introduce the possibility of creating second-cycle programmes in the field of preparation for the profession of paramedic</w:t>
            </w:r>
            <w:r w:rsidRPr="008D770C">
              <w:rPr>
                <w:lang w:val="en-US"/>
              </w:rPr>
              <w:t xml:space="preserve">  </w:t>
            </w:r>
          </w:p>
          <w:p w14:paraId="414F707A" w14:textId="77777777" w:rsidR="00DB00FD" w:rsidRPr="008F19AE" w:rsidRDefault="00DB00FD" w:rsidP="001E2158">
            <w:pPr>
              <w:spacing w:line="240" w:lineRule="auto"/>
              <w:rPr>
                <w:lang w:val="en-US"/>
              </w:rPr>
            </w:pPr>
            <w:r w:rsidRPr="008F19AE">
              <w:rPr>
                <w:lang w:val="en-US"/>
              </w:rPr>
              <w:t xml:space="preserve">In order to improve the competences of paramedics, a legislative act shall enter into force and enable the creation of second- cycle programmes in the field of paramedic, defined as two-year studies ending with obtaining a master's degree. Obtaining the title of </w:t>
            </w:r>
            <w:r w:rsidRPr="008F19AE">
              <w:rPr>
                <w:color w:val="FF0000"/>
                <w:lang w:val="en-US"/>
              </w:rPr>
              <w:t xml:space="preserve">a master's degree </w:t>
            </w:r>
            <w:r w:rsidRPr="008F19AE">
              <w:rPr>
                <w:lang w:val="en-US"/>
              </w:rPr>
              <w:t>shall allow paramedics to gain additional qualifications, which aims to translate into higher ranking in the salary category.</w:t>
            </w:r>
          </w:p>
        </w:tc>
      </w:tr>
      <w:tr w:rsidR="00DB00FD" w:rsidRPr="004D5321" w14:paraId="518C0B57" w14:textId="77777777" w:rsidTr="00A501D9">
        <w:tc>
          <w:tcPr>
            <w:tcW w:w="1169" w:type="pct"/>
            <w:vMerge/>
          </w:tcPr>
          <w:p w14:paraId="134EEB9E" w14:textId="77777777" w:rsidR="00DB00FD" w:rsidRPr="008F19AE" w:rsidRDefault="00DB00FD" w:rsidP="001E2158">
            <w:pPr>
              <w:spacing w:after="0" w:line="240" w:lineRule="auto"/>
              <w:rPr>
                <w:lang w:val="en-US"/>
              </w:rPr>
            </w:pPr>
          </w:p>
        </w:tc>
        <w:tc>
          <w:tcPr>
            <w:tcW w:w="1908" w:type="pct"/>
          </w:tcPr>
          <w:p w14:paraId="55B1D65A" w14:textId="77777777" w:rsidR="00DB00FD" w:rsidRPr="004D5321" w:rsidRDefault="00DB00FD" w:rsidP="001E2158">
            <w:pPr>
              <w:tabs>
                <w:tab w:val="left" w:pos="1750"/>
              </w:tabs>
              <w:jc w:val="left"/>
              <w:rPr>
                <w:b/>
                <w:bCs/>
              </w:rPr>
            </w:pPr>
            <w:r w:rsidRPr="004D5321">
              <w:rPr>
                <w:b/>
                <w:bCs/>
              </w:rPr>
              <w:t>D</w:t>
            </w:r>
            <w:r>
              <w:rPr>
                <w:b/>
                <w:bCs/>
              </w:rPr>
              <w:t>27</w:t>
            </w:r>
            <w:r w:rsidRPr="004D5321">
              <w:rPr>
                <w:b/>
                <w:bCs/>
              </w:rPr>
              <w:t>G</w:t>
            </w:r>
          </w:p>
          <w:p w14:paraId="1BB0AAF3" w14:textId="168BB359" w:rsidR="00DB00FD" w:rsidRPr="00A501D9" w:rsidRDefault="00DB00FD" w:rsidP="001E2158">
            <w:pPr>
              <w:tabs>
                <w:tab w:val="left" w:pos="1750"/>
              </w:tabs>
              <w:jc w:val="left"/>
            </w:pPr>
            <w:r w:rsidRPr="003E5EB6">
              <w:t>Wejście w życie aktów prawnych mających na celu zwiększenie atrakcyjności miejsc pracy w sektorze medycznym i warunków pracy pracowników</w:t>
            </w:r>
          </w:p>
          <w:p w14:paraId="639AF7CE" w14:textId="77777777" w:rsidR="00DB00FD" w:rsidRPr="004D5321" w:rsidRDefault="00DB00FD" w:rsidP="001E2158">
            <w:pPr>
              <w:tabs>
                <w:tab w:val="left" w:pos="1750"/>
              </w:tabs>
              <w:jc w:val="left"/>
            </w:pPr>
            <w:r w:rsidRPr="004D5321">
              <w:rPr>
                <w:b/>
                <w:bCs/>
              </w:rPr>
              <w:t>Termin realizacji</w:t>
            </w:r>
            <w:r w:rsidRPr="004D5321">
              <w:t xml:space="preserve">: </w:t>
            </w:r>
            <w:r w:rsidRPr="004D5321">
              <w:rPr>
                <w:b/>
                <w:bCs/>
              </w:rPr>
              <w:t>I</w:t>
            </w:r>
            <w:r>
              <w:rPr>
                <w:b/>
                <w:bCs/>
              </w:rPr>
              <w:t>V</w:t>
            </w:r>
            <w:r w:rsidRPr="004D5321">
              <w:rPr>
                <w:b/>
                <w:bCs/>
              </w:rPr>
              <w:t xml:space="preserve"> kw.</w:t>
            </w:r>
            <w:r w:rsidRPr="004D5321">
              <w:t xml:space="preserve"> </w:t>
            </w:r>
            <w:r w:rsidRPr="004D5321">
              <w:rPr>
                <w:b/>
                <w:bCs/>
              </w:rPr>
              <w:t>202</w:t>
            </w:r>
            <w:r>
              <w:rPr>
                <w:b/>
                <w:bCs/>
              </w:rPr>
              <w:t>2</w:t>
            </w:r>
            <w:r w:rsidRPr="004D5321">
              <w:rPr>
                <w:b/>
                <w:bCs/>
              </w:rPr>
              <w:t xml:space="preserve"> r.</w:t>
            </w:r>
          </w:p>
          <w:p w14:paraId="4B217745" w14:textId="77777777" w:rsidR="00DB00FD" w:rsidRDefault="00DB00FD" w:rsidP="001E2158">
            <w:pPr>
              <w:tabs>
                <w:tab w:val="left" w:pos="1750"/>
              </w:tabs>
              <w:jc w:val="left"/>
              <w:rPr>
                <w:b/>
                <w:bCs/>
              </w:rPr>
            </w:pPr>
            <w:r w:rsidRPr="009A3F1D">
              <w:rPr>
                <w:b/>
                <w:bCs/>
              </w:rPr>
              <w:t>Opis kamienia milowego:</w:t>
            </w:r>
          </w:p>
          <w:p w14:paraId="5DE97F4F" w14:textId="77777777" w:rsidR="00DB00FD" w:rsidRDefault="00DB00FD" w:rsidP="001E2158">
            <w:pPr>
              <w:tabs>
                <w:tab w:val="left" w:pos="1750"/>
              </w:tabs>
              <w:spacing w:after="120"/>
              <w:jc w:val="left"/>
            </w:pPr>
            <w:r w:rsidRPr="00823047">
              <w:t>Wejdzie w życie pakiet aktów prawnych, który będzie obejmował rozporządzenie w sprawie kompetencji zawodowych lekarzy i lekarzy dentystów, zmianę rozporządzenia w sprawie stażu podyplomowego lekarza i lekarza dentysty, zmianę rozporządzenia w sprawie podstaw programowych kształcenia w zawodach szkolnictwa branżowego, nowelizację ustawy o sposobie ustalania</w:t>
            </w:r>
            <w:r>
              <w:t xml:space="preserve"> </w:t>
            </w:r>
            <w:r w:rsidRPr="00823047">
              <w:t xml:space="preserve">najniższego wynagrodzenia zasadniczego niektórych pracowników zatrudnionych w podmiotach leczniczych, w tym przepisy dotyczące: </w:t>
            </w:r>
          </w:p>
          <w:p w14:paraId="61C5F375" w14:textId="77777777" w:rsidR="00DB00FD" w:rsidRDefault="00DB00FD" w:rsidP="001E2158">
            <w:pPr>
              <w:tabs>
                <w:tab w:val="left" w:pos="1750"/>
              </w:tabs>
              <w:spacing w:after="120"/>
              <w:jc w:val="left"/>
            </w:pPr>
            <w:r w:rsidRPr="00823047">
              <w:t xml:space="preserve">1) </w:t>
            </w:r>
            <w:r w:rsidRPr="0071156D">
              <w:t xml:space="preserve">zwiększenia elastyczności procesu medycznego kształcenia podyplomowego </w:t>
            </w:r>
            <w:r w:rsidRPr="008F19AE">
              <w:t>poprzez zmniejszenie liczby specjalizacji na rzecz certyfikowanych kompetencji medycznych oraz zmiany w programie stażu podyplomowego,</w:t>
            </w:r>
            <w:r w:rsidRPr="00823047">
              <w:t xml:space="preserve"> </w:t>
            </w:r>
          </w:p>
          <w:p w14:paraId="0219AFB7" w14:textId="77777777" w:rsidR="00DB00FD" w:rsidRDefault="00DB00FD" w:rsidP="001E2158">
            <w:pPr>
              <w:tabs>
                <w:tab w:val="left" w:pos="1750"/>
              </w:tabs>
              <w:spacing w:after="120"/>
              <w:jc w:val="left"/>
            </w:pPr>
            <w:r w:rsidRPr="00823047">
              <w:t xml:space="preserve">2) wprowadzenia centralnego systemu kwalifikacji i przyznawania miejsc specjalizacyjnych, </w:t>
            </w:r>
          </w:p>
          <w:p w14:paraId="2E76BBA6" w14:textId="77777777" w:rsidR="00DB00FD" w:rsidRDefault="00DB00FD" w:rsidP="001E2158">
            <w:pPr>
              <w:tabs>
                <w:tab w:val="left" w:pos="1750"/>
              </w:tabs>
              <w:spacing w:after="120"/>
              <w:jc w:val="left"/>
            </w:pPr>
            <w:r w:rsidRPr="00823047">
              <w:t xml:space="preserve">3) odciążenia lekarzy poprzez uruchomienie specjalistycznych kursów szkoleniowych w dziedzinie pomocy operacyjnej dla pielęgniarek i ratowników medycznych, </w:t>
            </w:r>
          </w:p>
          <w:p w14:paraId="1C09A3AE" w14:textId="77777777" w:rsidR="00DB00FD" w:rsidRDefault="00DB00FD" w:rsidP="001E2158">
            <w:pPr>
              <w:tabs>
                <w:tab w:val="left" w:pos="1750"/>
              </w:tabs>
              <w:spacing w:after="120"/>
              <w:jc w:val="left"/>
            </w:pPr>
            <w:r w:rsidRPr="00823047">
              <w:t xml:space="preserve">4) aktualizacji najniższego wynagrodzenia zasadniczego pracowników zatrudnionych w podmiotach leczniczych poprzez podniesienie stawek pracowniczych dla wszystkich grup zawodowych, o których mowa w ustawie z dnia 8 czerwca 2017 r., i przyspieszenie o pół roku wymogu spełnienia przez wszystkie podmioty medyczne gwarantowanych ustawowo poziomów wynagrodzenia zasadniczego pracowników medycznych: lekarzy, lekarzy dentystów, kształcących się lekarzy i lekarzy dentystów, pielęgniarek, położnych, diagnostów laboratoryjnych, farmaceutów i przedstawicieli innych zawodów medycznych oraz </w:t>
            </w:r>
          </w:p>
          <w:p w14:paraId="38D9028F" w14:textId="77777777" w:rsidR="00DB00FD" w:rsidRPr="004D5321" w:rsidRDefault="00DB00FD" w:rsidP="001E2158">
            <w:pPr>
              <w:tabs>
                <w:tab w:val="left" w:pos="1750"/>
              </w:tabs>
              <w:spacing w:after="120"/>
              <w:jc w:val="left"/>
            </w:pPr>
            <w:r w:rsidRPr="00823047">
              <w:t>5) przeniesienia niektórych kompetencji pielęgniarek na opiekunów medycznych.</w:t>
            </w:r>
          </w:p>
        </w:tc>
        <w:tc>
          <w:tcPr>
            <w:tcW w:w="1924" w:type="pct"/>
          </w:tcPr>
          <w:p w14:paraId="7843F233" w14:textId="77777777" w:rsidR="00DB00FD" w:rsidRPr="004D5321" w:rsidRDefault="00DB00FD" w:rsidP="001E2158">
            <w:pPr>
              <w:spacing w:line="240" w:lineRule="auto"/>
              <w:jc w:val="left"/>
              <w:rPr>
                <w:b/>
                <w:bCs/>
              </w:rPr>
            </w:pPr>
            <w:r w:rsidRPr="004D5321">
              <w:rPr>
                <w:b/>
                <w:bCs/>
              </w:rPr>
              <w:t>D</w:t>
            </w:r>
            <w:r>
              <w:rPr>
                <w:b/>
                <w:bCs/>
              </w:rPr>
              <w:t>27</w:t>
            </w:r>
            <w:r w:rsidRPr="004D5321">
              <w:rPr>
                <w:b/>
                <w:bCs/>
              </w:rPr>
              <w:t xml:space="preserve">G </w:t>
            </w:r>
          </w:p>
          <w:p w14:paraId="270C0D5F" w14:textId="086C0D84" w:rsidR="00DB00FD" w:rsidRPr="00A501D9" w:rsidRDefault="00DB00FD" w:rsidP="001E2158">
            <w:pPr>
              <w:tabs>
                <w:tab w:val="left" w:pos="1750"/>
              </w:tabs>
              <w:jc w:val="left"/>
            </w:pPr>
            <w:r w:rsidRPr="003E5EB6">
              <w:t>Wejście w życie aktów prawnych mających na celu zwiększenie atrakcyjności miejsc pracy w sektorze medycznym i warunków pracy pracowników</w:t>
            </w:r>
          </w:p>
          <w:p w14:paraId="1469AA1D" w14:textId="77777777" w:rsidR="00DB00FD" w:rsidRPr="004D5321" w:rsidRDefault="00DB00FD" w:rsidP="001E2158">
            <w:pPr>
              <w:tabs>
                <w:tab w:val="left" w:pos="1750"/>
              </w:tabs>
              <w:jc w:val="left"/>
            </w:pPr>
            <w:r w:rsidRPr="004D5321">
              <w:rPr>
                <w:b/>
                <w:bCs/>
              </w:rPr>
              <w:t>Termin realizacji</w:t>
            </w:r>
            <w:r w:rsidRPr="004D5321">
              <w:t xml:space="preserve">: </w:t>
            </w:r>
            <w:r w:rsidRPr="004D5321">
              <w:rPr>
                <w:b/>
                <w:bCs/>
              </w:rPr>
              <w:t>IV kw.</w:t>
            </w:r>
            <w:r w:rsidRPr="004D5321">
              <w:t xml:space="preserve"> </w:t>
            </w:r>
            <w:r w:rsidRPr="004D5321">
              <w:rPr>
                <w:b/>
                <w:bCs/>
              </w:rPr>
              <w:t>202</w:t>
            </w:r>
            <w:r>
              <w:rPr>
                <w:b/>
                <w:bCs/>
              </w:rPr>
              <w:t>2</w:t>
            </w:r>
            <w:r w:rsidRPr="004D5321">
              <w:rPr>
                <w:b/>
                <w:bCs/>
              </w:rPr>
              <w:t xml:space="preserve"> r.</w:t>
            </w:r>
          </w:p>
          <w:p w14:paraId="5A7038E1" w14:textId="77777777" w:rsidR="00DB00FD" w:rsidRDefault="00DB00FD" w:rsidP="001E2158">
            <w:pPr>
              <w:tabs>
                <w:tab w:val="left" w:pos="1750"/>
              </w:tabs>
              <w:jc w:val="left"/>
              <w:rPr>
                <w:b/>
                <w:bCs/>
              </w:rPr>
            </w:pPr>
            <w:r w:rsidRPr="009A3F1D">
              <w:rPr>
                <w:b/>
                <w:bCs/>
              </w:rPr>
              <w:t>Opis kamienia milowego:</w:t>
            </w:r>
          </w:p>
          <w:p w14:paraId="1E42E396" w14:textId="77777777" w:rsidR="00DB00FD" w:rsidRPr="003E5EB6" w:rsidRDefault="00DB00FD" w:rsidP="001E2158">
            <w:pPr>
              <w:tabs>
                <w:tab w:val="left" w:pos="1750"/>
              </w:tabs>
              <w:jc w:val="left"/>
            </w:pPr>
            <w:r w:rsidRPr="003E5EB6">
              <w:t xml:space="preserve">Wejdzie w życie pakiet aktów prawnych, który będzie obejmował rozporządzenie w sprawie kompetencji zawodowych lekarzy i lekarzy dentystów, </w:t>
            </w:r>
            <w:r w:rsidRPr="008F19AE">
              <w:rPr>
                <w:color w:val="FF0000"/>
              </w:rPr>
              <w:t>zmianę ustawy o zawodach lekarza i lekarza dentysty,</w:t>
            </w:r>
            <w:r w:rsidRPr="008F19AE">
              <w:t xml:space="preserve"> </w:t>
            </w:r>
            <w:r w:rsidRPr="003E5EB6">
              <w:t xml:space="preserve">zmianę rozporządzenia w sprawie stażu podyplomowego lekarza i lekarza dentysty, zmianę rozporządzenia w sprawie podstaw programowych kształcenia w zawodach szkolnictwa branżowego, nowelizację ustawy o sposobie ustalania najniższego wynagrodzenia zasadniczego niektórych pracowników zatrudnionych w podmiotach leczniczych, w tym przepisy dotyczące: </w:t>
            </w:r>
          </w:p>
          <w:p w14:paraId="0721AECA" w14:textId="77777777" w:rsidR="00DB00FD" w:rsidRPr="009926A3" w:rsidRDefault="00DB00FD" w:rsidP="001E2158">
            <w:pPr>
              <w:tabs>
                <w:tab w:val="left" w:pos="1750"/>
              </w:tabs>
              <w:jc w:val="left"/>
            </w:pPr>
            <w:r w:rsidRPr="003E5EB6">
              <w:t xml:space="preserve">1) </w:t>
            </w:r>
            <w:r w:rsidRPr="009D1150">
              <w:t xml:space="preserve">zwiększenia elastyczności procesu medycznego kształcenia podyplomowego </w:t>
            </w:r>
            <w:r w:rsidRPr="0071156D">
              <w:rPr>
                <w:color w:val="FF0000"/>
              </w:rPr>
              <w:t>poprzez wprowadzenie certyfikowanych kompetencji medycznych, umożliwienie przystępowania do egzaminu specjalizacyjnego po ukończeniu przedostatniego r</w:t>
            </w:r>
            <w:r w:rsidRPr="008F19AE">
              <w:rPr>
                <w:color w:val="FF0000"/>
              </w:rPr>
              <w:t xml:space="preserve">oku szkolenia specjalizacyjnego </w:t>
            </w:r>
            <w:r w:rsidRPr="009D1150">
              <w:t xml:space="preserve">oraz zmiany w programie stażu podyplomowego, </w:t>
            </w:r>
          </w:p>
          <w:p w14:paraId="323B1ED3" w14:textId="77777777" w:rsidR="00DB00FD" w:rsidRPr="003E5EB6" w:rsidRDefault="00DB00FD" w:rsidP="001E2158">
            <w:pPr>
              <w:tabs>
                <w:tab w:val="left" w:pos="1750"/>
              </w:tabs>
              <w:jc w:val="left"/>
            </w:pPr>
            <w:r w:rsidRPr="003E5EB6">
              <w:t xml:space="preserve">2) wprowadzenia centralnego systemu kwalifikacji i przyznawania miejsc specjalizacyjnych, </w:t>
            </w:r>
          </w:p>
          <w:p w14:paraId="211A5B46" w14:textId="77777777" w:rsidR="00DB00FD" w:rsidRPr="003E5EB6" w:rsidRDefault="00DB00FD" w:rsidP="001E2158">
            <w:pPr>
              <w:tabs>
                <w:tab w:val="left" w:pos="1750"/>
              </w:tabs>
              <w:jc w:val="left"/>
            </w:pPr>
            <w:r w:rsidRPr="003E5EB6">
              <w:t xml:space="preserve">3) odciążenia lekarzy poprzez uruchomienie specjalistycznych kursów szkoleniowych w dziedzinie pomocy operacyjnej dla pielęgniarek i ratowników medycznych, </w:t>
            </w:r>
          </w:p>
          <w:p w14:paraId="0B2C3F03" w14:textId="77777777" w:rsidR="00DB00FD" w:rsidRPr="003E5EB6" w:rsidRDefault="00DB00FD" w:rsidP="001E2158">
            <w:pPr>
              <w:tabs>
                <w:tab w:val="left" w:pos="1750"/>
              </w:tabs>
              <w:jc w:val="left"/>
            </w:pPr>
            <w:r w:rsidRPr="003E5EB6">
              <w:t xml:space="preserve">4) aktualizacji najniższego wynagrodzenia zasadniczego pracowników zatrudnionych w podmiotach leczniczych poprzez podniesienie stawek pracowniczych dla wszystkich grup zawodowych, o których mowa w ustawie z dnia 8 czerwca 2017 r., i przyspieszenie o pół roku wymogu spełnienia przez wszystkie podmioty medyczne gwarantowanych ustawowo poziomów wynagrodzenia zasadniczego pracowników medycznych: lekarzy, lekarzy dentystów, kształcących się lekarzy i lekarzy dentystów, pielęgniarek, położnych, diagnostów laboratoryjnych, farmaceutów i przedstawicieli innych zawodów medycznych oraz </w:t>
            </w:r>
          </w:p>
          <w:p w14:paraId="3B79FA81" w14:textId="77777777" w:rsidR="00DB00FD" w:rsidRPr="003E5EB6" w:rsidRDefault="00DB00FD" w:rsidP="001E2158">
            <w:pPr>
              <w:tabs>
                <w:tab w:val="left" w:pos="1750"/>
              </w:tabs>
              <w:jc w:val="left"/>
            </w:pPr>
            <w:r w:rsidRPr="003E5EB6">
              <w:t>5) przeniesienia niektórych kompetencji pielęgniarek na opiekunów medycznych.</w:t>
            </w:r>
          </w:p>
        </w:tc>
      </w:tr>
      <w:tr w:rsidR="00DB00FD" w:rsidRPr="00935797" w14:paraId="21DB0C9B" w14:textId="77777777" w:rsidTr="00A501D9">
        <w:tc>
          <w:tcPr>
            <w:tcW w:w="1169" w:type="pct"/>
          </w:tcPr>
          <w:p w14:paraId="049BF8B4" w14:textId="77777777" w:rsidR="00DB00FD" w:rsidRPr="00412BDF" w:rsidRDefault="00DB00FD" w:rsidP="001E2158">
            <w:pPr>
              <w:spacing w:after="0" w:line="240" w:lineRule="auto"/>
            </w:pPr>
          </w:p>
        </w:tc>
        <w:tc>
          <w:tcPr>
            <w:tcW w:w="1908" w:type="pct"/>
          </w:tcPr>
          <w:p w14:paraId="6EA0BAAC" w14:textId="77777777" w:rsidR="00DB00FD" w:rsidRPr="008F19AE" w:rsidRDefault="00DB00FD" w:rsidP="001E2158">
            <w:pPr>
              <w:tabs>
                <w:tab w:val="left" w:pos="1750"/>
              </w:tabs>
              <w:rPr>
                <w:b/>
                <w:bCs/>
                <w:lang w:val="en-US"/>
              </w:rPr>
            </w:pPr>
            <w:r w:rsidRPr="008F19AE">
              <w:rPr>
                <w:b/>
                <w:bCs/>
                <w:lang w:val="en-US"/>
              </w:rPr>
              <w:t>D27G</w:t>
            </w:r>
          </w:p>
          <w:p w14:paraId="27265BE9" w14:textId="77777777" w:rsidR="00DB00FD" w:rsidRPr="008D770C" w:rsidRDefault="00DB00FD" w:rsidP="001E2158">
            <w:pPr>
              <w:tabs>
                <w:tab w:val="left" w:pos="1750"/>
              </w:tabs>
              <w:rPr>
                <w:lang w:val="en-US"/>
              </w:rPr>
            </w:pPr>
            <w:r w:rsidRPr="008D770C">
              <w:rPr>
                <w:lang w:val="en-US"/>
              </w:rPr>
              <w:t>Entry into force of legal acts aiming at improving attractiveness of medical jobs and working conditions of medical workers.</w:t>
            </w:r>
          </w:p>
          <w:p w14:paraId="05A0C434" w14:textId="77777777" w:rsidR="00DB00FD" w:rsidRPr="008D770C" w:rsidRDefault="00DB00FD" w:rsidP="001E2158">
            <w:pPr>
              <w:spacing w:after="0" w:line="240" w:lineRule="auto"/>
              <w:rPr>
                <w:b/>
                <w:bCs/>
                <w:lang w:val="en-US"/>
              </w:rPr>
            </w:pPr>
            <w:r w:rsidRPr="008D770C">
              <w:rPr>
                <w:b/>
                <w:bCs/>
                <w:lang w:val="en-US"/>
              </w:rPr>
              <w:lastRenderedPageBreak/>
              <w:t>Description of the milestone</w:t>
            </w:r>
          </w:p>
          <w:p w14:paraId="52A4C389" w14:textId="77777777" w:rsidR="00DB00FD" w:rsidRDefault="00DB00FD" w:rsidP="001E2158">
            <w:pPr>
              <w:rPr>
                <w:lang w:val="en-US"/>
              </w:rPr>
            </w:pPr>
            <w:r w:rsidRPr="00995B4D">
              <w:rPr>
                <w:lang w:val="en-US"/>
              </w:rPr>
              <w:t>A package of legal acts shall enter into force</w:t>
            </w:r>
            <w:r>
              <w:rPr>
                <w:lang w:val="en-US"/>
              </w:rPr>
              <w:t xml:space="preserve"> </w:t>
            </w:r>
            <w:r w:rsidRPr="00995B4D">
              <w:rPr>
                <w:lang w:val="en-US"/>
              </w:rPr>
              <w:t>and consist of a regulation on the</w:t>
            </w:r>
            <w:r>
              <w:rPr>
                <w:lang w:val="en-US"/>
              </w:rPr>
              <w:t xml:space="preserve"> </w:t>
            </w:r>
            <w:r w:rsidRPr="00995B4D">
              <w:rPr>
                <w:lang w:val="en-US"/>
              </w:rPr>
              <w:t>professional competence of doctors and</w:t>
            </w:r>
            <w:r>
              <w:rPr>
                <w:lang w:val="en-US"/>
              </w:rPr>
              <w:t xml:space="preserve"> </w:t>
            </w:r>
            <w:r w:rsidRPr="00995B4D">
              <w:rPr>
                <w:lang w:val="en-US"/>
              </w:rPr>
              <w:t>dentists, an amendment to the regulation on</w:t>
            </w:r>
            <w:r>
              <w:rPr>
                <w:lang w:val="en-US"/>
              </w:rPr>
              <w:t xml:space="preserve"> </w:t>
            </w:r>
            <w:r w:rsidRPr="00995B4D">
              <w:rPr>
                <w:lang w:val="en-US"/>
              </w:rPr>
              <w:t>postgraduate internship for doctors and</w:t>
            </w:r>
            <w:r>
              <w:rPr>
                <w:lang w:val="en-US"/>
              </w:rPr>
              <w:t xml:space="preserve"> </w:t>
            </w:r>
            <w:r w:rsidRPr="00995B4D">
              <w:rPr>
                <w:lang w:val="en-US"/>
              </w:rPr>
              <w:t>dentists, an amendment to the regulation on</w:t>
            </w:r>
            <w:r>
              <w:rPr>
                <w:lang w:val="en-US"/>
              </w:rPr>
              <w:t xml:space="preserve"> </w:t>
            </w:r>
            <w:r w:rsidRPr="00995B4D">
              <w:rPr>
                <w:lang w:val="en-US"/>
              </w:rPr>
              <w:t>the core curriculum for education in the</w:t>
            </w:r>
            <w:r>
              <w:rPr>
                <w:lang w:val="en-US"/>
              </w:rPr>
              <w:t xml:space="preserve"> </w:t>
            </w:r>
            <w:r w:rsidRPr="00995B4D">
              <w:rPr>
                <w:lang w:val="en-US"/>
              </w:rPr>
              <w:t>vocational education professions, an</w:t>
            </w:r>
            <w:r>
              <w:rPr>
                <w:lang w:val="en-US"/>
              </w:rPr>
              <w:t xml:space="preserve"> </w:t>
            </w:r>
            <w:r w:rsidRPr="00995B4D">
              <w:rPr>
                <w:lang w:val="en-US"/>
              </w:rPr>
              <w:t>amendment to the act on the method</w:t>
            </w:r>
            <w:r>
              <w:rPr>
                <w:lang w:val="en-US"/>
              </w:rPr>
              <w:t xml:space="preserve"> </w:t>
            </w:r>
            <w:r w:rsidRPr="00995B4D">
              <w:rPr>
                <w:lang w:val="en-US"/>
              </w:rPr>
              <w:t>of determining the lowest basic salary of</w:t>
            </w:r>
            <w:r>
              <w:rPr>
                <w:lang w:val="en-US"/>
              </w:rPr>
              <w:t xml:space="preserve"> </w:t>
            </w:r>
            <w:r w:rsidRPr="00995B4D">
              <w:rPr>
                <w:lang w:val="en-US"/>
              </w:rPr>
              <w:t>certain employees working in healthcare</w:t>
            </w:r>
            <w:r>
              <w:rPr>
                <w:lang w:val="en-US"/>
              </w:rPr>
              <w:t xml:space="preserve"> </w:t>
            </w:r>
            <w:r w:rsidRPr="00995B4D">
              <w:rPr>
                <w:lang w:val="en-US"/>
              </w:rPr>
              <w:t>entities, including provisions on:</w:t>
            </w:r>
            <w:r>
              <w:rPr>
                <w:lang w:val="en-US"/>
              </w:rPr>
              <w:t xml:space="preserve"> </w:t>
            </w:r>
          </w:p>
          <w:p w14:paraId="15EE53A9" w14:textId="77777777" w:rsidR="00DB00FD" w:rsidRDefault="00DB00FD" w:rsidP="001E2158">
            <w:pPr>
              <w:rPr>
                <w:lang w:val="en-US"/>
              </w:rPr>
            </w:pPr>
            <w:r w:rsidRPr="00995B4D">
              <w:rPr>
                <w:lang w:val="en-US"/>
              </w:rPr>
              <w:t>1) increasing the flexibility of the</w:t>
            </w:r>
            <w:r>
              <w:rPr>
                <w:lang w:val="en-US"/>
              </w:rPr>
              <w:t xml:space="preserve"> </w:t>
            </w:r>
            <w:r w:rsidRPr="00995B4D">
              <w:rPr>
                <w:lang w:val="en-US"/>
              </w:rPr>
              <w:t>postgraduate medical education process by</w:t>
            </w:r>
            <w:r>
              <w:rPr>
                <w:lang w:val="en-US"/>
              </w:rPr>
              <w:t xml:space="preserve"> </w:t>
            </w:r>
            <w:r w:rsidRPr="00995B4D">
              <w:rPr>
                <w:lang w:val="en-US"/>
              </w:rPr>
              <w:t>reducing the number of specialisations in</w:t>
            </w:r>
            <w:r>
              <w:rPr>
                <w:lang w:val="en-US"/>
              </w:rPr>
              <w:t xml:space="preserve"> </w:t>
            </w:r>
            <w:r w:rsidRPr="00995B4D">
              <w:rPr>
                <w:lang w:val="en-US"/>
              </w:rPr>
              <w:t>favour of certified medical competences and</w:t>
            </w:r>
            <w:r>
              <w:rPr>
                <w:lang w:val="en-US"/>
              </w:rPr>
              <w:t xml:space="preserve"> </w:t>
            </w:r>
            <w:r w:rsidRPr="00995B4D">
              <w:rPr>
                <w:lang w:val="en-US"/>
              </w:rPr>
              <w:t>changing the postgraduate internship</w:t>
            </w:r>
            <w:r>
              <w:rPr>
                <w:lang w:val="en-US"/>
              </w:rPr>
              <w:t xml:space="preserve"> </w:t>
            </w:r>
            <w:r w:rsidRPr="00995B4D">
              <w:rPr>
                <w:lang w:val="en-US"/>
              </w:rPr>
              <w:t>program,</w:t>
            </w:r>
            <w:r>
              <w:rPr>
                <w:lang w:val="en-US"/>
              </w:rPr>
              <w:t xml:space="preserve"> </w:t>
            </w:r>
          </w:p>
          <w:p w14:paraId="730C3BA7" w14:textId="77777777" w:rsidR="00DB00FD" w:rsidRDefault="00DB00FD" w:rsidP="001E2158">
            <w:pPr>
              <w:rPr>
                <w:lang w:val="en-US"/>
              </w:rPr>
            </w:pPr>
            <w:r w:rsidRPr="00995B4D">
              <w:rPr>
                <w:lang w:val="en-US"/>
              </w:rPr>
              <w:t>2) introducing a central system for</w:t>
            </w:r>
            <w:r>
              <w:rPr>
                <w:lang w:val="en-US"/>
              </w:rPr>
              <w:t xml:space="preserve"> </w:t>
            </w:r>
            <w:r w:rsidRPr="00995B4D">
              <w:rPr>
                <w:lang w:val="en-US"/>
              </w:rPr>
              <w:t>qualifying and allocating specialisation</w:t>
            </w:r>
            <w:r>
              <w:rPr>
                <w:lang w:val="en-US"/>
              </w:rPr>
              <w:t xml:space="preserve"> </w:t>
            </w:r>
            <w:r w:rsidRPr="00995B4D">
              <w:rPr>
                <w:lang w:val="en-US"/>
              </w:rPr>
              <w:t>places,</w:t>
            </w:r>
            <w:r>
              <w:rPr>
                <w:lang w:val="en-US"/>
              </w:rPr>
              <w:t xml:space="preserve"> </w:t>
            </w:r>
          </w:p>
          <w:p w14:paraId="37597DE3" w14:textId="77777777" w:rsidR="00DB00FD" w:rsidRDefault="00DB00FD" w:rsidP="001E2158">
            <w:pPr>
              <w:rPr>
                <w:lang w:val="en-US"/>
              </w:rPr>
            </w:pPr>
            <w:r w:rsidRPr="00995B4D">
              <w:rPr>
                <w:lang w:val="en-US"/>
              </w:rPr>
              <w:t>3) relieving doctors by launching specialist</w:t>
            </w:r>
            <w:r>
              <w:rPr>
                <w:lang w:val="en-US"/>
              </w:rPr>
              <w:t xml:space="preserve"> </w:t>
            </w:r>
            <w:r w:rsidRPr="00995B4D">
              <w:rPr>
                <w:lang w:val="en-US"/>
              </w:rPr>
              <w:t>training courses in the field of operational</w:t>
            </w:r>
            <w:r>
              <w:rPr>
                <w:lang w:val="en-US"/>
              </w:rPr>
              <w:t xml:space="preserve"> </w:t>
            </w:r>
            <w:r w:rsidRPr="00995B4D">
              <w:rPr>
                <w:lang w:val="en-US"/>
              </w:rPr>
              <w:t>aid for nurses and paramedics,</w:t>
            </w:r>
            <w:r>
              <w:rPr>
                <w:lang w:val="en-US"/>
              </w:rPr>
              <w:t xml:space="preserve"> </w:t>
            </w:r>
          </w:p>
          <w:p w14:paraId="7F3F4FFE" w14:textId="77777777" w:rsidR="00DB00FD" w:rsidRDefault="00DB00FD" w:rsidP="001E2158">
            <w:pPr>
              <w:rPr>
                <w:lang w:val="en-US"/>
              </w:rPr>
            </w:pPr>
            <w:r w:rsidRPr="00995B4D">
              <w:rPr>
                <w:lang w:val="en-US"/>
              </w:rPr>
              <w:t>4) updating the lowest basic salary of</w:t>
            </w:r>
            <w:r>
              <w:rPr>
                <w:lang w:val="en-US"/>
              </w:rPr>
              <w:t xml:space="preserve"> </w:t>
            </w:r>
            <w:r w:rsidRPr="00995B4D">
              <w:rPr>
                <w:lang w:val="en-US"/>
              </w:rPr>
              <w:t>employees working in healthcare entities by</w:t>
            </w:r>
            <w:r>
              <w:rPr>
                <w:lang w:val="en-US"/>
              </w:rPr>
              <w:t xml:space="preserve"> </w:t>
            </w:r>
            <w:r w:rsidRPr="00995B4D">
              <w:rPr>
                <w:lang w:val="en-US"/>
              </w:rPr>
              <w:t>increasing working rates for all occupational</w:t>
            </w:r>
            <w:r>
              <w:rPr>
                <w:lang w:val="en-US"/>
              </w:rPr>
              <w:t xml:space="preserve"> </w:t>
            </w:r>
            <w:r w:rsidRPr="00995B4D">
              <w:rPr>
                <w:lang w:val="en-US"/>
              </w:rPr>
              <w:t>groups referred to in the Act of 8 June 2017</w:t>
            </w:r>
            <w:r>
              <w:rPr>
                <w:lang w:val="en-US"/>
              </w:rPr>
              <w:t xml:space="preserve"> </w:t>
            </w:r>
            <w:r w:rsidRPr="00995B4D">
              <w:rPr>
                <w:lang w:val="en-US"/>
              </w:rPr>
              <w:t>and bringing forward by half a year the</w:t>
            </w:r>
            <w:r>
              <w:rPr>
                <w:lang w:val="en-US"/>
              </w:rPr>
              <w:t xml:space="preserve"> </w:t>
            </w:r>
            <w:r w:rsidRPr="00995B4D">
              <w:rPr>
                <w:lang w:val="en-US"/>
              </w:rPr>
              <w:t>requirement for all medical establishments</w:t>
            </w:r>
            <w:r>
              <w:rPr>
                <w:lang w:val="en-US"/>
              </w:rPr>
              <w:t xml:space="preserve"> </w:t>
            </w:r>
            <w:r w:rsidRPr="00995B4D">
              <w:rPr>
                <w:lang w:val="en-US"/>
              </w:rPr>
              <w:t>to meet statutorily guaranteed levels of</w:t>
            </w:r>
            <w:r>
              <w:rPr>
                <w:lang w:val="en-US"/>
              </w:rPr>
              <w:t xml:space="preserve"> </w:t>
            </w:r>
            <w:r w:rsidRPr="00995B4D">
              <w:rPr>
                <w:lang w:val="en-US"/>
              </w:rPr>
              <w:t>basic salaries for medical workers: doctors,</w:t>
            </w:r>
            <w:r>
              <w:rPr>
                <w:lang w:val="en-US"/>
              </w:rPr>
              <w:t xml:space="preserve"> </w:t>
            </w:r>
            <w:r w:rsidRPr="00995B4D">
              <w:rPr>
                <w:lang w:val="en-US"/>
              </w:rPr>
              <w:t>dentists, trainee doctors and dentists, nurses,</w:t>
            </w:r>
            <w:r>
              <w:rPr>
                <w:lang w:val="en-US"/>
              </w:rPr>
              <w:t xml:space="preserve"> </w:t>
            </w:r>
            <w:r w:rsidRPr="00995B4D">
              <w:rPr>
                <w:lang w:val="en-US"/>
              </w:rPr>
              <w:t>midwives, laboratory diagnosticians,</w:t>
            </w:r>
            <w:r>
              <w:rPr>
                <w:lang w:val="en-US"/>
              </w:rPr>
              <w:t xml:space="preserve"> </w:t>
            </w:r>
            <w:r w:rsidRPr="00995B4D">
              <w:rPr>
                <w:lang w:val="en-US"/>
              </w:rPr>
              <w:t>physiotherapists, pharmacists and other</w:t>
            </w:r>
            <w:r>
              <w:rPr>
                <w:lang w:val="en-US"/>
              </w:rPr>
              <w:t xml:space="preserve"> </w:t>
            </w:r>
            <w:r w:rsidRPr="00995B4D">
              <w:rPr>
                <w:lang w:val="en-US"/>
              </w:rPr>
              <w:t>medical professionals, and</w:t>
            </w:r>
            <w:r>
              <w:rPr>
                <w:lang w:val="en-US"/>
              </w:rPr>
              <w:t xml:space="preserve"> </w:t>
            </w:r>
          </w:p>
          <w:p w14:paraId="3AECBE02" w14:textId="77777777" w:rsidR="00DB00FD" w:rsidRPr="005301C6" w:rsidRDefault="00DB00FD" w:rsidP="001E2158">
            <w:pPr>
              <w:rPr>
                <w:lang w:val="en-US"/>
              </w:rPr>
            </w:pPr>
            <w:r w:rsidRPr="00995B4D">
              <w:rPr>
                <w:lang w:val="en-US"/>
              </w:rPr>
              <w:t>5) transferring some competences from</w:t>
            </w:r>
            <w:r>
              <w:rPr>
                <w:lang w:val="en-US"/>
              </w:rPr>
              <w:t xml:space="preserve"> </w:t>
            </w:r>
            <w:r w:rsidRPr="00995B4D">
              <w:rPr>
                <w:lang w:val="en-US"/>
              </w:rPr>
              <w:t>nurses to medical carers.</w:t>
            </w:r>
            <w:r>
              <w:rPr>
                <w:lang w:val="en-US"/>
              </w:rPr>
              <w:t xml:space="preserve"> </w:t>
            </w:r>
          </w:p>
          <w:p w14:paraId="27421A96" w14:textId="77777777" w:rsidR="00DB00FD" w:rsidRPr="008F19AE" w:rsidRDefault="00DB00FD" w:rsidP="001E2158">
            <w:pPr>
              <w:tabs>
                <w:tab w:val="left" w:pos="1750"/>
              </w:tabs>
              <w:rPr>
                <w:b/>
                <w:bCs/>
                <w:lang w:val="en-US"/>
              </w:rPr>
            </w:pPr>
          </w:p>
        </w:tc>
        <w:tc>
          <w:tcPr>
            <w:tcW w:w="1924" w:type="pct"/>
          </w:tcPr>
          <w:p w14:paraId="2E02A763" w14:textId="77777777" w:rsidR="00DB00FD" w:rsidRPr="008F19AE" w:rsidRDefault="00DB00FD" w:rsidP="001E2158">
            <w:pPr>
              <w:spacing w:line="240" w:lineRule="auto"/>
              <w:rPr>
                <w:b/>
                <w:bCs/>
                <w:lang w:val="en-US"/>
              </w:rPr>
            </w:pPr>
            <w:r w:rsidRPr="008F19AE">
              <w:rPr>
                <w:b/>
                <w:bCs/>
                <w:lang w:val="en-US"/>
              </w:rPr>
              <w:lastRenderedPageBreak/>
              <w:t xml:space="preserve">D27G </w:t>
            </w:r>
          </w:p>
          <w:p w14:paraId="36DC51F7" w14:textId="77777777" w:rsidR="00DB00FD" w:rsidRPr="008D770C" w:rsidRDefault="00DB00FD" w:rsidP="001E2158">
            <w:pPr>
              <w:tabs>
                <w:tab w:val="left" w:pos="1750"/>
              </w:tabs>
              <w:rPr>
                <w:lang w:val="en-US"/>
              </w:rPr>
            </w:pPr>
            <w:r w:rsidRPr="009D1150">
              <w:rPr>
                <w:lang w:val="en-US"/>
              </w:rPr>
              <w:t>Entry into force of legal acts aiming at improving attractiveness of medical jobs and working conditions of medical workers.</w:t>
            </w:r>
          </w:p>
          <w:p w14:paraId="3D4131C5" w14:textId="32385307" w:rsidR="00DB00FD" w:rsidRPr="008D770C" w:rsidRDefault="00DB00FD" w:rsidP="001E2158">
            <w:pPr>
              <w:spacing w:after="0" w:line="240" w:lineRule="auto"/>
              <w:rPr>
                <w:b/>
                <w:bCs/>
                <w:lang w:val="en-US"/>
              </w:rPr>
            </w:pPr>
            <w:r w:rsidRPr="009D1150">
              <w:rPr>
                <w:b/>
                <w:bCs/>
                <w:lang w:val="en-US"/>
              </w:rPr>
              <w:t>Description of the milestone</w:t>
            </w:r>
          </w:p>
          <w:p w14:paraId="0A08F9B3" w14:textId="77777777" w:rsidR="00DB00FD" w:rsidRDefault="00DB00FD" w:rsidP="001E2158">
            <w:pPr>
              <w:rPr>
                <w:lang w:val="en-US"/>
              </w:rPr>
            </w:pPr>
            <w:r w:rsidRPr="00995B4D">
              <w:rPr>
                <w:lang w:val="en-US"/>
              </w:rPr>
              <w:lastRenderedPageBreak/>
              <w:t>A package of legal acts shall enter into force</w:t>
            </w:r>
            <w:r>
              <w:rPr>
                <w:lang w:val="en-US"/>
              </w:rPr>
              <w:t xml:space="preserve"> </w:t>
            </w:r>
            <w:r w:rsidRPr="00995B4D">
              <w:rPr>
                <w:lang w:val="en-US"/>
              </w:rPr>
              <w:t>and consist of a regulation on the</w:t>
            </w:r>
            <w:r>
              <w:rPr>
                <w:lang w:val="en-US"/>
              </w:rPr>
              <w:t xml:space="preserve"> </w:t>
            </w:r>
            <w:r w:rsidRPr="00995B4D">
              <w:rPr>
                <w:lang w:val="en-US"/>
              </w:rPr>
              <w:t>professional competence of doctors and</w:t>
            </w:r>
            <w:r>
              <w:rPr>
                <w:lang w:val="en-US"/>
              </w:rPr>
              <w:t xml:space="preserve"> </w:t>
            </w:r>
            <w:r w:rsidRPr="00995B4D">
              <w:rPr>
                <w:lang w:val="en-US"/>
              </w:rPr>
              <w:t xml:space="preserve">dentists, </w:t>
            </w:r>
            <w:r w:rsidRPr="009D1150">
              <w:rPr>
                <w:color w:val="FF0000"/>
                <w:lang w:val="en-US"/>
              </w:rPr>
              <w:t>an amendment to the Act on the Profession of Doctor and Dental Practitioner</w:t>
            </w:r>
            <w:r w:rsidRPr="009D1150">
              <w:rPr>
                <w:lang w:val="en-US"/>
              </w:rPr>
              <w:t>,</w:t>
            </w:r>
            <w:r w:rsidRPr="008D770C">
              <w:rPr>
                <w:lang w:val="en-US"/>
              </w:rPr>
              <w:t xml:space="preserve"> </w:t>
            </w:r>
            <w:r w:rsidRPr="00995B4D">
              <w:rPr>
                <w:lang w:val="en-US"/>
              </w:rPr>
              <w:t>an amendment to the regulation on</w:t>
            </w:r>
            <w:r>
              <w:rPr>
                <w:lang w:val="en-US"/>
              </w:rPr>
              <w:t xml:space="preserve"> </w:t>
            </w:r>
            <w:r w:rsidRPr="00995B4D">
              <w:rPr>
                <w:lang w:val="en-US"/>
              </w:rPr>
              <w:t>postgraduate internship for doctors and</w:t>
            </w:r>
            <w:r>
              <w:rPr>
                <w:lang w:val="en-US"/>
              </w:rPr>
              <w:t xml:space="preserve"> </w:t>
            </w:r>
            <w:r w:rsidRPr="00995B4D">
              <w:rPr>
                <w:lang w:val="en-US"/>
              </w:rPr>
              <w:t>dentists, an amendment to the regulation on</w:t>
            </w:r>
            <w:r>
              <w:rPr>
                <w:lang w:val="en-US"/>
              </w:rPr>
              <w:t xml:space="preserve"> </w:t>
            </w:r>
            <w:r w:rsidRPr="00995B4D">
              <w:rPr>
                <w:lang w:val="en-US"/>
              </w:rPr>
              <w:t>the core curriculum for education in the</w:t>
            </w:r>
            <w:r>
              <w:rPr>
                <w:lang w:val="en-US"/>
              </w:rPr>
              <w:t xml:space="preserve"> </w:t>
            </w:r>
            <w:r w:rsidRPr="00995B4D">
              <w:rPr>
                <w:lang w:val="en-US"/>
              </w:rPr>
              <w:t>vocational education professions, an</w:t>
            </w:r>
            <w:r>
              <w:rPr>
                <w:lang w:val="en-US"/>
              </w:rPr>
              <w:t xml:space="preserve"> </w:t>
            </w:r>
            <w:r w:rsidRPr="00995B4D">
              <w:rPr>
                <w:lang w:val="en-US"/>
              </w:rPr>
              <w:t>amendment to the act on the method</w:t>
            </w:r>
            <w:r>
              <w:rPr>
                <w:lang w:val="en-US"/>
              </w:rPr>
              <w:t xml:space="preserve"> </w:t>
            </w:r>
            <w:r w:rsidRPr="00995B4D">
              <w:rPr>
                <w:lang w:val="en-US"/>
              </w:rPr>
              <w:t>of determining the lowest basic salary of</w:t>
            </w:r>
            <w:r>
              <w:rPr>
                <w:lang w:val="en-US"/>
              </w:rPr>
              <w:t xml:space="preserve"> </w:t>
            </w:r>
            <w:r w:rsidRPr="00995B4D">
              <w:rPr>
                <w:lang w:val="en-US"/>
              </w:rPr>
              <w:t>certain employees working in healthcare</w:t>
            </w:r>
            <w:r>
              <w:rPr>
                <w:lang w:val="en-US"/>
              </w:rPr>
              <w:t xml:space="preserve"> </w:t>
            </w:r>
            <w:r w:rsidRPr="00995B4D">
              <w:rPr>
                <w:lang w:val="en-US"/>
              </w:rPr>
              <w:t>entities, including provisions on:</w:t>
            </w:r>
            <w:r>
              <w:rPr>
                <w:lang w:val="en-US"/>
              </w:rPr>
              <w:t xml:space="preserve"> </w:t>
            </w:r>
          </w:p>
          <w:p w14:paraId="15600D57" w14:textId="77777777" w:rsidR="00DB00FD" w:rsidRPr="009D1150" w:rsidRDefault="00DB00FD" w:rsidP="001E2158">
            <w:pPr>
              <w:rPr>
                <w:lang w:val="en-US"/>
              </w:rPr>
            </w:pPr>
            <w:r w:rsidRPr="00995B4D">
              <w:rPr>
                <w:color w:val="FF0000"/>
                <w:lang w:val="en-US"/>
              </w:rPr>
              <w:t xml:space="preserve">1) </w:t>
            </w:r>
            <w:r w:rsidRPr="009D1150">
              <w:rPr>
                <w:color w:val="FF0000"/>
                <w:lang w:val="en-US"/>
              </w:rPr>
              <w:t>increasing the flexibility of the postgraduate medical education process by introducing certified medical competencies, making it possible to take the specialization examination after the penultimate year of specialization training has been completed and changing the postgraduate internship program</w:t>
            </w:r>
            <w:r w:rsidRPr="009D1150">
              <w:rPr>
                <w:lang w:val="en-US"/>
              </w:rPr>
              <w:t xml:space="preserve">, </w:t>
            </w:r>
          </w:p>
          <w:p w14:paraId="20EC76C2" w14:textId="77777777" w:rsidR="00DB00FD" w:rsidRDefault="00DB00FD" w:rsidP="001E2158">
            <w:pPr>
              <w:rPr>
                <w:lang w:val="en-US"/>
              </w:rPr>
            </w:pPr>
            <w:r w:rsidRPr="00995B4D">
              <w:rPr>
                <w:lang w:val="en-US"/>
              </w:rPr>
              <w:t>2) introducing a central system for</w:t>
            </w:r>
            <w:r>
              <w:rPr>
                <w:lang w:val="en-US"/>
              </w:rPr>
              <w:t xml:space="preserve"> </w:t>
            </w:r>
            <w:r w:rsidRPr="00995B4D">
              <w:rPr>
                <w:lang w:val="en-US"/>
              </w:rPr>
              <w:t>qualifying and allocating specialisation</w:t>
            </w:r>
            <w:r>
              <w:rPr>
                <w:lang w:val="en-US"/>
              </w:rPr>
              <w:t xml:space="preserve"> </w:t>
            </w:r>
            <w:r w:rsidRPr="00995B4D">
              <w:rPr>
                <w:lang w:val="en-US"/>
              </w:rPr>
              <w:t>places,</w:t>
            </w:r>
            <w:r>
              <w:rPr>
                <w:lang w:val="en-US"/>
              </w:rPr>
              <w:t xml:space="preserve"> </w:t>
            </w:r>
          </w:p>
          <w:p w14:paraId="2A94B423" w14:textId="77777777" w:rsidR="00DB00FD" w:rsidRDefault="00DB00FD" w:rsidP="001E2158">
            <w:pPr>
              <w:rPr>
                <w:lang w:val="en-US"/>
              </w:rPr>
            </w:pPr>
            <w:r w:rsidRPr="00995B4D">
              <w:rPr>
                <w:lang w:val="en-US"/>
              </w:rPr>
              <w:t>3) relieving doctors by launching specialist</w:t>
            </w:r>
            <w:r>
              <w:rPr>
                <w:lang w:val="en-US"/>
              </w:rPr>
              <w:t xml:space="preserve"> </w:t>
            </w:r>
            <w:r w:rsidRPr="00995B4D">
              <w:rPr>
                <w:lang w:val="en-US"/>
              </w:rPr>
              <w:t>training courses in the field of operational</w:t>
            </w:r>
            <w:r>
              <w:rPr>
                <w:lang w:val="en-US"/>
              </w:rPr>
              <w:t xml:space="preserve"> </w:t>
            </w:r>
            <w:r w:rsidRPr="00995B4D">
              <w:rPr>
                <w:lang w:val="en-US"/>
              </w:rPr>
              <w:t>aid for nurses and paramedics,</w:t>
            </w:r>
            <w:r>
              <w:rPr>
                <w:lang w:val="en-US"/>
              </w:rPr>
              <w:t xml:space="preserve"> </w:t>
            </w:r>
          </w:p>
          <w:p w14:paraId="25CF7D61" w14:textId="77777777" w:rsidR="00DB00FD" w:rsidRDefault="00DB00FD" w:rsidP="001E2158">
            <w:pPr>
              <w:rPr>
                <w:lang w:val="en-US"/>
              </w:rPr>
            </w:pPr>
            <w:r w:rsidRPr="00995B4D">
              <w:rPr>
                <w:lang w:val="en-US"/>
              </w:rPr>
              <w:t>4) updating the lowest basic salary of</w:t>
            </w:r>
            <w:r>
              <w:rPr>
                <w:lang w:val="en-US"/>
              </w:rPr>
              <w:t xml:space="preserve"> </w:t>
            </w:r>
            <w:r w:rsidRPr="00995B4D">
              <w:rPr>
                <w:lang w:val="en-US"/>
              </w:rPr>
              <w:t>employees working in healthcare entities by</w:t>
            </w:r>
            <w:r>
              <w:rPr>
                <w:lang w:val="en-US"/>
              </w:rPr>
              <w:t xml:space="preserve"> </w:t>
            </w:r>
            <w:r w:rsidRPr="00995B4D">
              <w:rPr>
                <w:lang w:val="en-US"/>
              </w:rPr>
              <w:t>increasing working rates for all occupational</w:t>
            </w:r>
            <w:r>
              <w:rPr>
                <w:lang w:val="en-US"/>
              </w:rPr>
              <w:t xml:space="preserve"> </w:t>
            </w:r>
            <w:r w:rsidRPr="00995B4D">
              <w:rPr>
                <w:lang w:val="en-US"/>
              </w:rPr>
              <w:t>groups referred to in the Act of 8 June 2017</w:t>
            </w:r>
            <w:r>
              <w:rPr>
                <w:lang w:val="en-US"/>
              </w:rPr>
              <w:t xml:space="preserve"> </w:t>
            </w:r>
            <w:r w:rsidRPr="00995B4D">
              <w:rPr>
                <w:lang w:val="en-US"/>
              </w:rPr>
              <w:t>and bringing forward by half a year the</w:t>
            </w:r>
            <w:r>
              <w:rPr>
                <w:lang w:val="en-US"/>
              </w:rPr>
              <w:t xml:space="preserve"> </w:t>
            </w:r>
            <w:r w:rsidRPr="00995B4D">
              <w:rPr>
                <w:lang w:val="en-US"/>
              </w:rPr>
              <w:t>requirement for all medical establishments</w:t>
            </w:r>
            <w:r>
              <w:rPr>
                <w:lang w:val="en-US"/>
              </w:rPr>
              <w:t xml:space="preserve"> </w:t>
            </w:r>
            <w:r w:rsidRPr="00995B4D">
              <w:rPr>
                <w:lang w:val="en-US"/>
              </w:rPr>
              <w:t>to meet statutorily guaranteed levels of</w:t>
            </w:r>
            <w:r>
              <w:rPr>
                <w:lang w:val="en-US"/>
              </w:rPr>
              <w:t xml:space="preserve"> </w:t>
            </w:r>
            <w:r w:rsidRPr="00995B4D">
              <w:rPr>
                <w:lang w:val="en-US"/>
              </w:rPr>
              <w:t>basic salaries for medical workers: doctors,</w:t>
            </w:r>
            <w:r>
              <w:rPr>
                <w:lang w:val="en-US"/>
              </w:rPr>
              <w:t xml:space="preserve"> </w:t>
            </w:r>
            <w:r w:rsidRPr="00995B4D">
              <w:rPr>
                <w:lang w:val="en-US"/>
              </w:rPr>
              <w:t>dentists, trainee doctors and dentists, nurses,</w:t>
            </w:r>
            <w:r>
              <w:rPr>
                <w:lang w:val="en-US"/>
              </w:rPr>
              <w:t xml:space="preserve"> </w:t>
            </w:r>
            <w:r w:rsidRPr="00995B4D">
              <w:rPr>
                <w:lang w:val="en-US"/>
              </w:rPr>
              <w:t>midwives, laboratory diagnosticians,</w:t>
            </w:r>
            <w:r>
              <w:rPr>
                <w:lang w:val="en-US"/>
              </w:rPr>
              <w:t xml:space="preserve"> </w:t>
            </w:r>
            <w:r w:rsidRPr="00995B4D">
              <w:rPr>
                <w:lang w:val="en-US"/>
              </w:rPr>
              <w:t>physiotherapists, pharmacists and other</w:t>
            </w:r>
            <w:r>
              <w:rPr>
                <w:lang w:val="en-US"/>
              </w:rPr>
              <w:t xml:space="preserve"> </w:t>
            </w:r>
            <w:r w:rsidRPr="00995B4D">
              <w:rPr>
                <w:lang w:val="en-US"/>
              </w:rPr>
              <w:t>medical professionals, and</w:t>
            </w:r>
            <w:r>
              <w:rPr>
                <w:lang w:val="en-US"/>
              </w:rPr>
              <w:t xml:space="preserve"> </w:t>
            </w:r>
          </w:p>
          <w:p w14:paraId="25AABB2A" w14:textId="344F2C90" w:rsidR="00DB00FD" w:rsidRPr="00A501D9" w:rsidRDefault="00DB00FD" w:rsidP="00A501D9">
            <w:pPr>
              <w:rPr>
                <w:lang w:val="en-US"/>
              </w:rPr>
            </w:pPr>
            <w:r w:rsidRPr="00995B4D">
              <w:rPr>
                <w:lang w:val="en-US"/>
              </w:rPr>
              <w:t>5) transferring some competences from</w:t>
            </w:r>
            <w:r>
              <w:rPr>
                <w:lang w:val="en-US"/>
              </w:rPr>
              <w:t xml:space="preserve"> </w:t>
            </w:r>
            <w:r w:rsidRPr="00995B4D">
              <w:rPr>
                <w:lang w:val="en-US"/>
              </w:rPr>
              <w:t>nurses to medical carers.</w:t>
            </w:r>
            <w:r>
              <w:rPr>
                <w:lang w:val="en-US"/>
              </w:rPr>
              <w:t xml:space="preserve"> </w:t>
            </w:r>
          </w:p>
        </w:tc>
      </w:tr>
      <w:tr w:rsidR="00DB00FD" w:rsidRPr="00406882" w14:paraId="7C6B2C65" w14:textId="77777777" w:rsidTr="00A501D9">
        <w:tc>
          <w:tcPr>
            <w:tcW w:w="1169" w:type="pct"/>
          </w:tcPr>
          <w:p w14:paraId="6B7F61AF" w14:textId="77777777" w:rsidR="00DB00FD" w:rsidRPr="004D5321" w:rsidRDefault="00DB00FD" w:rsidP="001E2158">
            <w:pPr>
              <w:spacing w:after="120" w:line="240" w:lineRule="auto"/>
            </w:pPr>
            <w:r w:rsidRPr="004D5321">
              <w:lastRenderedPageBreak/>
              <w:t>Uzasadnienie</w:t>
            </w:r>
          </w:p>
        </w:tc>
        <w:tc>
          <w:tcPr>
            <w:tcW w:w="3831" w:type="pct"/>
            <w:gridSpan w:val="2"/>
          </w:tcPr>
          <w:p w14:paraId="10D36C71" w14:textId="77777777" w:rsidR="00DB00FD" w:rsidRPr="0091494F" w:rsidRDefault="00DB00FD" w:rsidP="001E2158">
            <w:pPr>
              <w:spacing w:after="120" w:line="240" w:lineRule="auto"/>
              <w:rPr>
                <w:b/>
                <w:bCs/>
              </w:rPr>
            </w:pPr>
            <w:r w:rsidRPr="0091494F">
              <w:rPr>
                <w:b/>
                <w:bCs/>
              </w:rPr>
              <w:t>D</w:t>
            </w:r>
            <w:r>
              <w:rPr>
                <w:b/>
                <w:bCs/>
              </w:rPr>
              <w:t>25</w:t>
            </w:r>
            <w:r w:rsidRPr="0091494F">
              <w:rPr>
                <w:b/>
                <w:bCs/>
              </w:rPr>
              <w:t>G</w:t>
            </w:r>
          </w:p>
          <w:p w14:paraId="19F3D3E4" w14:textId="77777777" w:rsidR="00DB00FD" w:rsidRDefault="00DB00FD" w:rsidP="001E2158">
            <w:pPr>
              <w:spacing w:after="120" w:line="240" w:lineRule="auto"/>
              <w:jc w:val="left"/>
            </w:pPr>
            <w:r w:rsidRPr="0091494F">
              <w:t xml:space="preserve">Planowana modyfikacja </w:t>
            </w:r>
            <w:r>
              <w:t xml:space="preserve">wynika z konieczności skorygowania </w:t>
            </w:r>
            <w:r w:rsidRPr="008F19AE">
              <w:rPr>
                <w:b/>
                <w:bCs/>
              </w:rPr>
              <w:t>niezamierzonego błędu</w:t>
            </w:r>
            <w:r>
              <w:t xml:space="preserve"> w opisie kamienia milowego. Błąd polegał na wskazaniu tytułu specjalisty a nie tytułu magistra w odniesieniu do ratowników medycznych, którzy ukończą studia II stopnia na kierunku ratownictwo medyczne.</w:t>
            </w:r>
          </w:p>
          <w:p w14:paraId="3A148514" w14:textId="77777777" w:rsidR="00DB00FD" w:rsidRDefault="00DB00FD" w:rsidP="001E2158">
            <w:pPr>
              <w:spacing w:after="120" w:line="240" w:lineRule="auto"/>
              <w:jc w:val="left"/>
            </w:pPr>
            <w:r>
              <w:t>Intencją reformy opisanej w kamieniu D25G jest zwiększenie kompetencji ratowników medycznych poprzez umożliwienie im ukończenia studiów II stopnia, tj. studiów magisterskich. To właśnie ukończenie studiów magisterskich i uzyskanie tytułu magistra umożliwi ratownikom medycznym zdobycie dodatkowych kwalifikacji.</w:t>
            </w:r>
          </w:p>
          <w:p w14:paraId="40423365" w14:textId="77777777" w:rsidR="00DB00FD" w:rsidRPr="0091494F" w:rsidRDefault="00DB00FD" w:rsidP="001E2158">
            <w:pPr>
              <w:spacing w:after="120" w:line="240" w:lineRule="auto"/>
              <w:jc w:val="left"/>
            </w:pPr>
            <w:r>
              <w:t>Wprowadzenie przedmiotowej zmiany będzie zgodne z ustawą – Prawo o szkolnictwie wyższym i nauce - a</w:t>
            </w:r>
            <w:r w:rsidRPr="00E0460B">
              <w:t>bsolwent studiów</w:t>
            </w:r>
            <w:r>
              <w:t xml:space="preserve"> </w:t>
            </w:r>
            <w:r w:rsidRPr="00E0460B">
              <w:t>drugiego stopnia</w:t>
            </w:r>
            <w:r>
              <w:t xml:space="preserve"> otrzymuje tytuł zawodowy magistra.</w:t>
            </w:r>
          </w:p>
          <w:p w14:paraId="46BA8F72" w14:textId="77777777" w:rsidR="00DB00FD" w:rsidRPr="004D6145" w:rsidRDefault="00DB00FD" w:rsidP="001E2158">
            <w:pPr>
              <w:spacing w:line="240" w:lineRule="exact"/>
              <w:jc w:val="left"/>
              <w:rPr>
                <w:rFonts w:eastAsia="Calibri"/>
                <w:b/>
                <w:bCs/>
              </w:rPr>
            </w:pPr>
            <w:r w:rsidRPr="004D6145">
              <w:rPr>
                <w:rFonts w:eastAsia="Calibri"/>
                <w:b/>
                <w:bCs/>
              </w:rPr>
              <w:t>D27G</w:t>
            </w:r>
          </w:p>
          <w:p w14:paraId="7E1DD583" w14:textId="77777777" w:rsidR="00DB00FD" w:rsidRPr="001D01E2" w:rsidRDefault="00DB00FD" w:rsidP="001E2158">
            <w:pPr>
              <w:spacing w:after="0" w:line="240" w:lineRule="auto"/>
              <w:jc w:val="left"/>
              <w:rPr>
                <w:rFonts w:eastAsia="Calibri"/>
              </w:rPr>
            </w:pPr>
            <w:r w:rsidRPr="001D01E2">
              <w:rPr>
                <w:rFonts w:eastAsia="Calibri"/>
              </w:rPr>
              <w:t>Planowana modyfikacja</w:t>
            </w:r>
            <w:r>
              <w:rPr>
                <w:rFonts w:eastAsia="Calibri"/>
              </w:rPr>
              <w:t xml:space="preserve"> zakłada zmianę przepisów realizowanych w ramach reformy i</w:t>
            </w:r>
            <w:r w:rsidRPr="001D01E2">
              <w:rPr>
                <w:rFonts w:eastAsia="Calibri"/>
              </w:rPr>
              <w:t xml:space="preserve"> nie wpłynie na poziom zakładanego celu reformy. </w:t>
            </w:r>
          </w:p>
          <w:p w14:paraId="5994FF45" w14:textId="77777777" w:rsidR="00DB00FD" w:rsidRDefault="00DB00FD" w:rsidP="001E2158">
            <w:pPr>
              <w:spacing w:after="0" w:line="240" w:lineRule="auto"/>
              <w:jc w:val="left"/>
              <w:rPr>
                <w:rFonts w:eastAsia="Calibri"/>
              </w:rPr>
            </w:pPr>
            <w:r w:rsidRPr="00331D2B">
              <w:rPr>
                <w:rFonts w:eastAsia="Calibri"/>
              </w:rPr>
              <w:t xml:space="preserve">Zmiana przewiduje zastąpienie przepisów, które zakładają zmniejszenie liczby specjalizacji przepisami umożliwiającymi przystąpienie do egzaminu specjalizacyjnego po ukończeniu przedostatniego roku szkolenia specjalizacyjnego. </w:t>
            </w:r>
          </w:p>
          <w:p w14:paraId="4411DD7F" w14:textId="77777777" w:rsidR="00DB00FD" w:rsidRPr="00412BDF" w:rsidRDefault="00DB00FD" w:rsidP="001E2158">
            <w:pPr>
              <w:spacing w:line="240" w:lineRule="auto"/>
              <w:jc w:val="left"/>
            </w:pPr>
            <w:r>
              <w:rPr>
                <w:rFonts w:eastAsia="Calibri"/>
              </w:rPr>
              <w:t xml:space="preserve">Przedmiotowe rozwiązanie stanowi </w:t>
            </w:r>
            <w:r w:rsidRPr="008F19AE">
              <w:rPr>
                <w:rFonts w:eastAsia="Calibri"/>
                <w:b/>
                <w:bCs/>
              </w:rPr>
              <w:t>lepszą alterantywę</w:t>
            </w:r>
            <w:r>
              <w:rPr>
                <w:rFonts w:eastAsia="Calibri"/>
              </w:rPr>
              <w:t xml:space="preserve">, jako że bardziej niż zmniejszenie liczby specjalizacji, wpisuje się w cel reformy, którym jest </w:t>
            </w:r>
            <w:r w:rsidRPr="007B0B40">
              <w:rPr>
                <w:rFonts w:eastAsia="Calibri"/>
              </w:rPr>
              <w:t>zwiększenie atrakcyjności miejsc pracy w sektorze medycznym</w:t>
            </w:r>
            <w:r>
              <w:rPr>
                <w:rFonts w:eastAsia="Calibri"/>
              </w:rPr>
              <w:t>.</w:t>
            </w:r>
          </w:p>
        </w:tc>
      </w:tr>
      <w:tr w:rsidR="00DB00FD" w:rsidRPr="004D5321" w14:paraId="60933634" w14:textId="77777777" w:rsidTr="00A501D9">
        <w:tc>
          <w:tcPr>
            <w:tcW w:w="1169" w:type="pct"/>
          </w:tcPr>
          <w:p w14:paraId="36932809" w14:textId="77777777" w:rsidR="00DB00FD" w:rsidRPr="004D5321" w:rsidRDefault="00DB00FD" w:rsidP="001E2158">
            <w:pPr>
              <w:spacing w:after="120" w:line="240" w:lineRule="auto"/>
            </w:pPr>
            <w:r w:rsidRPr="004D5321">
              <w:t>Szacowany koszy</w:t>
            </w:r>
          </w:p>
        </w:tc>
        <w:tc>
          <w:tcPr>
            <w:tcW w:w="3831" w:type="pct"/>
            <w:gridSpan w:val="2"/>
          </w:tcPr>
          <w:p w14:paraId="4673B929" w14:textId="77777777" w:rsidR="00DB00FD" w:rsidRPr="00083559" w:rsidRDefault="00DB00FD" w:rsidP="001E2158">
            <w:pPr>
              <w:spacing w:after="120" w:line="240" w:lineRule="auto"/>
            </w:pPr>
            <w:r w:rsidRPr="00083559">
              <w:t>Bez zmian</w:t>
            </w:r>
          </w:p>
        </w:tc>
      </w:tr>
      <w:tr w:rsidR="00DB00FD" w:rsidRPr="004D5321" w14:paraId="1A4274F7" w14:textId="77777777" w:rsidTr="00A501D9">
        <w:tc>
          <w:tcPr>
            <w:tcW w:w="1169" w:type="pct"/>
          </w:tcPr>
          <w:p w14:paraId="0A9360B4" w14:textId="77777777" w:rsidR="00DB00FD" w:rsidRPr="004D5321" w:rsidRDefault="00DB00FD" w:rsidP="001E2158">
            <w:pPr>
              <w:spacing w:after="120" w:line="240" w:lineRule="auto"/>
            </w:pPr>
            <w:r w:rsidRPr="004D5321">
              <w:t>Klimatyczny i cyfrowy tagging</w:t>
            </w:r>
          </w:p>
        </w:tc>
        <w:tc>
          <w:tcPr>
            <w:tcW w:w="3831" w:type="pct"/>
            <w:gridSpan w:val="2"/>
          </w:tcPr>
          <w:p w14:paraId="52F19DE0" w14:textId="77777777" w:rsidR="00DB00FD" w:rsidRPr="00083559" w:rsidRDefault="00DB00FD" w:rsidP="001E2158">
            <w:pPr>
              <w:spacing w:after="120" w:line="240" w:lineRule="auto"/>
            </w:pPr>
            <w:r w:rsidRPr="00083559">
              <w:t>Zmiana nie ma wpływu na tagging klimatyczny i cyfrowy</w:t>
            </w:r>
          </w:p>
        </w:tc>
      </w:tr>
      <w:tr w:rsidR="00DB00FD" w:rsidRPr="004D5321" w14:paraId="42949AB4" w14:textId="77777777" w:rsidTr="00A501D9">
        <w:tc>
          <w:tcPr>
            <w:tcW w:w="1169" w:type="pct"/>
          </w:tcPr>
          <w:p w14:paraId="028DF25D" w14:textId="77777777" w:rsidR="00DB00FD" w:rsidRPr="004D5321" w:rsidRDefault="00DB00FD" w:rsidP="001E2158">
            <w:pPr>
              <w:spacing w:after="120" w:line="240" w:lineRule="auto"/>
            </w:pPr>
            <w:r w:rsidRPr="004D5321">
              <w:t xml:space="preserve">Ocena DNSH </w:t>
            </w:r>
          </w:p>
        </w:tc>
        <w:tc>
          <w:tcPr>
            <w:tcW w:w="3831" w:type="pct"/>
            <w:gridSpan w:val="2"/>
          </w:tcPr>
          <w:p w14:paraId="1A9789F7" w14:textId="77777777" w:rsidR="00DB00FD" w:rsidRPr="00083559" w:rsidRDefault="00DB00FD" w:rsidP="001E2158">
            <w:pPr>
              <w:spacing w:after="120" w:line="240" w:lineRule="auto"/>
            </w:pPr>
            <w:r w:rsidRPr="00083559">
              <w:t>Zmiana nie ma wpływu na DNSH</w:t>
            </w:r>
          </w:p>
        </w:tc>
      </w:tr>
    </w:tbl>
    <w:p w14:paraId="59FFD14B" w14:textId="77777777" w:rsidR="00DB00FD" w:rsidRPr="00AF3A31" w:rsidRDefault="00DB00FD" w:rsidP="00DB00FD">
      <w:pPr>
        <w:spacing w:after="120" w:line="240" w:lineRule="auto"/>
        <w:jc w:val="left"/>
        <w:rPr>
          <w:rFonts w:eastAsia="Calibri"/>
          <w:b/>
          <w:bCs/>
        </w:rPr>
      </w:pPr>
    </w:p>
    <w:tbl>
      <w:tblPr>
        <w:tblW w:w="47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44"/>
        <w:gridCol w:w="3359"/>
        <w:gridCol w:w="3340"/>
      </w:tblGrid>
      <w:tr w:rsidR="00DB00FD" w:rsidRPr="00AF3A31" w14:paraId="50E19E66" w14:textId="77777777" w:rsidTr="00A501D9">
        <w:tc>
          <w:tcPr>
            <w:tcW w:w="1188" w:type="pct"/>
            <w:shd w:val="clear" w:color="auto" w:fill="auto"/>
          </w:tcPr>
          <w:p w14:paraId="460D0549" w14:textId="77777777" w:rsidR="00DB00FD" w:rsidRPr="008F19AE" w:rsidRDefault="00DB00FD" w:rsidP="001E2158">
            <w:pPr>
              <w:spacing w:after="120" w:line="240" w:lineRule="auto"/>
              <w:jc w:val="left"/>
              <w:rPr>
                <w:rFonts w:eastAsia="Calibri"/>
                <w:b/>
                <w:bCs/>
              </w:rPr>
            </w:pPr>
            <w:r w:rsidRPr="008F19AE">
              <w:rPr>
                <w:rFonts w:eastAsia="Calibri"/>
                <w:b/>
                <w:bCs/>
              </w:rPr>
              <w:t>Numer inwestycji</w:t>
            </w:r>
          </w:p>
        </w:tc>
        <w:tc>
          <w:tcPr>
            <w:tcW w:w="3812" w:type="pct"/>
            <w:gridSpan w:val="2"/>
            <w:shd w:val="clear" w:color="auto" w:fill="auto"/>
          </w:tcPr>
          <w:p w14:paraId="7C908F97" w14:textId="77777777" w:rsidR="00DB00FD" w:rsidRPr="008F19AE" w:rsidRDefault="00DB00FD" w:rsidP="001E2158">
            <w:pPr>
              <w:spacing w:after="120"/>
              <w:contextualSpacing/>
              <w:rPr>
                <w:b/>
                <w:bCs/>
              </w:rPr>
            </w:pPr>
            <w:r w:rsidRPr="008F19AE">
              <w:rPr>
                <w:b/>
                <w:bCs/>
              </w:rPr>
              <w:t>D3.1.1</w:t>
            </w:r>
          </w:p>
        </w:tc>
      </w:tr>
      <w:tr w:rsidR="00DB00FD" w:rsidRPr="00AF3A31" w14:paraId="18077DC5" w14:textId="77777777" w:rsidTr="00A501D9">
        <w:tc>
          <w:tcPr>
            <w:tcW w:w="1188" w:type="pct"/>
            <w:shd w:val="clear" w:color="auto" w:fill="auto"/>
          </w:tcPr>
          <w:p w14:paraId="7A868359" w14:textId="77777777" w:rsidR="00DB00FD" w:rsidRPr="008F19AE" w:rsidRDefault="00DB00FD" w:rsidP="001E2158">
            <w:pPr>
              <w:spacing w:after="120"/>
              <w:ind w:left="67"/>
              <w:contextualSpacing/>
              <w:rPr>
                <w:b/>
                <w:bCs/>
              </w:rPr>
            </w:pPr>
            <w:r w:rsidRPr="008F19AE">
              <w:rPr>
                <w:b/>
                <w:bCs/>
              </w:rPr>
              <w:t xml:space="preserve">Nazwa inwestycji </w:t>
            </w:r>
          </w:p>
        </w:tc>
        <w:tc>
          <w:tcPr>
            <w:tcW w:w="3812" w:type="pct"/>
            <w:gridSpan w:val="2"/>
            <w:shd w:val="clear" w:color="auto" w:fill="auto"/>
          </w:tcPr>
          <w:p w14:paraId="1569D470" w14:textId="77777777" w:rsidR="00DB00FD" w:rsidRPr="008F19AE" w:rsidRDefault="00DB00FD" w:rsidP="001E2158">
            <w:pPr>
              <w:spacing w:after="120"/>
              <w:contextualSpacing/>
              <w:rPr>
                <w:b/>
                <w:bCs/>
              </w:rPr>
            </w:pPr>
            <w:r w:rsidRPr="008F19AE">
              <w:rPr>
                <w:b/>
                <w:bCs/>
              </w:rPr>
              <w:t>Kompleksowy rozwój badań w zakresie nauk medycznych i nauk o zdrowiu</w:t>
            </w:r>
          </w:p>
        </w:tc>
      </w:tr>
      <w:tr w:rsidR="00DB00FD" w:rsidRPr="00935797" w14:paraId="60941E28" w14:textId="77777777" w:rsidTr="00A501D9">
        <w:trPr>
          <w:trHeight w:val="1212"/>
        </w:trPr>
        <w:tc>
          <w:tcPr>
            <w:tcW w:w="1188" w:type="pct"/>
            <w:shd w:val="clear" w:color="auto" w:fill="auto"/>
          </w:tcPr>
          <w:p w14:paraId="7270A111" w14:textId="77777777" w:rsidR="00DB00FD" w:rsidRPr="00AF3A31" w:rsidRDefault="00DB00FD" w:rsidP="001E2158">
            <w:pPr>
              <w:spacing w:after="120"/>
              <w:ind w:left="67"/>
              <w:contextualSpacing/>
            </w:pPr>
            <w:r w:rsidRPr="00AF3A31">
              <w:t>Rodzaj wprowadzonej zmiany w odniesieniu do CID</w:t>
            </w:r>
          </w:p>
        </w:tc>
        <w:tc>
          <w:tcPr>
            <w:tcW w:w="3812" w:type="pct"/>
            <w:gridSpan w:val="2"/>
            <w:shd w:val="clear" w:color="auto" w:fill="auto"/>
          </w:tcPr>
          <w:p w14:paraId="65DFF359" w14:textId="77777777" w:rsidR="00DB00FD" w:rsidRDefault="00DB00FD" w:rsidP="001E2158">
            <w:pPr>
              <w:autoSpaceDE w:val="0"/>
              <w:autoSpaceDN w:val="0"/>
              <w:adjustRightInd w:val="0"/>
              <w:spacing w:after="0" w:line="240" w:lineRule="auto"/>
              <w:jc w:val="left"/>
              <w:rPr>
                <w:rFonts w:ascii="TimesNewRomanPS-BoldMT" w:eastAsiaTheme="minorHAnsi" w:hAnsi="TimesNewRomanPS-BoldMT" w:cs="TimesNewRomanPS-BoldMT"/>
                <w:b/>
                <w:bCs/>
                <w:color w:val="000000"/>
                <w:sz w:val="23"/>
                <w:szCs w:val="23"/>
              </w:rPr>
            </w:pPr>
            <w:r>
              <w:rPr>
                <w:rFonts w:ascii="TimesNewRomanPS-BoldMT" w:eastAsiaTheme="minorHAnsi" w:hAnsi="TimesNewRomanPS-BoldMT" w:cs="TimesNewRomanPS-BoldMT"/>
                <w:color w:val="000000"/>
                <w:sz w:val="23"/>
                <w:szCs w:val="23"/>
              </w:rPr>
              <w:t>Zmi</w:t>
            </w:r>
            <w:r w:rsidRPr="008F19AE">
              <w:rPr>
                <w:rFonts w:ascii="TimesNewRomanPS-BoldMT" w:eastAsiaTheme="minorHAnsi" w:hAnsi="TimesNewRomanPS-BoldMT" w:cs="TimesNewRomanPS-BoldMT"/>
                <w:color w:val="000000"/>
                <w:sz w:val="23"/>
                <w:szCs w:val="23"/>
              </w:rPr>
              <w:t>ana opisu inwestycji</w:t>
            </w:r>
            <w:r>
              <w:rPr>
                <w:rFonts w:ascii="TimesNewRomanPS-BoldMT" w:eastAsiaTheme="minorHAnsi" w:hAnsi="TimesNewRomanPS-BoldMT" w:cs="TimesNewRomanPS-BoldMT"/>
                <w:color w:val="000000"/>
                <w:sz w:val="23"/>
                <w:szCs w:val="23"/>
              </w:rPr>
              <w:t xml:space="preserve"> </w:t>
            </w:r>
            <w:r>
              <w:rPr>
                <w:rFonts w:ascii="TimesNewRomanPS-BoldMT" w:eastAsiaTheme="minorHAnsi" w:hAnsi="TimesNewRomanPS-BoldMT" w:cs="TimesNewRomanPS-BoldMT"/>
                <w:b/>
                <w:bCs/>
                <w:color w:val="000000"/>
                <w:sz w:val="23"/>
                <w:szCs w:val="23"/>
              </w:rPr>
              <w:t xml:space="preserve"> </w:t>
            </w:r>
          </w:p>
          <w:p w14:paraId="5B878601" w14:textId="77777777" w:rsidR="00DB00FD" w:rsidRPr="00AF3A31" w:rsidRDefault="00DB00FD" w:rsidP="001E2158">
            <w:pPr>
              <w:spacing w:after="120" w:line="259" w:lineRule="auto"/>
              <w:jc w:val="left"/>
              <w:rPr>
                <w:rFonts w:eastAsia="Calibri"/>
              </w:rPr>
            </w:pPr>
            <w:r w:rsidRPr="00AF3A31">
              <w:rPr>
                <w:rFonts w:eastAsia="Calibri"/>
              </w:rPr>
              <w:t xml:space="preserve">D35G: Zmiana </w:t>
            </w:r>
            <w:r>
              <w:rPr>
                <w:rFonts w:eastAsia="Calibri"/>
              </w:rPr>
              <w:t xml:space="preserve">nazwy, </w:t>
            </w:r>
            <w:r w:rsidRPr="00AF3A31">
              <w:rPr>
                <w:rFonts w:eastAsia="Calibri"/>
              </w:rPr>
              <w:t xml:space="preserve">opisu </w:t>
            </w:r>
            <w:r>
              <w:rPr>
                <w:rFonts w:eastAsia="Calibri"/>
              </w:rPr>
              <w:t xml:space="preserve">i zakresu </w:t>
            </w:r>
            <w:r w:rsidRPr="00AF3A31">
              <w:rPr>
                <w:rFonts w:eastAsia="Calibri"/>
              </w:rPr>
              <w:t>miernika.</w:t>
            </w:r>
          </w:p>
          <w:p w14:paraId="792CCB0C" w14:textId="77777777" w:rsidR="00DB00FD" w:rsidRDefault="00DB00FD" w:rsidP="001E2158">
            <w:pPr>
              <w:spacing w:after="120" w:line="240" w:lineRule="auto"/>
            </w:pPr>
            <w:r>
              <w:t xml:space="preserve">D36G: Zmiana nazwy, opisu wskaźnika, wartości docelowej wskaźnika </w:t>
            </w:r>
          </w:p>
          <w:p w14:paraId="467680C6" w14:textId="77777777" w:rsidR="00DB00FD" w:rsidRPr="0056086B" w:rsidRDefault="00DB00FD" w:rsidP="001E2158">
            <w:pPr>
              <w:spacing w:after="120" w:line="259" w:lineRule="auto"/>
              <w:jc w:val="left"/>
              <w:rPr>
                <w:rFonts w:eastAsia="Calibri"/>
              </w:rPr>
            </w:pPr>
            <w:r>
              <w:t>D37G:</w:t>
            </w:r>
            <w:r>
              <w:rPr>
                <w:b/>
                <w:bCs/>
              </w:rPr>
              <w:t xml:space="preserve"> </w:t>
            </w:r>
            <w:r>
              <w:t xml:space="preserve">Zmiana nazwy, opisu i </w:t>
            </w:r>
            <w:r w:rsidRPr="009D1150">
              <w:t>zmniejszenie</w:t>
            </w:r>
            <w:r>
              <w:t xml:space="preserve"> wartości wskaźnika:</w:t>
            </w:r>
            <w:r>
              <w:rPr>
                <w:b/>
                <w:bCs/>
              </w:rPr>
              <w:t xml:space="preserve"> </w:t>
            </w:r>
            <w:r w:rsidRPr="0056086B">
              <w:rPr>
                <w:rFonts w:eastAsia="Calibri"/>
              </w:rPr>
              <w:t xml:space="preserve">Change of the investment description  </w:t>
            </w:r>
          </w:p>
          <w:p w14:paraId="4B36F7AF" w14:textId="77777777" w:rsidR="00DB00FD" w:rsidRPr="00AF3A31" w:rsidRDefault="00DB00FD" w:rsidP="001E2158">
            <w:pPr>
              <w:spacing w:after="120" w:line="259" w:lineRule="auto"/>
              <w:jc w:val="left"/>
              <w:rPr>
                <w:rFonts w:eastAsia="Calibri"/>
                <w:lang w:val="en-GB"/>
              </w:rPr>
            </w:pPr>
            <w:r w:rsidRPr="00AF3A31">
              <w:rPr>
                <w:rFonts w:eastAsia="Calibri"/>
                <w:lang w:val="en-GB"/>
              </w:rPr>
              <w:t xml:space="preserve">D35G: </w:t>
            </w:r>
            <w:r w:rsidRPr="009D1150">
              <w:rPr>
                <w:rFonts w:eastAsia="Calibri"/>
                <w:lang w:val="en-GB"/>
              </w:rPr>
              <w:t>Change in the name, scope and description of the indicator.</w:t>
            </w:r>
          </w:p>
          <w:p w14:paraId="16C8C08E" w14:textId="77777777" w:rsidR="00DB00FD" w:rsidRPr="00AF3A31" w:rsidRDefault="00DB00FD" w:rsidP="001E2158">
            <w:pPr>
              <w:spacing w:after="120" w:line="259" w:lineRule="auto"/>
              <w:jc w:val="left"/>
              <w:rPr>
                <w:rFonts w:eastAsia="Calibri"/>
                <w:lang w:val="en-GB"/>
              </w:rPr>
            </w:pPr>
            <w:r w:rsidRPr="00AF3A31">
              <w:rPr>
                <w:rFonts w:eastAsia="Calibri"/>
                <w:lang w:val="en-GB"/>
              </w:rPr>
              <w:t xml:space="preserve">D36G: </w:t>
            </w:r>
            <w:r w:rsidRPr="00E14A44">
              <w:rPr>
                <w:rFonts w:eastAsia="Calibri"/>
                <w:lang w:val="en-GB"/>
              </w:rPr>
              <w:t>Changes in the name</w:t>
            </w:r>
            <w:r>
              <w:rPr>
                <w:rFonts w:eastAsia="Calibri"/>
                <w:lang w:val="en-GB"/>
              </w:rPr>
              <w:t xml:space="preserve"> of the indicator</w:t>
            </w:r>
            <w:r w:rsidRPr="00E14A44">
              <w:rPr>
                <w:rFonts w:eastAsia="Calibri"/>
                <w:lang w:val="en-GB"/>
              </w:rPr>
              <w:t>, description of the indicator, quant</w:t>
            </w:r>
            <w:r>
              <w:rPr>
                <w:rFonts w:eastAsia="Calibri"/>
                <w:lang w:val="en-GB"/>
              </w:rPr>
              <w:t>i</w:t>
            </w:r>
            <w:r w:rsidRPr="00E14A44">
              <w:rPr>
                <w:rFonts w:eastAsia="Calibri"/>
                <w:lang w:val="en-GB"/>
              </w:rPr>
              <w:t>t</w:t>
            </w:r>
            <w:r>
              <w:rPr>
                <w:rFonts w:eastAsia="Calibri"/>
                <w:lang w:val="en-GB"/>
              </w:rPr>
              <w:t>y for</w:t>
            </w:r>
            <w:r w:rsidRPr="00E14A44">
              <w:rPr>
                <w:rFonts w:eastAsia="Calibri"/>
                <w:lang w:val="en-GB"/>
              </w:rPr>
              <w:t xml:space="preserve"> target in indicators</w:t>
            </w:r>
            <w:r>
              <w:rPr>
                <w:rFonts w:eastAsia="Calibri"/>
                <w:lang w:val="en-GB"/>
              </w:rPr>
              <w:t xml:space="preserve"> </w:t>
            </w:r>
          </w:p>
          <w:p w14:paraId="5C165A54" w14:textId="1360170C" w:rsidR="00DB00FD" w:rsidRPr="00A501D9" w:rsidRDefault="00DB00FD" w:rsidP="00A501D9">
            <w:pPr>
              <w:spacing w:after="120" w:line="259" w:lineRule="auto"/>
              <w:jc w:val="left"/>
              <w:rPr>
                <w:rFonts w:eastAsia="Calibri"/>
                <w:color w:val="538135" w:themeColor="accent6" w:themeShade="BF"/>
                <w:lang w:val="en-US"/>
              </w:rPr>
            </w:pPr>
            <w:r w:rsidRPr="001B63B4">
              <w:rPr>
                <w:rFonts w:eastAsia="Calibri"/>
                <w:lang w:val="en-US"/>
              </w:rPr>
              <w:lastRenderedPageBreak/>
              <w:t xml:space="preserve">D37G: Change of the name, description and the value of the indicator </w:t>
            </w:r>
          </w:p>
        </w:tc>
      </w:tr>
      <w:tr w:rsidR="00DB00FD" w:rsidRPr="00530753" w14:paraId="73ED687C" w14:textId="77777777" w:rsidTr="00A501D9">
        <w:tc>
          <w:tcPr>
            <w:tcW w:w="1188" w:type="pct"/>
            <w:shd w:val="clear" w:color="auto" w:fill="auto"/>
          </w:tcPr>
          <w:p w14:paraId="2D55D5F9" w14:textId="77777777" w:rsidR="00DB00FD" w:rsidRPr="00AF3A31" w:rsidRDefault="00DB00FD" w:rsidP="001E2158">
            <w:pPr>
              <w:spacing w:after="120"/>
              <w:ind w:left="67"/>
              <w:contextualSpacing/>
            </w:pPr>
            <w:r w:rsidRPr="00AF3A31">
              <w:lastRenderedPageBreak/>
              <w:t>Podstawa prawna zmiany</w:t>
            </w:r>
          </w:p>
        </w:tc>
        <w:tc>
          <w:tcPr>
            <w:tcW w:w="3812" w:type="pct"/>
            <w:gridSpan w:val="2"/>
            <w:shd w:val="clear" w:color="auto" w:fill="auto"/>
          </w:tcPr>
          <w:p w14:paraId="50FE8B72" w14:textId="77777777" w:rsidR="00DB00FD" w:rsidRDefault="00DB00FD" w:rsidP="001E2158">
            <w:pPr>
              <w:contextualSpacing/>
            </w:pPr>
            <w:r w:rsidRPr="00AF3A31">
              <w:t>art. 21 rozporządzenia Parlamentu Europejskiego i Rady (UE) 2021/241 z dnia 12 lutego 2021 r. ustanawiające Instrument na rzecz Odbudowy i Zwiększania Odporności</w:t>
            </w:r>
            <w:r>
              <w:t xml:space="preserve"> (D35G, D36G) </w:t>
            </w:r>
          </w:p>
          <w:p w14:paraId="50387406" w14:textId="77777777" w:rsidR="00DB00FD" w:rsidRPr="00530753" w:rsidRDefault="00DB00FD" w:rsidP="001E2158">
            <w:pPr>
              <w:contextualSpacing/>
            </w:pPr>
            <w:r w:rsidRPr="00530753">
              <w:t>Zmiana opisu inwestycji</w:t>
            </w:r>
            <w:r w:rsidRPr="008F19AE">
              <w:t>: błąd p</w:t>
            </w:r>
            <w:r>
              <w:t>isarski</w:t>
            </w:r>
          </w:p>
          <w:p w14:paraId="20C7DB54" w14:textId="77777777" w:rsidR="00DB00FD" w:rsidRDefault="00DB00FD" w:rsidP="001E2158">
            <w:pPr>
              <w:contextualSpacing/>
            </w:pPr>
            <w:r w:rsidRPr="00530753">
              <w:t>D3</w:t>
            </w:r>
            <w:r>
              <w:t>7</w:t>
            </w:r>
            <w:r w:rsidRPr="00530753">
              <w:t>G</w:t>
            </w:r>
            <w:r w:rsidRPr="008F19AE">
              <w:t>: lepsza alternatywa</w:t>
            </w:r>
            <w:r w:rsidRPr="00530753">
              <w:t xml:space="preserve"> </w:t>
            </w:r>
          </w:p>
          <w:p w14:paraId="2E35F47E" w14:textId="77777777" w:rsidR="00DB00FD" w:rsidRPr="008F19AE" w:rsidRDefault="00DB00FD" w:rsidP="001E2158">
            <w:pPr>
              <w:spacing w:after="120" w:line="240" w:lineRule="auto"/>
              <w:rPr>
                <w:rFonts w:eastAsia="Calibri"/>
                <w:color w:val="000000"/>
                <w:lang w:eastAsia="en-GB"/>
              </w:rPr>
            </w:pPr>
          </w:p>
          <w:p w14:paraId="66F14A7B" w14:textId="77777777" w:rsidR="00DB00FD" w:rsidRPr="00530753" w:rsidRDefault="00DB00FD" w:rsidP="001E2158">
            <w:pPr>
              <w:spacing w:after="120" w:line="240" w:lineRule="auto"/>
              <w:rPr>
                <w:rFonts w:eastAsia="Calibri"/>
                <w:color w:val="000000"/>
                <w:lang w:val="en-GB" w:eastAsia="en-GB"/>
              </w:rPr>
            </w:pPr>
            <w:r>
              <w:rPr>
                <w:rFonts w:eastAsia="Calibri"/>
                <w:color w:val="000000"/>
                <w:lang w:val="en-GB" w:eastAsia="en-GB"/>
              </w:rPr>
              <w:t>a</w:t>
            </w:r>
            <w:r w:rsidRPr="0091494F">
              <w:rPr>
                <w:rFonts w:eastAsia="Calibri"/>
                <w:color w:val="000000"/>
                <w:lang w:val="en-GB" w:eastAsia="en-GB"/>
              </w:rPr>
              <w:t>rticle 21 of Regulation (EU) 2021/241 of the European Parliament and of the Council of 12 February 2021 establishing an Instrument for Reconstruction and Increasing Resilience</w:t>
            </w:r>
            <w:r>
              <w:rPr>
                <w:rFonts w:eastAsia="Calibri"/>
                <w:color w:val="000000"/>
                <w:lang w:val="en-GB" w:eastAsia="en-GB"/>
              </w:rPr>
              <w:t xml:space="preserve"> </w:t>
            </w:r>
            <w:r w:rsidRPr="008F19AE">
              <w:rPr>
                <w:lang w:val="en-GB"/>
              </w:rPr>
              <w:t>(D35G, D36G)</w:t>
            </w:r>
          </w:p>
          <w:p w14:paraId="51C3402D" w14:textId="77777777" w:rsidR="00DB00FD" w:rsidRDefault="00DB00FD" w:rsidP="001E2158">
            <w:pPr>
              <w:spacing w:after="120" w:line="240" w:lineRule="auto"/>
              <w:rPr>
                <w:rFonts w:eastAsia="Calibri"/>
                <w:color w:val="000000"/>
                <w:lang w:val="en-GB" w:eastAsia="en-GB"/>
              </w:rPr>
            </w:pPr>
            <w:r>
              <w:rPr>
                <w:rFonts w:eastAsia="Calibri"/>
                <w:color w:val="000000"/>
                <w:lang w:val="en-GB" w:eastAsia="en-GB"/>
              </w:rPr>
              <w:t>description od the investment: clerical error</w:t>
            </w:r>
          </w:p>
          <w:p w14:paraId="4A81E2FA" w14:textId="77777777" w:rsidR="00DB00FD" w:rsidRPr="008F19AE" w:rsidRDefault="00DB00FD" w:rsidP="001E2158">
            <w:pPr>
              <w:contextualSpacing/>
              <w:rPr>
                <w:lang w:val="en-GB"/>
              </w:rPr>
            </w:pPr>
            <w:r>
              <w:rPr>
                <w:rFonts w:eastAsia="Calibri"/>
                <w:color w:val="000000"/>
                <w:lang w:val="en-GB" w:eastAsia="en-GB"/>
              </w:rPr>
              <w:t>D37G: better alternative</w:t>
            </w:r>
          </w:p>
        </w:tc>
      </w:tr>
      <w:tr w:rsidR="00DB00FD" w:rsidRPr="00AF3A31" w14:paraId="7AC345BA" w14:textId="77777777" w:rsidTr="00A501D9">
        <w:tc>
          <w:tcPr>
            <w:tcW w:w="1188" w:type="pct"/>
            <w:shd w:val="clear" w:color="auto" w:fill="auto"/>
          </w:tcPr>
          <w:p w14:paraId="75CE4AD0" w14:textId="77777777" w:rsidR="00DB00FD" w:rsidRPr="00AF3A31" w:rsidRDefault="00DB00FD" w:rsidP="001E2158">
            <w:pPr>
              <w:spacing w:after="120" w:line="240" w:lineRule="auto"/>
              <w:jc w:val="left"/>
              <w:rPr>
                <w:rFonts w:eastAsia="Calibri"/>
              </w:rPr>
            </w:pPr>
            <w:r w:rsidRPr="00AF3A31">
              <w:rPr>
                <w:rFonts w:eastAsia="Calibri"/>
              </w:rPr>
              <w:t>Modyfikowany element</w:t>
            </w:r>
          </w:p>
        </w:tc>
        <w:tc>
          <w:tcPr>
            <w:tcW w:w="2007" w:type="pct"/>
            <w:shd w:val="clear" w:color="auto" w:fill="auto"/>
          </w:tcPr>
          <w:p w14:paraId="061911D1" w14:textId="77777777" w:rsidR="00DB00FD" w:rsidRPr="008F19AE" w:rsidRDefault="00DB00FD" w:rsidP="001E2158">
            <w:pPr>
              <w:spacing w:after="120" w:line="240" w:lineRule="auto"/>
              <w:jc w:val="center"/>
              <w:rPr>
                <w:rFonts w:eastAsia="Calibri"/>
              </w:rPr>
            </w:pPr>
            <w:r w:rsidRPr="008F19AE">
              <w:rPr>
                <w:rFonts w:eastAsia="Calibri"/>
              </w:rPr>
              <w:t>Bieżąca wersja</w:t>
            </w:r>
          </w:p>
        </w:tc>
        <w:tc>
          <w:tcPr>
            <w:tcW w:w="1805" w:type="pct"/>
            <w:shd w:val="clear" w:color="auto" w:fill="auto"/>
          </w:tcPr>
          <w:p w14:paraId="0ACD22F8" w14:textId="77777777" w:rsidR="00DB00FD" w:rsidRPr="008F19AE" w:rsidRDefault="00DB00FD" w:rsidP="001E2158">
            <w:pPr>
              <w:spacing w:after="120" w:line="240" w:lineRule="auto"/>
              <w:jc w:val="center"/>
              <w:rPr>
                <w:rFonts w:eastAsia="Calibri"/>
              </w:rPr>
            </w:pPr>
            <w:r w:rsidRPr="008F19AE">
              <w:rPr>
                <w:rFonts w:eastAsia="Calibri"/>
              </w:rPr>
              <w:t>Wersja zmieniona</w:t>
            </w:r>
          </w:p>
        </w:tc>
      </w:tr>
      <w:tr w:rsidR="00DB00FD" w:rsidRPr="00935797" w14:paraId="36A2B8CD" w14:textId="77777777" w:rsidTr="00A501D9">
        <w:tc>
          <w:tcPr>
            <w:tcW w:w="1188" w:type="pct"/>
            <w:shd w:val="clear" w:color="auto" w:fill="auto"/>
          </w:tcPr>
          <w:p w14:paraId="3056F545" w14:textId="77777777" w:rsidR="00DB00FD" w:rsidRPr="00AF3A31" w:rsidRDefault="00DB00FD" w:rsidP="001E2158">
            <w:pPr>
              <w:spacing w:after="120" w:line="240" w:lineRule="auto"/>
              <w:jc w:val="left"/>
              <w:rPr>
                <w:rFonts w:eastAsia="Calibri"/>
              </w:rPr>
            </w:pPr>
            <w:r w:rsidRPr="00AF3A31">
              <w:rPr>
                <w:rFonts w:eastAsia="Calibri"/>
              </w:rPr>
              <w:t>Opis inwestycji/ kamienia milowego/ wskaźnika</w:t>
            </w:r>
          </w:p>
        </w:tc>
        <w:tc>
          <w:tcPr>
            <w:tcW w:w="2007" w:type="pct"/>
            <w:shd w:val="clear" w:color="auto" w:fill="auto"/>
          </w:tcPr>
          <w:p w14:paraId="130C25EC" w14:textId="77777777" w:rsidR="00DB00FD" w:rsidRPr="00C21B61" w:rsidRDefault="00DB00FD" w:rsidP="001E2158">
            <w:pPr>
              <w:autoSpaceDE w:val="0"/>
              <w:autoSpaceDN w:val="0"/>
              <w:adjustRightInd w:val="0"/>
              <w:spacing w:after="0" w:line="240" w:lineRule="auto"/>
              <w:jc w:val="left"/>
              <w:rPr>
                <w:rFonts w:ascii="TimesNewRomanPS-BoldMT" w:eastAsiaTheme="minorHAnsi" w:hAnsi="TimesNewRomanPS-BoldMT" w:cs="TimesNewRomanPS-BoldMT"/>
                <w:color w:val="000000"/>
                <w:sz w:val="23"/>
                <w:szCs w:val="23"/>
              </w:rPr>
            </w:pPr>
            <w:r w:rsidRPr="00C21B61">
              <w:rPr>
                <w:rFonts w:ascii="TimesNewRomanPS-BoldMT" w:eastAsiaTheme="minorHAnsi" w:hAnsi="TimesNewRomanPS-BoldMT" w:cs="TimesNewRomanPS-BoldMT"/>
                <w:b/>
                <w:bCs/>
                <w:color w:val="000000"/>
                <w:sz w:val="23"/>
                <w:szCs w:val="23"/>
              </w:rPr>
              <w:t xml:space="preserve">D3.1.1 Kompleksowy rozwój badań w </w:t>
            </w:r>
            <w:r w:rsidRPr="00C21B61">
              <w:rPr>
                <w:rFonts w:eastAsiaTheme="minorHAnsi"/>
                <w:b/>
                <w:bCs/>
                <w:color w:val="000000"/>
                <w:sz w:val="23"/>
                <w:szCs w:val="23"/>
              </w:rPr>
              <w:t xml:space="preserve">zakresie nauk medycznych i nauk o zdrowiu </w:t>
            </w:r>
          </w:p>
          <w:p w14:paraId="541777A5" w14:textId="77777777" w:rsidR="00DB00FD" w:rsidRPr="00530753" w:rsidRDefault="00DB00FD" w:rsidP="001E2158">
            <w:pPr>
              <w:autoSpaceDE w:val="0"/>
              <w:autoSpaceDN w:val="0"/>
              <w:adjustRightInd w:val="0"/>
              <w:spacing w:after="0" w:line="240" w:lineRule="auto"/>
              <w:jc w:val="left"/>
              <w:rPr>
                <w:rFonts w:eastAsiaTheme="minorHAnsi"/>
                <w:color w:val="000000"/>
                <w:sz w:val="23"/>
                <w:szCs w:val="23"/>
              </w:rPr>
            </w:pPr>
            <w:r w:rsidRPr="00530753">
              <w:rPr>
                <w:rFonts w:eastAsiaTheme="minorHAnsi"/>
                <w:color w:val="000000"/>
                <w:sz w:val="23"/>
                <w:szCs w:val="23"/>
              </w:rPr>
              <w:t xml:space="preserve">Celem inwestycji jest </w:t>
            </w:r>
            <w:r w:rsidRPr="00530753">
              <w:rPr>
                <w:rFonts w:ascii="TimesNewRomanPSMT" w:eastAsiaTheme="minorHAnsi" w:hAnsi="TimesNewRomanPSMT" w:cs="TimesNewRomanPSMT"/>
                <w:color w:val="000000"/>
                <w:sz w:val="23"/>
                <w:szCs w:val="23"/>
              </w:rPr>
              <w:t xml:space="preserve">wzmocnienie odporności systemu opieki zdrowotnej poprzez wsparcie badań i </w:t>
            </w:r>
            <w:r w:rsidRPr="00530753">
              <w:rPr>
                <w:rFonts w:eastAsiaTheme="minorHAnsi"/>
                <w:color w:val="000000"/>
                <w:sz w:val="23"/>
                <w:szCs w:val="23"/>
              </w:rPr>
              <w:t xml:space="preserve">rozwoju w dziedzinach medycyny i zdrowia. </w:t>
            </w:r>
          </w:p>
          <w:p w14:paraId="2355D587" w14:textId="77777777" w:rsidR="00DB00FD" w:rsidRPr="00530753" w:rsidRDefault="00DB00FD" w:rsidP="001E2158">
            <w:pPr>
              <w:autoSpaceDE w:val="0"/>
              <w:autoSpaceDN w:val="0"/>
              <w:adjustRightInd w:val="0"/>
              <w:spacing w:after="0" w:line="240" w:lineRule="auto"/>
              <w:jc w:val="left"/>
              <w:rPr>
                <w:rFonts w:ascii="TimesNewRomanPSMT" w:eastAsiaTheme="minorHAnsi" w:hAnsi="TimesNewRomanPSMT" w:cs="TimesNewRomanPSMT"/>
                <w:color w:val="000000"/>
                <w:sz w:val="23"/>
                <w:szCs w:val="23"/>
              </w:rPr>
            </w:pPr>
            <w:r w:rsidRPr="00530753">
              <w:rPr>
                <w:rFonts w:ascii="TimesNewRomanPSMT" w:eastAsiaTheme="minorHAnsi" w:hAnsi="TimesNewRomanPSMT" w:cs="TimesNewRomanPSMT"/>
                <w:color w:val="000000"/>
                <w:sz w:val="23"/>
                <w:szCs w:val="23"/>
              </w:rPr>
              <w:t xml:space="preserve">Inwestycja obejmuje następujące działania: </w:t>
            </w:r>
          </w:p>
          <w:p w14:paraId="2EED54B1" w14:textId="77777777" w:rsidR="00DB00FD" w:rsidRPr="00530753" w:rsidRDefault="00DB00FD" w:rsidP="001E2158">
            <w:pPr>
              <w:autoSpaceDE w:val="0"/>
              <w:autoSpaceDN w:val="0"/>
              <w:adjustRightInd w:val="0"/>
              <w:spacing w:after="138" w:line="240" w:lineRule="auto"/>
              <w:jc w:val="left"/>
              <w:rPr>
                <w:rFonts w:eastAsiaTheme="minorHAnsi"/>
                <w:color w:val="000000"/>
                <w:sz w:val="23"/>
                <w:szCs w:val="23"/>
              </w:rPr>
            </w:pPr>
            <w:r w:rsidRPr="00530753">
              <w:rPr>
                <w:rFonts w:ascii="Calibri" w:eastAsiaTheme="minorHAnsi" w:hAnsi="Calibri" w:cs="Calibri"/>
                <w:color w:val="000000"/>
                <w:sz w:val="23"/>
                <w:szCs w:val="23"/>
              </w:rPr>
              <w:t xml:space="preserve">- </w:t>
            </w:r>
            <w:r w:rsidRPr="00530753">
              <w:rPr>
                <w:rFonts w:eastAsiaTheme="minorHAnsi"/>
                <w:color w:val="000000"/>
                <w:sz w:val="23"/>
                <w:szCs w:val="23"/>
              </w:rPr>
              <w:t xml:space="preserve">konkursy o </w:t>
            </w:r>
            <w:r w:rsidRPr="00530753">
              <w:rPr>
                <w:rFonts w:ascii="TimesNewRomanPSMT" w:eastAsiaTheme="minorHAnsi" w:hAnsi="TimesNewRomanPSMT" w:cs="TimesNewRomanPSMT"/>
                <w:color w:val="000000"/>
                <w:sz w:val="23"/>
                <w:szCs w:val="23"/>
              </w:rPr>
              <w:t>udzielenie dotacji na finansowanie działalności badawczo</w:t>
            </w:r>
            <w:r w:rsidRPr="00530753">
              <w:rPr>
                <w:rFonts w:eastAsiaTheme="minorHAnsi"/>
                <w:color w:val="000000"/>
                <w:sz w:val="23"/>
                <w:szCs w:val="23"/>
              </w:rPr>
              <w:t xml:space="preserve">-rozwojowej ze szczególnym </w:t>
            </w:r>
            <w:r w:rsidRPr="00530753">
              <w:rPr>
                <w:rFonts w:ascii="TimesNewRomanPSMT" w:eastAsiaTheme="minorHAnsi" w:hAnsi="TimesNewRomanPSMT" w:cs="TimesNewRomanPSMT"/>
                <w:color w:val="000000"/>
                <w:sz w:val="23"/>
                <w:szCs w:val="23"/>
              </w:rPr>
              <w:t xml:space="preserve">uwzględnieniem innowacji produktowych, m.in. w </w:t>
            </w:r>
            <w:r w:rsidRPr="00530753">
              <w:rPr>
                <w:rFonts w:eastAsiaTheme="minorHAnsi"/>
                <w:color w:val="000000"/>
                <w:sz w:val="23"/>
                <w:szCs w:val="23"/>
              </w:rPr>
              <w:t xml:space="preserve">zakresie leków, rozwoju wyrobów medycznych, w </w:t>
            </w:r>
            <w:r w:rsidRPr="00530753">
              <w:rPr>
                <w:rFonts w:ascii="TimesNewRomanPSMT" w:eastAsiaTheme="minorHAnsi" w:hAnsi="TimesNewRomanPSMT" w:cs="TimesNewRomanPSMT"/>
                <w:color w:val="000000"/>
                <w:sz w:val="23"/>
                <w:szCs w:val="23"/>
              </w:rPr>
              <w:t xml:space="preserve">szczególności do zastosowań mobilnych, a także </w:t>
            </w:r>
            <w:r w:rsidRPr="00530753">
              <w:rPr>
                <w:rFonts w:eastAsiaTheme="minorHAnsi"/>
                <w:color w:val="000000"/>
                <w:sz w:val="23"/>
                <w:szCs w:val="23"/>
              </w:rPr>
              <w:t xml:space="preserve">rozwoju i </w:t>
            </w:r>
            <w:r w:rsidRPr="00530753">
              <w:rPr>
                <w:rFonts w:ascii="TimesNewRomanPSMT" w:eastAsiaTheme="minorHAnsi" w:hAnsi="TimesNewRomanPSMT" w:cs="TimesNewRomanPSMT"/>
                <w:color w:val="000000"/>
                <w:sz w:val="23"/>
                <w:szCs w:val="23"/>
              </w:rPr>
              <w:t xml:space="preserve">wdrażania narzędzi ICT dla celów medycznych i </w:t>
            </w:r>
            <w:r w:rsidRPr="00530753">
              <w:rPr>
                <w:rFonts w:eastAsiaTheme="minorHAnsi"/>
                <w:color w:val="000000"/>
                <w:sz w:val="23"/>
                <w:szCs w:val="23"/>
              </w:rPr>
              <w:t xml:space="preserve">zdrowotnych, </w:t>
            </w:r>
          </w:p>
          <w:p w14:paraId="61D6CA10" w14:textId="77777777" w:rsidR="00DB00FD" w:rsidRPr="00530753" w:rsidRDefault="00DB00FD" w:rsidP="001E2158">
            <w:pPr>
              <w:autoSpaceDE w:val="0"/>
              <w:autoSpaceDN w:val="0"/>
              <w:adjustRightInd w:val="0"/>
              <w:spacing w:after="138" w:line="240" w:lineRule="auto"/>
              <w:jc w:val="left"/>
              <w:rPr>
                <w:rFonts w:eastAsiaTheme="minorHAnsi"/>
                <w:color w:val="000000"/>
                <w:sz w:val="23"/>
                <w:szCs w:val="23"/>
              </w:rPr>
            </w:pPr>
            <w:r w:rsidRPr="00530753">
              <w:rPr>
                <w:rFonts w:ascii="Calibri" w:eastAsiaTheme="minorHAnsi" w:hAnsi="Calibri" w:cs="Calibri"/>
                <w:color w:val="000000"/>
                <w:sz w:val="23"/>
                <w:szCs w:val="23"/>
              </w:rPr>
              <w:t xml:space="preserve">- </w:t>
            </w:r>
            <w:r w:rsidRPr="00530753">
              <w:rPr>
                <w:rFonts w:ascii="TimesNewRomanPSMT" w:eastAsiaTheme="minorHAnsi" w:hAnsi="TimesNewRomanPSMT" w:cs="TimesNewRomanPSMT"/>
                <w:color w:val="000000"/>
                <w:sz w:val="23"/>
                <w:szCs w:val="23"/>
              </w:rPr>
              <w:t xml:space="preserve">rozwój dodatkowych Centrów Wsparcia Badań Klinicznych, których zadaniem będzie prowadzenie działalności badawczej w zakresie badań klinicznych, stworzenie elektronicznej platformy komunikacyjnej dla Polskiej Sieci Badań Klinicznych oraz </w:t>
            </w:r>
            <w:r w:rsidRPr="00530753">
              <w:rPr>
                <w:rFonts w:eastAsiaTheme="minorHAnsi"/>
                <w:color w:val="000000"/>
                <w:sz w:val="23"/>
                <w:szCs w:val="23"/>
              </w:rPr>
              <w:t xml:space="preserve">wyszukiwarki internetowej w </w:t>
            </w:r>
            <w:r w:rsidRPr="00530753">
              <w:rPr>
                <w:rFonts w:ascii="TimesNewRomanPSMT" w:eastAsiaTheme="minorHAnsi" w:hAnsi="TimesNewRomanPSMT" w:cs="TimesNewRomanPSMT"/>
                <w:color w:val="000000"/>
                <w:sz w:val="23"/>
                <w:szCs w:val="23"/>
              </w:rPr>
              <w:t xml:space="preserve">zakresie badań klinicznych, a także działania uświadamiające w </w:t>
            </w:r>
            <w:r w:rsidRPr="00530753">
              <w:rPr>
                <w:rFonts w:eastAsiaTheme="minorHAnsi"/>
                <w:color w:val="000000"/>
                <w:sz w:val="23"/>
                <w:szCs w:val="23"/>
              </w:rPr>
              <w:t xml:space="preserve">tym zakresie, </w:t>
            </w:r>
          </w:p>
          <w:p w14:paraId="0812B7C2" w14:textId="77777777" w:rsidR="00DB00FD" w:rsidRPr="00530753" w:rsidRDefault="00DB00FD" w:rsidP="001E2158">
            <w:pPr>
              <w:autoSpaceDE w:val="0"/>
              <w:autoSpaceDN w:val="0"/>
              <w:adjustRightInd w:val="0"/>
              <w:spacing w:after="138" w:line="240" w:lineRule="auto"/>
              <w:jc w:val="left"/>
              <w:rPr>
                <w:rFonts w:eastAsiaTheme="minorHAnsi"/>
                <w:color w:val="000000"/>
                <w:sz w:val="23"/>
                <w:szCs w:val="23"/>
              </w:rPr>
            </w:pPr>
            <w:r w:rsidRPr="00530753">
              <w:rPr>
                <w:rFonts w:ascii="Calibri" w:eastAsiaTheme="minorHAnsi" w:hAnsi="Calibri" w:cs="Calibri"/>
                <w:color w:val="000000"/>
                <w:sz w:val="23"/>
                <w:szCs w:val="23"/>
              </w:rPr>
              <w:t xml:space="preserve">- </w:t>
            </w:r>
            <w:r w:rsidRPr="00530753">
              <w:rPr>
                <w:rFonts w:ascii="TimesNewRomanPSMT" w:eastAsiaTheme="minorHAnsi" w:hAnsi="TimesNewRomanPSMT" w:cs="TimesNewRomanPSMT"/>
                <w:color w:val="000000"/>
                <w:sz w:val="23"/>
                <w:szCs w:val="23"/>
              </w:rPr>
              <w:t xml:space="preserve">inne działania wspierające w </w:t>
            </w:r>
            <w:r w:rsidRPr="00530753">
              <w:rPr>
                <w:rFonts w:eastAsiaTheme="minorHAnsi"/>
                <w:color w:val="000000"/>
                <w:sz w:val="23"/>
                <w:szCs w:val="23"/>
              </w:rPr>
              <w:t xml:space="preserve">sektorze biomedycznym, w tym badania sektora oraz wsparcie dla uczelni i inkubatorów technologicznych oraz </w:t>
            </w:r>
          </w:p>
          <w:p w14:paraId="51204F30" w14:textId="77777777" w:rsidR="00DB00FD" w:rsidRPr="00530753" w:rsidRDefault="00DB00FD" w:rsidP="001E2158">
            <w:pPr>
              <w:autoSpaceDE w:val="0"/>
              <w:autoSpaceDN w:val="0"/>
              <w:adjustRightInd w:val="0"/>
              <w:spacing w:after="0" w:line="240" w:lineRule="auto"/>
              <w:jc w:val="left"/>
              <w:rPr>
                <w:rFonts w:eastAsiaTheme="minorHAnsi"/>
                <w:color w:val="000000"/>
                <w:sz w:val="23"/>
                <w:szCs w:val="23"/>
              </w:rPr>
            </w:pPr>
            <w:r w:rsidRPr="00530753">
              <w:rPr>
                <w:rFonts w:ascii="Calibri" w:eastAsiaTheme="minorHAnsi" w:hAnsi="Calibri" w:cs="Calibri"/>
                <w:color w:val="000000"/>
                <w:sz w:val="23"/>
                <w:szCs w:val="23"/>
              </w:rPr>
              <w:t xml:space="preserve">- </w:t>
            </w:r>
            <w:r w:rsidRPr="00530753">
              <w:rPr>
                <w:rFonts w:eastAsiaTheme="minorHAnsi"/>
                <w:color w:val="000000"/>
                <w:sz w:val="23"/>
                <w:szCs w:val="23"/>
              </w:rPr>
              <w:t xml:space="preserve">utworzenie Centrum Badawczo-Analitycznego w strukturach Narodowego Instytutu Zdrowia Publicznego PZH </w:t>
            </w:r>
            <w:r w:rsidRPr="00530753">
              <w:rPr>
                <w:rFonts w:ascii="TimesNewRomanPSMT" w:eastAsiaTheme="minorHAnsi" w:hAnsi="TimesNewRomanPSMT" w:cs="TimesNewRomanPSMT"/>
                <w:color w:val="000000"/>
                <w:sz w:val="23"/>
                <w:szCs w:val="23"/>
              </w:rPr>
              <w:t xml:space="preserve">– Państwowego Instytutu Badawczego, którego głównym zadaniem będzie monitorowanie szerokiego spektrum zagrożeń dla zdrowia ludzkiego </w:t>
            </w:r>
            <w:r w:rsidRPr="00530753">
              <w:rPr>
                <w:rFonts w:eastAsiaTheme="minorHAnsi"/>
                <w:color w:val="000000"/>
                <w:sz w:val="23"/>
                <w:szCs w:val="23"/>
              </w:rPr>
              <w:t xml:space="preserve">oraz sytuacji zdrowotnej i </w:t>
            </w:r>
            <w:r w:rsidRPr="00530753">
              <w:rPr>
                <w:rFonts w:ascii="TimesNewRomanPSMT" w:eastAsiaTheme="minorHAnsi" w:hAnsi="TimesNewRomanPSMT" w:cs="TimesNewRomanPSMT"/>
                <w:color w:val="000000"/>
                <w:sz w:val="23"/>
                <w:szCs w:val="23"/>
              </w:rPr>
              <w:t xml:space="preserve">potrzeb zdrowotnych ludności. W skład powiązanej infrastruktury wchodzić będą również laboratoria o </w:t>
            </w:r>
            <w:r w:rsidRPr="00530753">
              <w:rPr>
                <w:rFonts w:eastAsiaTheme="minorHAnsi"/>
                <w:color w:val="000000"/>
                <w:sz w:val="23"/>
                <w:szCs w:val="23"/>
              </w:rPr>
              <w:t xml:space="preserve">szerokim zakresie poziomów ochrony biologicznej, w tym do poziomu BSL-3+, a </w:t>
            </w:r>
            <w:r w:rsidRPr="00530753">
              <w:rPr>
                <w:rFonts w:ascii="TimesNewRomanPSMT" w:eastAsiaTheme="minorHAnsi" w:hAnsi="TimesNewRomanPSMT" w:cs="TimesNewRomanPSMT"/>
                <w:color w:val="000000"/>
                <w:sz w:val="23"/>
                <w:szCs w:val="23"/>
              </w:rPr>
              <w:t xml:space="preserve">także kampus, który będzie wykorzystywany do działalności szkoleniowej i </w:t>
            </w:r>
            <w:r w:rsidRPr="00530753">
              <w:rPr>
                <w:rFonts w:eastAsiaTheme="minorHAnsi"/>
                <w:color w:val="000000"/>
                <w:sz w:val="23"/>
                <w:szCs w:val="23"/>
              </w:rPr>
              <w:t xml:space="preserve">edukacyjnej. </w:t>
            </w:r>
          </w:p>
          <w:p w14:paraId="6A6A47AD" w14:textId="77777777" w:rsidR="00DB00FD" w:rsidRDefault="00DB00FD" w:rsidP="001E2158">
            <w:pPr>
              <w:autoSpaceDE w:val="0"/>
              <w:autoSpaceDN w:val="0"/>
              <w:adjustRightInd w:val="0"/>
              <w:spacing w:after="0" w:line="240" w:lineRule="auto"/>
              <w:jc w:val="left"/>
              <w:rPr>
                <w:rFonts w:eastAsiaTheme="minorHAnsi"/>
                <w:color w:val="000000"/>
                <w:sz w:val="23"/>
                <w:szCs w:val="23"/>
              </w:rPr>
            </w:pPr>
            <w:r w:rsidRPr="00530753">
              <w:rPr>
                <w:rFonts w:eastAsiaTheme="minorHAnsi"/>
                <w:color w:val="000000"/>
                <w:sz w:val="23"/>
                <w:szCs w:val="23"/>
              </w:rPr>
              <w:t xml:space="preserve">Realizacja </w:t>
            </w:r>
            <w:r w:rsidRPr="00530753">
              <w:rPr>
                <w:rFonts w:ascii="TimesNewRomanPSMT" w:eastAsiaTheme="minorHAnsi" w:hAnsi="TimesNewRomanPSMT" w:cs="TimesNewRomanPSMT"/>
                <w:color w:val="000000"/>
                <w:sz w:val="23"/>
                <w:szCs w:val="23"/>
              </w:rPr>
              <w:t xml:space="preserve">inwestycji zostanie zakończona do dnia 30 czerwca 2026 </w:t>
            </w:r>
            <w:r w:rsidRPr="00530753">
              <w:rPr>
                <w:rFonts w:eastAsiaTheme="minorHAnsi"/>
                <w:color w:val="000000"/>
                <w:sz w:val="23"/>
                <w:szCs w:val="23"/>
              </w:rPr>
              <w:t>r.</w:t>
            </w:r>
          </w:p>
          <w:p w14:paraId="0A4CA6E5" w14:textId="77777777" w:rsidR="00DB00FD" w:rsidRDefault="00DB00FD" w:rsidP="001E2158">
            <w:pPr>
              <w:autoSpaceDE w:val="0"/>
              <w:autoSpaceDN w:val="0"/>
              <w:adjustRightInd w:val="0"/>
              <w:spacing w:after="0" w:line="240" w:lineRule="auto"/>
              <w:jc w:val="left"/>
              <w:rPr>
                <w:rFonts w:eastAsiaTheme="minorHAnsi"/>
                <w:color w:val="000000"/>
                <w:sz w:val="23"/>
                <w:szCs w:val="23"/>
              </w:rPr>
            </w:pPr>
          </w:p>
          <w:p w14:paraId="39AB5A03" w14:textId="77777777" w:rsidR="00DB00FD" w:rsidRPr="00C21B61" w:rsidRDefault="00DB00FD" w:rsidP="001E2158">
            <w:pPr>
              <w:autoSpaceDE w:val="0"/>
              <w:autoSpaceDN w:val="0"/>
              <w:adjustRightInd w:val="0"/>
              <w:spacing w:after="0" w:line="240" w:lineRule="auto"/>
              <w:jc w:val="left"/>
              <w:rPr>
                <w:rFonts w:ascii="TimesNewRomanPSMT" w:eastAsiaTheme="minorHAnsi" w:hAnsi="TimesNewRomanPSMT" w:cs="TimesNewRomanPSMT"/>
                <w:color w:val="000000"/>
                <w:sz w:val="23"/>
                <w:szCs w:val="23"/>
              </w:rPr>
            </w:pPr>
          </w:p>
          <w:p w14:paraId="7DA8EF1E" w14:textId="77777777" w:rsidR="00DB00FD" w:rsidRPr="00F830BC" w:rsidRDefault="00DB00FD" w:rsidP="001E2158">
            <w:pPr>
              <w:autoSpaceDE w:val="0"/>
              <w:autoSpaceDN w:val="0"/>
              <w:adjustRightInd w:val="0"/>
              <w:spacing w:after="0" w:line="240" w:lineRule="auto"/>
              <w:jc w:val="left"/>
              <w:rPr>
                <w:rFonts w:eastAsiaTheme="minorHAnsi"/>
                <w:color w:val="000000"/>
                <w:lang w:val="en-GB"/>
              </w:rPr>
            </w:pPr>
            <w:r w:rsidRPr="00F830BC">
              <w:rPr>
                <w:rFonts w:eastAsiaTheme="minorHAnsi"/>
                <w:b/>
                <w:bCs/>
                <w:color w:val="000000"/>
                <w:lang w:val="en-GB"/>
              </w:rPr>
              <w:t xml:space="preserve">D3.1.1 Comprehensive development of research in the field of medical sciences and health sciences </w:t>
            </w:r>
          </w:p>
          <w:p w14:paraId="54EA3D6B" w14:textId="77777777" w:rsidR="00DB00FD" w:rsidRPr="00F830BC" w:rsidRDefault="00DB00FD" w:rsidP="001E2158">
            <w:pPr>
              <w:autoSpaceDE w:val="0"/>
              <w:autoSpaceDN w:val="0"/>
              <w:adjustRightInd w:val="0"/>
              <w:spacing w:after="0" w:line="240" w:lineRule="auto"/>
              <w:jc w:val="left"/>
              <w:rPr>
                <w:rFonts w:eastAsiaTheme="minorHAnsi"/>
                <w:color w:val="000000"/>
                <w:lang w:val="en-GB"/>
              </w:rPr>
            </w:pPr>
            <w:r w:rsidRPr="00F830BC">
              <w:rPr>
                <w:rFonts w:eastAsiaTheme="minorHAnsi"/>
                <w:color w:val="000000"/>
                <w:lang w:val="en-GB"/>
              </w:rPr>
              <w:t xml:space="preserve">The objective of the investment is to strengthen the resilience of the healthcare system by supporting research and development in the medical and health fields. </w:t>
            </w:r>
          </w:p>
          <w:p w14:paraId="394324E3" w14:textId="77777777" w:rsidR="00DB00FD" w:rsidRPr="00F830BC" w:rsidRDefault="00DB00FD" w:rsidP="001E2158">
            <w:pPr>
              <w:autoSpaceDE w:val="0"/>
              <w:autoSpaceDN w:val="0"/>
              <w:adjustRightInd w:val="0"/>
              <w:spacing w:after="0" w:line="240" w:lineRule="auto"/>
              <w:jc w:val="left"/>
              <w:rPr>
                <w:rFonts w:eastAsiaTheme="minorHAnsi"/>
                <w:color w:val="000000"/>
                <w:lang w:val="en-GB"/>
              </w:rPr>
            </w:pPr>
            <w:r w:rsidRPr="00F830BC">
              <w:rPr>
                <w:rFonts w:eastAsiaTheme="minorHAnsi"/>
                <w:color w:val="000000"/>
                <w:lang w:val="en-GB"/>
              </w:rPr>
              <w:t xml:space="preserve">The investment shall consist of the following activities: </w:t>
            </w:r>
          </w:p>
          <w:p w14:paraId="5FEAEB55" w14:textId="77777777" w:rsidR="00DB00FD" w:rsidRPr="00F830BC" w:rsidRDefault="00DB00FD" w:rsidP="001E2158">
            <w:pPr>
              <w:autoSpaceDE w:val="0"/>
              <w:autoSpaceDN w:val="0"/>
              <w:adjustRightInd w:val="0"/>
              <w:spacing w:after="138" w:line="240" w:lineRule="auto"/>
              <w:jc w:val="left"/>
              <w:rPr>
                <w:rFonts w:eastAsiaTheme="minorHAnsi"/>
                <w:color w:val="000000"/>
                <w:lang w:val="en-GB"/>
              </w:rPr>
            </w:pPr>
            <w:r w:rsidRPr="00F830BC">
              <w:rPr>
                <w:rFonts w:ascii="Calibri" w:eastAsiaTheme="minorHAnsi" w:hAnsi="Calibri" w:cs="Calibri"/>
                <w:color w:val="000000"/>
                <w:lang w:val="en-GB"/>
              </w:rPr>
              <w:t xml:space="preserve">- </w:t>
            </w:r>
            <w:r w:rsidRPr="00F830BC">
              <w:rPr>
                <w:rFonts w:eastAsiaTheme="minorHAnsi"/>
                <w:color w:val="000000"/>
                <w:lang w:val="en-GB"/>
              </w:rPr>
              <w:t xml:space="preserve">Grant competitions to finance research and development activities with a focus on product innovations, such as on drugs, development of medical devices, especially for mobile use, as well as the development and implementation of ICT tools for medical and health purposes, </w:t>
            </w:r>
          </w:p>
          <w:p w14:paraId="52531809" w14:textId="77777777" w:rsidR="00DB00FD" w:rsidRPr="00F830BC" w:rsidRDefault="00DB00FD" w:rsidP="001E2158">
            <w:pPr>
              <w:autoSpaceDE w:val="0"/>
              <w:autoSpaceDN w:val="0"/>
              <w:adjustRightInd w:val="0"/>
              <w:spacing w:after="138" w:line="240" w:lineRule="auto"/>
              <w:jc w:val="left"/>
              <w:rPr>
                <w:rFonts w:eastAsiaTheme="minorHAnsi"/>
                <w:color w:val="000000"/>
                <w:lang w:val="en-GB"/>
              </w:rPr>
            </w:pPr>
            <w:r w:rsidRPr="00F830BC">
              <w:rPr>
                <w:rFonts w:ascii="Calibri" w:eastAsiaTheme="minorHAnsi" w:hAnsi="Calibri" w:cs="Calibri"/>
                <w:color w:val="000000"/>
                <w:lang w:val="en-GB"/>
              </w:rPr>
              <w:t xml:space="preserve">- </w:t>
            </w:r>
            <w:r w:rsidRPr="00F830BC">
              <w:rPr>
                <w:rFonts w:eastAsiaTheme="minorHAnsi"/>
                <w:color w:val="000000"/>
                <w:lang w:val="en-GB"/>
              </w:rPr>
              <w:t xml:space="preserve">Development of additional Clinical Research Support Centres tasked with research activities in the field of clinical trials, creation of an electronic communication platform for the Polish Clinical Research Network and of a search engine for clinical trials, as well as awareness raising activities in this field, </w:t>
            </w:r>
          </w:p>
          <w:p w14:paraId="58CDEA48" w14:textId="77777777" w:rsidR="00DB00FD" w:rsidRPr="00F830BC" w:rsidRDefault="00DB00FD" w:rsidP="001E2158">
            <w:pPr>
              <w:autoSpaceDE w:val="0"/>
              <w:autoSpaceDN w:val="0"/>
              <w:adjustRightInd w:val="0"/>
              <w:spacing w:after="138" w:line="240" w:lineRule="auto"/>
              <w:jc w:val="left"/>
              <w:rPr>
                <w:rFonts w:eastAsiaTheme="minorHAnsi"/>
                <w:color w:val="000000"/>
                <w:lang w:val="en-GB"/>
              </w:rPr>
            </w:pPr>
            <w:r w:rsidRPr="00F830BC">
              <w:rPr>
                <w:rFonts w:ascii="Calibri" w:eastAsiaTheme="minorHAnsi" w:hAnsi="Calibri" w:cs="Calibri"/>
                <w:color w:val="000000"/>
                <w:lang w:val="en-GB"/>
              </w:rPr>
              <w:t xml:space="preserve">- </w:t>
            </w:r>
            <w:r w:rsidRPr="00F830BC">
              <w:rPr>
                <w:rFonts w:eastAsiaTheme="minorHAnsi"/>
                <w:color w:val="000000"/>
                <w:lang w:val="en-GB"/>
              </w:rPr>
              <w:t xml:space="preserve">Other supporting activities in the biomedical sector, including studies on the sector and support for universities and technological incubators, and </w:t>
            </w:r>
          </w:p>
          <w:p w14:paraId="6EA1C444" w14:textId="77777777" w:rsidR="00DB00FD" w:rsidRPr="00F830BC" w:rsidRDefault="00DB00FD" w:rsidP="001E2158">
            <w:pPr>
              <w:autoSpaceDE w:val="0"/>
              <w:autoSpaceDN w:val="0"/>
              <w:adjustRightInd w:val="0"/>
              <w:spacing w:after="0" w:line="240" w:lineRule="auto"/>
              <w:jc w:val="left"/>
              <w:rPr>
                <w:rFonts w:eastAsiaTheme="minorHAnsi"/>
                <w:color w:val="000000"/>
                <w:lang w:val="en-GB"/>
              </w:rPr>
            </w:pPr>
            <w:r w:rsidRPr="00F830BC">
              <w:rPr>
                <w:rFonts w:ascii="Calibri" w:eastAsiaTheme="minorHAnsi" w:hAnsi="Calibri" w:cs="Calibri"/>
                <w:color w:val="000000"/>
                <w:lang w:val="en-GB"/>
              </w:rPr>
              <w:lastRenderedPageBreak/>
              <w:t xml:space="preserve">- </w:t>
            </w:r>
            <w:r w:rsidRPr="00F830BC">
              <w:rPr>
                <w:rFonts w:eastAsiaTheme="minorHAnsi"/>
                <w:color w:val="000000"/>
                <w:lang w:val="en-GB"/>
              </w:rPr>
              <w:t xml:space="preserve">Establishment of a Research and Analytical Centre within the National Institute of Public Health NIH </w:t>
            </w:r>
            <w:r w:rsidRPr="00F830BC">
              <w:rPr>
                <w:rFonts w:ascii="TimesNewRomanPSMT" w:eastAsiaTheme="minorHAnsi" w:hAnsi="TimesNewRomanPSMT" w:cs="TimesNewRomanPSMT"/>
                <w:color w:val="000000"/>
                <w:lang w:val="en-GB"/>
              </w:rPr>
              <w:t xml:space="preserve">– </w:t>
            </w:r>
            <w:r w:rsidRPr="00F830BC">
              <w:rPr>
                <w:rFonts w:eastAsiaTheme="minorHAnsi"/>
                <w:color w:val="000000"/>
                <w:lang w:val="en-GB"/>
              </w:rPr>
              <w:t xml:space="preserve">National Research Institute, primarily tasked with the monitoring of a large range of risks to human health and of the health situation and needs of the population. The related infrastructure shall also consist of laboratories with a broad range of biosecurity levels, including up to BSL-3+ level, as well as a campus to be used for training and education activities. </w:t>
            </w:r>
          </w:p>
          <w:p w14:paraId="4EF3450F" w14:textId="77777777" w:rsidR="00DB00FD" w:rsidRPr="00F830BC" w:rsidRDefault="00DB00FD" w:rsidP="001E2158">
            <w:pPr>
              <w:autoSpaceDE w:val="0"/>
              <w:autoSpaceDN w:val="0"/>
              <w:adjustRightInd w:val="0"/>
              <w:spacing w:after="0" w:line="240" w:lineRule="auto"/>
              <w:jc w:val="left"/>
              <w:rPr>
                <w:rFonts w:eastAsiaTheme="minorHAnsi"/>
                <w:color w:val="000000"/>
                <w:lang w:val="en-GB"/>
              </w:rPr>
            </w:pPr>
          </w:p>
          <w:p w14:paraId="65AD4111" w14:textId="77777777" w:rsidR="00DB00FD" w:rsidRPr="003E6212" w:rsidRDefault="00DB00FD" w:rsidP="001E2158">
            <w:pPr>
              <w:autoSpaceDE w:val="0"/>
              <w:autoSpaceDN w:val="0"/>
              <w:adjustRightInd w:val="0"/>
              <w:spacing w:after="0" w:line="240" w:lineRule="auto"/>
              <w:jc w:val="left"/>
              <w:rPr>
                <w:rFonts w:eastAsiaTheme="minorHAnsi"/>
                <w:color w:val="000000"/>
                <w:sz w:val="23"/>
                <w:szCs w:val="23"/>
                <w:lang w:val="en-GB"/>
              </w:rPr>
            </w:pPr>
            <w:r w:rsidRPr="00F830BC">
              <w:rPr>
                <w:rFonts w:eastAsiaTheme="minorHAnsi"/>
                <w:color w:val="000000"/>
                <w:lang w:val="en-GB"/>
              </w:rPr>
              <w:t>The implementation of the investment shall be completed by 30 June 2026.</w:t>
            </w:r>
          </w:p>
        </w:tc>
        <w:tc>
          <w:tcPr>
            <w:tcW w:w="1805" w:type="pct"/>
            <w:shd w:val="clear" w:color="auto" w:fill="auto"/>
          </w:tcPr>
          <w:p w14:paraId="42A6033D" w14:textId="77777777" w:rsidR="00DB00FD" w:rsidRPr="00C21B61" w:rsidRDefault="00DB00FD" w:rsidP="001E2158">
            <w:pPr>
              <w:autoSpaceDE w:val="0"/>
              <w:autoSpaceDN w:val="0"/>
              <w:adjustRightInd w:val="0"/>
              <w:spacing w:after="0" w:line="240" w:lineRule="auto"/>
              <w:jc w:val="left"/>
              <w:rPr>
                <w:rFonts w:ascii="TimesNewRomanPS-BoldMT" w:eastAsiaTheme="minorHAnsi" w:hAnsi="TimesNewRomanPS-BoldMT" w:cs="TimesNewRomanPS-BoldMT"/>
                <w:color w:val="000000"/>
                <w:sz w:val="23"/>
                <w:szCs w:val="23"/>
              </w:rPr>
            </w:pPr>
            <w:r w:rsidRPr="00C21B61">
              <w:rPr>
                <w:rFonts w:ascii="TimesNewRomanPS-BoldMT" w:eastAsiaTheme="minorHAnsi" w:hAnsi="TimesNewRomanPS-BoldMT" w:cs="TimesNewRomanPS-BoldMT"/>
                <w:b/>
                <w:bCs/>
                <w:color w:val="000000"/>
                <w:sz w:val="23"/>
                <w:szCs w:val="23"/>
              </w:rPr>
              <w:lastRenderedPageBreak/>
              <w:t xml:space="preserve">D3.1.1 Kompleksowy rozwój badań w </w:t>
            </w:r>
            <w:r w:rsidRPr="00C21B61">
              <w:rPr>
                <w:rFonts w:eastAsiaTheme="minorHAnsi"/>
                <w:b/>
                <w:bCs/>
                <w:color w:val="000000"/>
                <w:sz w:val="23"/>
                <w:szCs w:val="23"/>
              </w:rPr>
              <w:t xml:space="preserve">zakresie nauk medycznych i nauk o zdrowiu </w:t>
            </w:r>
          </w:p>
          <w:p w14:paraId="75D721BC" w14:textId="77777777" w:rsidR="00DB00FD" w:rsidRPr="00530753" w:rsidRDefault="00DB00FD" w:rsidP="001E2158">
            <w:pPr>
              <w:autoSpaceDE w:val="0"/>
              <w:autoSpaceDN w:val="0"/>
              <w:adjustRightInd w:val="0"/>
              <w:spacing w:after="0" w:line="240" w:lineRule="auto"/>
              <w:jc w:val="left"/>
              <w:rPr>
                <w:rFonts w:eastAsiaTheme="minorHAnsi"/>
                <w:color w:val="000000"/>
                <w:sz w:val="23"/>
                <w:szCs w:val="23"/>
              </w:rPr>
            </w:pPr>
            <w:r w:rsidRPr="00530753">
              <w:rPr>
                <w:rFonts w:eastAsiaTheme="minorHAnsi"/>
                <w:color w:val="000000"/>
                <w:sz w:val="23"/>
                <w:szCs w:val="23"/>
              </w:rPr>
              <w:t xml:space="preserve">Celem inwestycji jest </w:t>
            </w:r>
            <w:r w:rsidRPr="00530753">
              <w:rPr>
                <w:rFonts w:ascii="TimesNewRomanPSMT" w:eastAsiaTheme="minorHAnsi" w:hAnsi="TimesNewRomanPSMT" w:cs="TimesNewRomanPSMT"/>
                <w:color w:val="000000"/>
                <w:sz w:val="23"/>
                <w:szCs w:val="23"/>
              </w:rPr>
              <w:t xml:space="preserve">wzmocnienie odporności systemu opieki zdrowotnej poprzez wsparcie badań i </w:t>
            </w:r>
            <w:r w:rsidRPr="00530753">
              <w:rPr>
                <w:rFonts w:eastAsiaTheme="minorHAnsi"/>
                <w:color w:val="000000"/>
                <w:sz w:val="23"/>
                <w:szCs w:val="23"/>
              </w:rPr>
              <w:t xml:space="preserve">rozwoju w dziedzinach medycyny i zdrowia. </w:t>
            </w:r>
          </w:p>
          <w:p w14:paraId="59361CAF" w14:textId="77777777" w:rsidR="00DB00FD" w:rsidRPr="00530753" w:rsidRDefault="00DB00FD" w:rsidP="001E2158">
            <w:pPr>
              <w:autoSpaceDE w:val="0"/>
              <w:autoSpaceDN w:val="0"/>
              <w:adjustRightInd w:val="0"/>
              <w:spacing w:after="0" w:line="240" w:lineRule="auto"/>
              <w:jc w:val="left"/>
              <w:rPr>
                <w:rFonts w:ascii="TimesNewRomanPSMT" w:eastAsiaTheme="minorHAnsi" w:hAnsi="TimesNewRomanPSMT" w:cs="TimesNewRomanPSMT"/>
                <w:color w:val="000000"/>
                <w:sz w:val="23"/>
                <w:szCs w:val="23"/>
              </w:rPr>
            </w:pPr>
            <w:r w:rsidRPr="00530753">
              <w:rPr>
                <w:rFonts w:ascii="TimesNewRomanPSMT" w:eastAsiaTheme="minorHAnsi" w:hAnsi="TimesNewRomanPSMT" w:cs="TimesNewRomanPSMT"/>
                <w:color w:val="000000"/>
                <w:sz w:val="23"/>
                <w:szCs w:val="23"/>
              </w:rPr>
              <w:t xml:space="preserve">Inwestycja obejmuje następujące działania: </w:t>
            </w:r>
          </w:p>
          <w:p w14:paraId="0BF75B4A" w14:textId="77777777" w:rsidR="00DB00FD" w:rsidRPr="00530753" w:rsidRDefault="00DB00FD" w:rsidP="001E2158">
            <w:pPr>
              <w:autoSpaceDE w:val="0"/>
              <w:autoSpaceDN w:val="0"/>
              <w:adjustRightInd w:val="0"/>
              <w:spacing w:after="138" w:line="240" w:lineRule="auto"/>
              <w:jc w:val="left"/>
              <w:rPr>
                <w:rFonts w:eastAsiaTheme="minorHAnsi"/>
                <w:color w:val="000000"/>
                <w:sz w:val="23"/>
                <w:szCs w:val="23"/>
              </w:rPr>
            </w:pPr>
            <w:r w:rsidRPr="00530753">
              <w:rPr>
                <w:rFonts w:ascii="Calibri" w:eastAsiaTheme="minorHAnsi" w:hAnsi="Calibri" w:cs="Calibri"/>
                <w:color w:val="000000"/>
                <w:sz w:val="23"/>
                <w:szCs w:val="23"/>
              </w:rPr>
              <w:t xml:space="preserve">- </w:t>
            </w:r>
            <w:r w:rsidRPr="00F830BC">
              <w:rPr>
                <w:rFonts w:eastAsiaTheme="minorHAnsi"/>
                <w:color w:val="FF0000"/>
              </w:rPr>
              <w:t xml:space="preserve">konkursy o </w:t>
            </w:r>
            <w:r w:rsidRPr="00F830BC">
              <w:rPr>
                <w:rFonts w:ascii="TimesNewRomanPSMT" w:eastAsiaTheme="minorHAnsi" w:hAnsi="TimesNewRomanPSMT" w:cs="TimesNewRomanPSMT"/>
                <w:color w:val="FF0000"/>
              </w:rPr>
              <w:t>udzielenie bezzwrotnego wsparcia na finansowanie działalności badawczo</w:t>
            </w:r>
            <w:r w:rsidRPr="00F830BC">
              <w:rPr>
                <w:rFonts w:eastAsiaTheme="minorHAnsi"/>
                <w:color w:val="FF0000"/>
              </w:rPr>
              <w:t xml:space="preserve">-rozwojowej ze szczególnym </w:t>
            </w:r>
            <w:r w:rsidRPr="00F830BC">
              <w:rPr>
                <w:rFonts w:ascii="TimesNewRomanPSMT" w:eastAsiaTheme="minorHAnsi" w:hAnsi="TimesNewRomanPSMT" w:cs="TimesNewRomanPSMT"/>
                <w:color w:val="FF0000"/>
              </w:rPr>
              <w:t xml:space="preserve">uwzględnieniem badań m.in. w </w:t>
            </w:r>
            <w:r w:rsidRPr="00F830BC">
              <w:rPr>
                <w:rFonts w:eastAsiaTheme="minorHAnsi"/>
                <w:color w:val="FF0000"/>
              </w:rPr>
              <w:t xml:space="preserve">zakresie rozwoju kandydatów na produkty lecznicze, rozwoju opracowywanych i istniejących wyrobów medycznych, w </w:t>
            </w:r>
            <w:r w:rsidRPr="00F830BC">
              <w:rPr>
                <w:rFonts w:ascii="TimesNewRomanPSMT" w:eastAsiaTheme="minorHAnsi" w:hAnsi="TimesNewRomanPSMT" w:cs="TimesNewRomanPSMT"/>
                <w:color w:val="FF0000"/>
              </w:rPr>
              <w:t xml:space="preserve">szczególności do przyszłych zastosowań mobilnych, a także </w:t>
            </w:r>
            <w:r w:rsidRPr="00F830BC">
              <w:rPr>
                <w:rFonts w:eastAsiaTheme="minorHAnsi"/>
                <w:color w:val="FF0000"/>
              </w:rPr>
              <w:t xml:space="preserve">rozwoju i przyszłego </w:t>
            </w:r>
            <w:r w:rsidRPr="00F830BC">
              <w:rPr>
                <w:rFonts w:ascii="TimesNewRomanPSMT" w:eastAsiaTheme="minorHAnsi" w:hAnsi="TimesNewRomanPSMT" w:cs="TimesNewRomanPSMT"/>
                <w:color w:val="FF0000"/>
              </w:rPr>
              <w:t xml:space="preserve">wdrażania narzędzi ICT dla celów medycznych i </w:t>
            </w:r>
            <w:r w:rsidRPr="00F830BC">
              <w:rPr>
                <w:rFonts w:eastAsiaTheme="minorHAnsi"/>
                <w:color w:val="FF0000"/>
              </w:rPr>
              <w:t>zdrowotny</w:t>
            </w:r>
            <w:r w:rsidRPr="009D1150">
              <w:rPr>
                <w:rFonts w:eastAsiaTheme="minorHAnsi"/>
                <w:color w:val="FF0000"/>
              </w:rPr>
              <w:t>ch</w:t>
            </w:r>
            <w:r w:rsidRPr="009D1150">
              <w:rPr>
                <w:rFonts w:eastAsiaTheme="minorHAnsi"/>
                <w:color w:val="000000"/>
                <w:sz w:val="23"/>
                <w:szCs w:val="23"/>
              </w:rPr>
              <w:t>,</w:t>
            </w:r>
            <w:r w:rsidRPr="00530753">
              <w:rPr>
                <w:rFonts w:eastAsiaTheme="minorHAnsi"/>
                <w:color w:val="000000"/>
                <w:sz w:val="23"/>
                <w:szCs w:val="23"/>
              </w:rPr>
              <w:t xml:space="preserve"> </w:t>
            </w:r>
          </w:p>
          <w:p w14:paraId="2B75E712" w14:textId="77777777" w:rsidR="00DB00FD" w:rsidRPr="00530753" w:rsidRDefault="00DB00FD" w:rsidP="001E2158">
            <w:pPr>
              <w:autoSpaceDE w:val="0"/>
              <w:autoSpaceDN w:val="0"/>
              <w:adjustRightInd w:val="0"/>
              <w:spacing w:after="138" w:line="240" w:lineRule="auto"/>
              <w:jc w:val="left"/>
              <w:rPr>
                <w:rFonts w:eastAsiaTheme="minorHAnsi"/>
                <w:color w:val="000000"/>
                <w:sz w:val="23"/>
                <w:szCs w:val="23"/>
              </w:rPr>
            </w:pPr>
            <w:r w:rsidRPr="00530753">
              <w:rPr>
                <w:rFonts w:ascii="Calibri" w:eastAsiaTheme="minorHAnsi" w:hAnsi="Calibri" w:cs="Calibri"/>
                <w:color w:val="000000"/>
                <w:sz w:val="23"/>
                <w:szCs w:val="23"/>
              </w:rPr>
              <w:t xml:space="preserve">- </w:t>
            </w:r>
            <w:r w:rsidRPr="00530753">
              <w:rPr>
                <w:rFonts w:ascii="TimesNewRomanPSMT" w:eastAsiaTheme="minorHAnsi" w:hAnsi="TimesNewRomanPSMT" w:cs="TimesNewRomanPSMT"/>
                <w:color w:val="000000"/>
                <w:sz w:val="23"/>
                <w:szCs w:val="23"/>
              </w:rPr>
              <w:t xml:space="preserve">rozwój </w:t>
            </w:r>
            <w:r w:rsidRPr="008F19AE">
              <w:rPr>
                <w:rFonts w:ascii="TimesNewRomanPSMT" w:eastAsiaTheme="minorHAnsi" w:hAnsi="TimesNewRomanPSMT" w:cs="TimesNewRomanPSMT"/>
                <w:color w:val="FF0000"/>
                <w:sz w:val="23"/>
                <w:szCs w:val="23"/>
              </w:rPr>
              <w:t xml:space="preserve">i wsparcie </w:t>
            </w:r>
            <w:r w:rsidRPr="00530753">
              <w:rPr>
                <w:rFonts w:ascii="TimesNewRomanPSMT" w:eastAsiaTheme="minorHAnsi" w:hAnsi="TimesNewRomanPSMT" w:cs="TimesNewRomanPSMT"/>
                <w:color w:val="000000"/>
                <w:sz w:val="23"/>
                <w:szCs w:val="23"/>
              </w:rPr>
              <w:t xml:space="preserve">Centrów Wsparcia Badań Klinicznych, których zadaniem będzie prowadzenie działalności badawczej w zakresie badań klinicznych, stworzenie elektronicznej platformy komunikacyjnej dla Polskiej Sieci Badań Klinicznych oraz </w:t>
            </w:r>
            <w:r w:rsidRPr="00530753">
              <w:rPr>
                <w:rFonts w:eastAsiaTheme="minorHAnsi"/>
                <w:color w:val="000000"/>
                <w:sz w:val="23"/>
                <w:szCs w:val="23"/>
              </w:rPr>
              <w:t xml:space="preserve">wyszukiwarki internetowej w </w:t>
            </w:r>
            <w:r w:rsidRPr="00530753">
              <w:rPr>
                <w:rFonts w:ascii="TimesNewRomanPSMT" w:eastAsiaTheme="minorHAnsi" w:hAnsi="TimesNewRomanPSMT" w:cs="TimesNewRomanPSMT"/>
                <w:color w:val="000000"/>
                <w:sz w:val="23"/>
                <w:szCs w:val="23"/>
              </w:rPr>
              <w:t xml:space="preserve">zakresie badań klinicznych, a także działania uświadamiające w </w:t>
            </w:r>
            <w:r w:rsidRPr="00530753">
              <w:rPr>
                <w:rFonts w:eastAsiaTheme="minorHAnsi"/>
                <w:color w:val="000000"/>
                <w:sz w:val="23"/>
                <w:szCs w:val="23"/>
              </w:rPr>
              <w:t xml:space="preserve">tym zakresie, </w:t>
            </w:r>
          </w:p>
          <w:p w14:paraId="652E786D" w14:textId="77777777" w:rsidR="00DB00FD" w:rsidRPr="005E1667" w:rsidRDefault="00DB00FD" w:rsidP="001E2158">
            <w:pPr>
              <w:pStyle w:val="NormalnyWeb"/>
              <w:spacing w:after="0" w:afterAutospacing="0"/>
              <w:rPr>
                <w:lang w:eastAsia="pl-PL"/>
              </w:rPr>
            </w:pPr>
            <w:r w:rsidRPr="00530753">
              <w:rPr>
                <w:rFonts w:ascii="Calibri" w:eastAsiaTheme="minorHAnsi" w:hAnsi="Calibri" w:cs="Calibri"/>
                <w:color w:val="000000"/>
                <w:sz w:val="23"/>
                <w:szCs w:val="23"/>
              </w:rPr>
              <w:t xml:space="preserve">- </w:t>
            </w:r>
            <w:r w:rsidRPr="0056086B">
              <w:rPr>
                <w:color w:val="FF0000"/>
                <w:lang w:eastAsia="pl-PL"/>
              </w:rPr>
              <w:t>wykonanie kompletnej dokumentacji projektowej na budowę Centrum Badawczo-Analitycznego przy ul. Powsińskiej 61/63 w Warszawie i przygotowanie infrastruktury pod budowę Centrum Badawczo-Analitycznego przy ul. Powsińskiej 61/63 w Warszawie</w:t>
            </w:r>
          </w:p>
          <w:p w14:paraId="42CED41A" w14:textId="77777777" w:rsidR="00DB00FD" w:rsidRPr="00530753" w:rsidRDefault="00DB00FD" w:rsidP="001E2158">
            <w:pPr>
              <w:autoSpaceDE w:val="0"/>
              <w:autoSpaceDN w:val="0"/>
              <w:adjustRightInd w:val="0"/>
              <w:spacing w:after="0" w:line="240" w:lineRule="auto"/>
              <w:jc w:val="left"/>
              <w:rPr>
                <w:rFonts w:eastAsiaTheme="minorHAnsi"/>
                <w:color w:val="000000"/>
                <w:sz w:val="23"/>
                <w:szCs w:val="23"/>
              </w:rPr>
            </w:pPr>
          </w:p>
          <w:p w14:paraId="13ABAF82" w14:textId="77777777" w:rsidR="00DB00FD" w:rsidRPr="00530753" w:rsidRDefault="00DB00FD" w:rsidP="001E2158">
            <w:pPr>
              <w:autoSpaceDE w:val="0"/>
              <w:autoSpaceDN w:val="0"/>
              <w:adjustRightInd w:val="0"/>
              <w:spacing w:after="0" w:line="240" w:lineRule="auto"/>
              <w:jc w:val="left"/>
              <w:rPr>
                <w:rFonts w:eastAsiaTheme="minorHAnsi"/>
                <w:color w:val="000000"/>
                <w:sz w:val="23"/>
                <w:szCs w:val="23"/>
              </w:rPr>
            </w:pPr>
          </w:p>
          <w:p w14:paraId="6944980E" w14:textId="77777777" w:rsidR="00A501D9" w:rsidRDefault="00A501D9" w:rsidP="001E2158">
            <w:pPr>
              <w:autoSpaceDE w:val="0"/>
              <w:autoSpaceDN w:val="0"/>
              <w:adjustRightInd w:val="0"/>
              <w:spacing w:after="0" w:line="240" w:lineRule="auto"/>
              <w:jc w:val="left"/>
              <w:rPr>
                <w:rFonts w:eastAsiaTheme="minorHAnsi"/>
                <w:color w:val="000000"/>
                <w:sz w:val="23"/>
                <w:szCs w:val="23"/>
              </w:rPr>
            </w:pPr>
          </w:p>
          <w:p w14:paraId="5E15CFCE" w14:textId="77777777" w:rsidR="00A501D9" w:rsidRDefault="00A501D9" w:rsidP="001E2158">
            <w:pPr>
              <w:autoSpaceDE w:val="0"/>
              <w:autoSpaceDN w:val="0"/>
              <w:adjustRightInd w:val="0"/>
              <w:spacing w:after="0" w:line="240" w:lineRule="auto"/>
              <w:jc w:val="left"/>
              <w:rPr>
                <w:rFonts w:eastAsiaTheme="minorHAnsi"/>
                <w:color w:val="000000"/>
                <w:sz w:val="23"/>
                <w:szCs w:val="23"/>
              </w:rPr>
            </w:pPr>
          </w:p>
          <w:p w14:paraId="65DD08E2" w14:textId="77777777" w:rsidR="00A501D9" w:rsidRDefault="00A501D9" w:rsidP="001E2158">
            <w:pPr>
              <w:autoSpaceDE w:val="0"/>
              <w:autoSpaceDN w:val="0"/>
              <w:adjustRightInd w:val="0"/>
              <w:spacing w:after="0" w:line="240" w:lineRule="auto"/>
              <w:jc w:val="left"/>
              <w:rPr>
                <w:rFonts w:eastAsiaTheme="minorHAnsi"/>
                <w:color w:val="000000"/>
                <w:sz w:val="23"/>
                <w:szCs w:val="23"/>
              </w:rPr>
            </w:pPr>
          </w:p>
          <w:p w14:paraId="0D508082" w14:textId="77777777" w:rsidR="00A501D9" w:rsidRDefault="00A501D9" w:rsidP="001E2158">
            <w:pPr>
              <w:autoSpaceDE w:val="0"/>
              <w:autoSpaceDN w:val="0"/>
              <w:adjustRightInd w:val="0"/>
              <w:spacing w:after="0" w:line="240" w:lineRule="auto"/>
              <w:jc w:val="left"/>
              <w:rPr>
                <w:rFonts w:eastAsiaTheme="minorHAnsi"/>
                <w:color w:val="000000"/>
                <w:sz w:val="23"/>
                <w:szCs w:val="23"/>
              </w:rPr>
            </w:pPr>
          </w:p>
          <w:p w14:paraId="20F36EF6" w14:textId="77777777" w:rsidR="00A501D9" w:rsidRDefault="00A501D9" w:rsidP="001E2158">
            <w:pPr>
              <w:autoSpaceDE w:val="0"/>
              <w:autoSpaceDN w:val="0"/>
              <w:adjustRightInd w:val="0"/>
              <w:spacing w:after="0" w:line="240" w:lineRule="auto"/>
              <w:jc w:val="left"/>
              <w:rPr>
                <w:rFonts w:eastAsiaTheme="minorHAnsi"/>
                <w:color w:val="000000"/>
                <w:sz w:val="23"/>
                <w:szCs w:val="23"/>
              </w:rPr>
            </w:pPr>
          </w:p>
          <w:p w14:paraId="009B2182" w14:textId="77777777" w:rsidR="00A501D9" w:rsidRDefault="00A501D9" w:rsidP="001E2158">
            <w:pPr>
              <w:autoSpaceDE w:val="0"/>
              <w:autoSpaceDN w:val="0"/>
              <w:adjustRightInd w:val="0"/>
              <w:spacing w:after="0" w:line="240" w:lineRule="auto"/>
              <w:jc w:val="left"/>
              <w:rPr>
                <w:rFonts w:eastAsiaTheme="minorHAnsi"/>
                <w:color w:val="000000"/>
                <w:sz w:val="23"/>
                <w:szCs w:val="23"/>
              </w:rPr>
            </w:pPr>
          </w:p>
          <w:p w14:paraId="3C78BB55" w14:textId="35F484E5" w:rsidR="00DB00FD" w:rsidRDefault="00DB00FD" w:rsidP="001E2158">
            <w:pPr>
              <w:autoSpaceDE w:val="0"/>
              <w:autoSpaceDN w:val="0"/>
              <w:adjustRightInd w:val="0"/>
              <w:spacing w:after="0" w:line="240" w:lineRule="auto"/>
              <w:jc w:val="left"/>
              <w:rPr>
                <w:rFonts w:eastAsiaTheme="minorHAnsi"/>
                <w:color w:val="000000"/>
                <w:sz w:val="23"/>
                <w:szCs w:val="23"/>
              </w:rPr>
            </w:pPr>
            <w:r w:rsidRPr="00530753">
              <w:rPr>
                <w:rFonts w:eastAsiaTheme="minorHAnsi"/>
                <w:color w:val="000000"/>
                <w:sz w:val="23"/>
                <w:szCs w:val="23"/>
              </w:rPr>
              <w:t xml:space="preserve">Realizacja </w:t>
            </w:r>
            <w:r w:rsidRPr="00530753">
              <w:rPr>
                <w:rFonts w:ascii="TimesNewRomanPSMT" w:eastAsiaTheme="minorHAnsi" w:hAnsi="TimesNewRomanPSMT" w:cs="TimesNewRomanPSMT"/>
                <w:color w:val="000000"/>
                <w:sz w:val="23"/>
                <w:szCs w:val="23"/>
              </w:rPr>
              <w:t xml:space="preserve">inwestycji zostanie zakończona do dnia 30 czerwca 2026 </w:t>
            </w:r>
            <w:r w:rsidRPr="00530753">
              <w:rPr>
                <w:rFonts w:eastAsiaTheme="minorHAnsi"/>
                <w:color w:val="000000"/>
                <w:sz w:val="23"/>
                <w:szCs w:val="23"/>
              </w:rPr>
              <w:t>r.</w:t>
            </w:r>
          </w:p>
          <w:p w14:paraId="7EB7930D" w14:textId="77777777" w:rsidR="00DB00FD" w:rsidRDefault="00DB00FD" w:rsidP="001E2158">
            <w:pPr>
              <w:autoSpaceDE w:val="0"/>
              <w:autoSpaceDN w:val="0"/>
              <w:adjustRightInd w:val="0"/>
              <w:spacing w:after="0" w:line="240" w:lineRule="auto"/>
              <w:jc w:val="left"/>
              <w:rPr>
                <w:rFonts w:eastAsiaTheme="minorHAnsi"/>
                <w:color w:val="000000"/>
                <w:sz w:val="23"/>
                <w:szCs w:val="23"/>
              </w:rPr>
            </w:pPr>
          </w:p>
          <w:p w14:paraId="4C796D8E" w14:textId="77777777" w:rsidR="00DB00FD" w:rsidRPr="00FF1D22" w:rsidRDefault="00DB00FD" w:rsidP="001E2158">
            <w:pPr>
              <w:autoSpaceDE w:val="0"/>
              <w:autoSpaceDN w:val="0"/>
              <w:adjustRightInd w:val="0"/>
              <w:spacing w:after="0" w:line="240" w:lineRule="auto"/>
              <w:jc w:val="left"/>
              <w:rPr>
                <w:rFonts w:eastAsiaTheme="minorHAnsi"/>
                <w:b/>
                <w:bCs/>
              </w:rPr>
            </w:pPr>
          </w:p>
          <w:p w14:paraId="63915E7E" w14:textId="2F07D831" w:rsidR="00DB00FD" w:rsidRPr="009D1150" w:rsidRDefault="00DB00FD" w:rsidP="001E2158">
            <w:pPr>
              <w:autoSpaceDE w:val="0"/>
              <w:autoSpaceDN w:val="0"/>
              <w:adjustRightInd w:val="0"/>
              <w:spacing w:after="0" w:line="240" w:lineRule="auto"/>
              <w:jc w:val="left"/>
              <w:rPr>
                <w:rFonts w:eastAsiaTheme="minorHAnsi"/>
                <w:lang w:val="en-GB"/>
              </w:rPr>
            </w:pPr>
            <w:r w:rsidRPr="009D1150">
              <w:rPr>
                <w:rFonts w:eastAsiaTheme="minorHAnsi"/>
                <w:b/>
                <w:bCs/>
                <w:lang w:val="en-GB"/>
              </w:rPr>
              <w:t xml:space="preserve">D3.1.1 Comprehensive development of research in the field of medical sciences and health sciences </w:t>
            </w:r>
          </w:p>
          <w:p w14:paraId="5AE302E1" w14:textId="77777777" w:rsidR="00DB00FD" w:rsidRPr="009D1150" w:rsidRDefault="00DB00FD" w:rsidP="001E2158">
            <w:pPr>
              <w:autoSpaceDE w:val="0"/>
              <w:autoSpaceDN w:val="0"/>
              <w:adjustRightInd w:val="0"/>
              <w:spacing w:after="0" w:line="240" w:lineRule="auto"/>
              <w:jc w:val="left"/>
              <w:rPr>
                <w:rFonts w:eastAsiaTheme="minorHAnsi"/>
                <w:lang w:val="en-GB"/>
              </w:rPr>
            </w:pPr>
            <w:r w:rsidRPr="009D1150">
              <w:rPr>
                <w:rFonts w:eastAsiaTheme="minorHAnsi"/>
                <w:lang w:val="en-GB"/>
              </w:rPr>
              <w:t xml:space="preserve">The objective of the investment is to strengthen the resilience of the healthcare system by supporting research and development in the medical and health fields. </w:t>
            </w:r>
          </w:p>
          <w:p w14:paraId="51F25C49" w14:textId="77777777" w:rsidR="00DB00FD" w:rsidRPr="009D1150" w:rsidRDefault="00DB00FD" w:rsidP="001E2158">
            <w:pPr>
              <w:autoSpaceDE w:val="0"/>
              <w:autoSpaceDN w:val="0"/>
              <w:adjustRightInd w:val="0"/>
              <w:spacing w:after="0" w:line="240" w:lineRule="auto"/>
              <w:jc w:val="left"/>
              <w:rPr>
                <w:rFonts w:eastAsiaTheme="minorHAnsi"/>
                <w:lang w:val="en-GB"/>
              </w:rPr>
            </w:pPr>
            <w:r w:rsidRPr="009D1150">
              <w:rPr>
                <w:rFonts w:eastAsiaTheme="minorHAnsi"/>
                <w:lang w:val="en-GB"/>
              </w:rPr>
              <w:t xml:space="preserve">The investment shall consist of the following activities: </w:t>
            </w:r>
          </w:p>
          <w:p w14:paraId="59CB4199" w14:textId="77777777" w:rsidR="00DB00FD" w:rsidRPr="0056086B" w:rsidRDefault="00DB00FD" w:rsidP="001E2158">
            <w:pPr>
              <w:autoSpaceDE w:val="0"/>
              <w:autoSpaceDN w:val="0"/>
              <w:adjustRightInd w:val="0"/>
              <w:spacing w:after="0" w:line="240" w:lineRule="auto"/>
              <w:jc w:val="left"/>
              <w:rPr>
                <w:rFonts w:eastAsiaTheme="minorHAnsi"/>
                <w:color w:val="FF0000"/>
                <w:sz w:val="23"/>
                <w:szCs w:val="23"/>
                <w:lang w:val="en-GB"/>
              </w:rPr>
            </w:pPr>
          </w:p>
          <w:p w14:paraId="65A065B1" w14:textId="77777777" w:rsidR="00DB00FD" w:rsidRPr="005E1667" w:rsidRDefault="00DB00FD" w:rsidP="001E2158">
            <w:pPr>
              <w:autoSpaceDE w:val="0"/>
              <w:autoSpaceDN w:val="0"/>
              <w:adjustRightInd w:val="0"/>
              <w:spacing w:after="138" w:line="240" w:lineRule="auto"/>
              <w:jc w:val="left"/>
              <w:rPr>
                <w:rFonts w:eastAsiaTheme="minorHAnsi"/>
                <w:color w:val="FF0000"/>
                <w:lang w:val="en-GB"/>
              </w:rPr>
            </w:pPr>
            <w:r w:rsidRPr="0056086B">
              <w:rPr>
                <w:rFonts w:eastAsiaTheme="minorHAnsi"/>
                <w:color w:val="FF0000"/>
                <w:lang w:val="en-GB"/>
              </w:rPr>
              <w:t xml:space="preserve">- </w:t>
            </w:r>
            <w:r w:rsidRPr="005E1667">
              <w:rPr>
                <w:rFonts w:eastAsiaTheme="minorHAnsi"/>
                <w:color w:val="FF0000"/>
                <w:lang w:val="en-GB"/>
              </w:rPr>
              <w:t>competitions for non-repayable support for the funding of research and development activities with a focus on research into, inter alia, the development of medicinal product candidates, the development of developed and existing medical devices, in particular for future mobile applications, and the development and future implementation of ICT tools for medical and healthcare purposes,</w:t>
            </w:r>
          </w:p>
          <w:p w14:paraId="556A32B5" w14:textId="77777777" w:rsidR="00DB00FD" w:rsidRPr="009D1150" w:rsidRDefault="00DB00FD" w:rsidP="001E2158">
            <w:pPr>
              <w:autoSpaceDE w:val="0"/>
              <w:autoSpaceDN w:val="0"/>
              <w:adjustRightInd w:val="0"/>
              <w:spacing w:after="138" w:line="240" w:lineRule="auto"/>
              <w:jc w:val="left"/>
              <w:rPr>
                <w:rFonts w:eastAsiaTheme="minorHAnsi"/>
                <w:lang w:val="en-GB"/>
              </w:rPr>
            </w:pPr>
            <w:r w:rsidRPr="009D1150">
              <w:rPr>
                <w:rFonts w:ascii="Calibri" w:eastAsiaTheme="minorHAnsi" w:hAnsi="Calibri" w:cs="Calibri"/>
                <w:lang w:val="en-GB"/>
              </w:rPr>
              <w:lastRenderedPageBreak/>
              <w:t xml:space="preserve">- </w:t>
            </w:r>
            <w:r w:rsidRPr="009D1150">
              <w:rPr>
                <w:rFonts w:eastAsiaTheme="minorHAnsi"/>
                <w:lang w:val="en-GB"/>
              </w:rPr>
              <w:t xml:space="preserve">Development and </w:t>
            </w:r>
            <w:r w:rsidRPr="005E1667">
              <w:rPr>
                <w:rFonts w:eastAsiaTheme="minorHAnsi"/>
                <w:color w:val="FF0000"/>
                <w:lang w:val="en-GB"/>
              </w:rPr>
              <w:t>support</w:t>
            </w:r>
            <w:r w:rsidRPr="0056086B">
              <w:rPr>
                <w:rFonts w:eastAsiaTheme="minorHAnsi"/>
                <w:color w:val="FF0000"/>
                <w:lang w:val="en-GB"/>
              </w:rPr>
              <w:t xml:space="preserve"> </w:t>
            </w:r>
            <w:r w:rsidRPr="009D1150">
              <w:rPr>
                <w:rFonts w:eastAsiaTheme="minorHAnsi"/>
                <w:lang w:val="en-GB"/>
              </w:rPr>
              <w:t xml:space="preserve">of Clinical Research Support Centres tasked with research activities in the field of clinical trials, creation of an electronic communication platform for the Polish Clinical Research Network and of a search engine for clinical trials, as well as awareness raising activities in this field, </w:t>
            </w:r>
          </w:p>
          <w:p w14:paraId="662829CF" w14:textId="77777777" w:rsidR="00DB00FD" w:rsidRPr="009D1150" w:rsidRDefault="00DB00FD" w:rsidP="001E2158">
            <w:pPr>
              <w:spacing w:before="100" w:beforeAutospacing="1" w:after="120" w:line="240" w:lineRule="auto"/>
              <w:jc w:val="left"/>
              <w:rPr>
                <w:color w:val="FF0000"/>
                <w:sz w:val="23"/>
                <w:szCs w:val="23"/>
                <w:lang w:val="en-GB" w:eastAsia="pl-PL"/>
              </w:rPr>
            </w:pPr>
            <w:r w:rsidRPr="00815294">
              <w:rPr>
                <w:rFonts w:eastAsiaTheme="minorHAnsi"/>
                <w:color w:val="FF0000"/>
                <w:sz w:val="23"/>
                <w:szCs w:val="23"/>
                <w:lang w:val="en-GB"/>
              </w:rPr>
              <w:t xml:space="preserve">- </w:t>
            </w:r>
            <w:r w:rsidRPr="009D1150">
              <w:rPr>
                <w:color w:val="FF0000"/>
                <w:sz w:val="23"/>
                <w:szCs w:val="23"/>
                <w:lang w:val="en-GB" w:eastAsia="pl-PL"/>
              </w:rPr>
              <w:t>Complete design documentation for the construction of a Research and Analysis Centre at 61/63 Powsińska Street in Warsaw and Preparation of the infrastructure for the construction of the Research and Analysis Centre at 61/63 Powsińska Street in Warsaw</w:t>
            </w:r>
          </w:p>
          <w:p w14:paraId="2DD8E528" w14:textId="77777777" w:rsidR="00DB00FD" w:rsidRPr="009D1150" w:rsidRDefault="00DB00FD" w:rsidP="001E2158">
            <w:pPr>
              <w:spacing w:before="100" w:beforeAutospacing="1" w:after="120" w:line="240" w:lineRule="auto"/>
              <w:jc w:val="left"/>
              <w:rPr>
                <w:color w:val="FF0000"/>
                <w:sz w:val="21"/>
                <w:szCs w:val="21"/>
                <w:lang w:val="en-GB" w:eastAsia="pl-PL"/>
              </w:rPr>
            </w:pPr>
          </w:p>
          <w:p w14:paraId="74DC0C24" w14:textId="77777777" w:rsidR="00DB00FD" w:rsidRPr="005E1667" w:rsidRDefault="00DB00FD" w:rsidP="001E2158">
            <w:pPr>
              <w:autoSpaceDE w:val="0"/>
              <w:autoSpaceDN w:val="0"/>
              <w:adjustRightInd w:val="0"/>
              <w:spacing w:after="0" w:line="240" w:lineRule="auto"/>
              <w:jc w:val="left"/>
              <w:rPr>
                <w:rFonts w:eastAsiaTheme="minorHAnsi"/>
                <w:color w:val="FF0000"/>
                <w:lang w:val="en-GB"/>
              </w:rPr>
            </w:pPr>
          </w:p>
          <w:p w14:paraId="38CAAE66" w14:textId="77777777" w:rsidR="00DB00FD" w:rsidRPr="0056086B" w:rsidRDefault="00DB00FD" w:rsidP="001E2158">
            <w:pPr>
              <w:autoSpaceDE w:val="0"/>
              <w:autoSpaceDN w:val="0"/>
              <w:adjustRightInd w:val="0"/>
              <w:spacing w:after="0" w:line="240" w:lineRule="auto"/>
              <w:jc w:val="left"/>
              <w:rPr>
                <w:rFonts w:eastAsiaTheme="minorHAnsi"/>
                <w:color w:val="FF0000"/>
                <w:sz w:val="23"/>
                <w:szCs w:val="23"/>
                <w:lang w:val="en-GB"/>
              </w:rPr>
            </w:pPr>
          </w:p>
          <w:p w14:paraId="5291597E" w14:textId="77777777" w:rsidR="00DB00FD" w:rsidRPr="0056086B" w:rsidRDefault="00DB00FD" w:rsidP="001E2158">
            <w:pPr>
              <w:autoSpaceDE w:val="0"/>
              <w:autoSpaceDN w:val="0"/>
              <w:adjustRightInd w:val="0"/>
              <w:spacing w:after="0" w:line="240" w:lineRule="auto"/>
              <w:jc w:val="left"/>
              <w:rPr>
                <w:rFonts w:ascii="TimesNewRomanPSMT" w:eastAsiaTheme="minorHAnsi" w:hAnsi="TimesNewRomanPSMT" w:cs="TimesNewRomanPSMT"/>
                <w:color w:val="FF0000"/>
                <w:sz w:val="23"/>
                <w:szCs w:val="23"/>
                <w:lang w:val="en-GB"/>
              </w:rPr>
            </w:pPr>
          </w:p>
          <w:p w14:paraId="2D2319D5" w14:textId="77777777" w:rsidR="00DB00FD" w:rsidRPr="0056086B" w:rsidRDefault="00DB00FD" w:rsidP="001E2158">
            <w:pPr>
              <w:spacing w:after="120" w:line="240" w:lineRule="auto"/>
              <w:jc w:val="center"/>
              <w:rPr>
                <w:rFonts w:eastAsia="Calibri"/>
                <w:highlight w:val="lightGray"/>
                <w:lang w:val="en-GB"/>
              </w:rPr>
            </w:pPr>
          </w:p>
        </w:tc>
      </w:tr>
      <w:tr w:rsidR="00DB00FD" w:rsidRPr="00AF3A31" w14:paraId="499C121B" w14:textId="77777777" w:rsidTr="00A501D9">
        <w:tc>
          <w:tcPr>
            <w:tcW w:w="1188" w:type="pct"/>
          </w:tcPr>
          <w:p w14:paraId="1B9861B3" w14:textId="77777777" w:rsidR="00DB00FD" w:rsidRPr="0056086B" w:rsidRDefault="00DB00FD" w:rsidP="001E2158">
            <w:pPr>
              <w:spacing w:after="120" w:line="240" w:lineRule="auto"/>
              <w:jc w:val="left"/>
              <w:rPr>
                <w:rFonts w:eastAsia="Calibri"/>
                <w:lang w:val="en-GB"/>
              </w:rPr>
            </w:pPr>
          </w:p>
        </w:tc>
        <w:tc>
          <w:tcPr>
            <w:tcW w:w="2007" w:type="pct"/>
            <w:shd w:val="clear" w:color="auto" w:fill="auto"/>
          </w:tcPr>
          <w:p w14:paraId="3FE8BF9B" w14:textId="77777777" w:rsidR="00DB00FD" w:rsidRPr="00AF3A31" w:rsidRDefault="00DB00FD" w:rsidP="001E2158">
            <w:pPr>
              <w:spacing w:after="120" w:line="240" w:lineRule="auto"/>
              <w:jc w:val="left"/>
              <w:rPr>
                <w:rFonts w:eastAsia="Calibri"/>
              </w:rPr>
            </w:pPr>
            <w:r w:rsidRPr="00AF3A31">
              <w:rPr>
                <w:rFonts w:eastAsia="Calibri"/>
              </w:rPr>
              <w:t xml:space="preserve">D35G </w:t>
            </w:r>
          </w:p>
          <w:p w14:paraId="5F0B8442" w14:textId="77777777" w:rsidR="00DB00FD" w:rsidRPr="00AF3A31" w:rsidRDefault="00DB00FD" w:rsidP="001E2158">
            <w:pPr>
              <w:spacing w:after="120" w:line="240" w:lineRule="auto"/>
              <w:jc w:val="left"/>
              <w:rPr>
                <w:rFonts w:eastAsia="Calibri"/>
              </w:rPr>
            </w:pPr>
            <w:r w:rsidRPr="00AF3A31">
              <w:rPr>
                <w:rFonts w:eastAsia="Calibri"/>
              </w:rPr>
              <w:t>Ustanowienie specjalistycznego Centrum Badawczo-Analitycznego</w:t>
            </w:r>
          </w:p>
          <w:p w14:paraId="57DDC7D8" w14:textId="77777777" w:rsidR="00DB00FD" w:rsidRPr="00AF3A31" w:rsidRDefault="00DB00FD" w:rsidP="001E2158">
            <w:pPr>
              <w:spacing w:after="120" w:line="240" w:lineRule="auto"/>
              <w:jc w:val="left"/>
              <w:rPr>
                <w:rFonts w:eastAsia="Calibri"/>
              </w:rPr>
            </w:pPr>
            <w:r w:rsidRPr="00AF3A31">
              <w:rPr>
                <w:rFonts w:eastAsia="Calibri"/>
              </w:rPr>
              <w:t>Termin realizacji: II kw. 2026</w:t>
            </w:r>
          </w:p>
          <w:p w14:paraId="72488A93" w14:textId="77777777" w:rsidR="00DB00FD" w:rsidRPr="00AF3A31" w:rsidRDefault="00DB00FD" w:rsidP="001E2158">
            <w:pPr>
              <w:spacing w:after="120" w:line="240" w:lineRule="auto"/>
              <w:jc w:val="left"/>
              <w:rPr>
                <w:rFonts w:eastAsia="Calibri"/>
              </w:rPr>
            </w:pPr>
            <w:r w:rsidRPr="00AF3A31">
              <w:rPr>
                <w:rFonts w:eastAsia="Calibri"/>
              </w:rPr>
              <w:t>Opis każdego kamienia milowego i każdej wartości docelowej:</w:t>
            </w:r>
          </w:p>
          <w:p w14:paraId="63F912D3" w14:textId="77777777" w:rsidR="00DB00FD" w:rsidRPr="00AF3A31" w:rsidRDefault="00DB00FD" w:rsidP="001E215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color w:val="202124"/>
              </w:rPr>
            </w:pPr>
            <w:r w:rsidRPr="00AF3A31">
              <w:rPr>
                <w:rFonts w:eastAsia="Calibri"/>
              </w:rPr>
              <w:t xml:space="preserve">Zakończona zostanie budowa infrastruktury Centrum Badawczo-Analitycznego. Zakończenie następuje po stwierdzeniu zgodności ze specyfikacjami technicznymi i zobowiązaniami umownymi projektu prowadzonego zgodnie z ustawą o zamówieniach </w:t>
            </w:r>
            <w:r w:rsidRPr="00AF3A31">
              <w:rPr>
                <w:rFonts w:eastAsia="Calibri"/>
                <w:color w:val="202124"/>
              </w:rPr>
              <w:t xml:space="preserve">publicznych. Dostarczona infrastruktura obejmuje: </w:t>
            </w:r>
          </w:p>
          <w:p w14:paraId="6554185E" w14:textId="77777777" w:rsidR="00DB00FD" w:rsidRPr="00AF3A31" w:rsidRDefault="00DB00FD" w:rsidP="001E215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color w:val="202124"/>
              </w:rPr>
            </w:pPr>
            <w:r w:rsidRPr="00AF3A31">
              <w:rPr>
                <w:rFonts w:eastAsia="Calibri"/>
                <w:color w:val="202124"/>
              </w:rPr>
              <w:t xml:space="preserve">- Centrum Badawczo-Analityczne, mający status Państwowego Instytutu Badawczego klasy A, na nieruchomości będącej własnością Narodowego Instytutu Zdrowia Publicznego PZH – Państwowego Instytutu Badawczego przy ul. Powsińskiej 61/63 w Warszawie, </w:t>
            </w:r>
          </w:p>
          <w:p w14:paraId="6637C7AE" w14:textId="77777777" w:rsidR="00DB00FD" w:rsidRPr="00AF3A31" w:rsidRDefault="00DB00FD" w:rsidP="001E215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color w:val="202124"/>
              </w:rPr>
            </w:pPr>
            <w:r w:rsidRPr="00AF3A31">
              <w:rPr>
                <w:rFonts w:eastAsia="Calibri"/>
                <w:color w:val="202124"/>
              </w:rPr>
              <w:t xml:space="preserve">- co najmniej 41 laboratoriów o poziomie bezpieczeństwa biologicznego, w tym 20 laboratoriów BSL-1, 19 laboratoriów BSL-2, jedno laboratorium BSL-3 do badań środowiskowych i jedno laboratorium BSL-3+ do badań na materiale ludzkim, w tym laboratoria do celów diagnostycznych. Zostanie zawarta umowa o współpracy z europejskim laboratorium bezpieczeństwa biologicznego w celu budowania zdolności krajowych ekspertów z laboratoriów technicznych, oraz </w:t>
            </w:r>
          </w:p>
          <w:p w14:paraId="04F44FE2" w14:textId="77777777" w:rsidR="00DB00FD" w:rsidRPr="00AF3A31" w:rsidRDefault="00DB00FD" w:rsidP="001E2158">
            <w:pPr>
              <w:spacing w:after="120" w:line="240" w:lineRule="auto"/>
              <w:jc w:val="left"/>
              <w:rPr>
                <w:rFonts w:eastAsia="Calibri"/>
                <w:color w:val="202124"/>
              </w:rPr>
            </w:pPr>
            <w:r w:rsidRPr="00AF3A31">
              <w:rPr>
                <w:rFonts w:eastAsia="Calibri"/>
                <w:color w:val="202124"/>
              </w:rPr>
              <w:t>- kampus o powierzchni około 3000 m</w:t>
            </w:r>
            <w:r w:rsidRPr="00AF3A31">
              <w:rPr>
                <w:rFonts w:eastAsia="Calibri"/>
                <w:color w:val="202124"/>
                <w:vertAlign w:val="superscript"/>
              </w:rPr>
              <w:t>2</w:t>
            </w:r>
            <w:r w:rsidRPr="00AF3A31">
              <w:rPr>
                <w:rFonts w:eastAsia="Calibri"/>
                <w:color w:val="202124"/>
              </w:rPr>
              <w:t xml:space="preserve"> przeznaczony na szkolenia.</w:t>
            </w:r>
          </w:p>
        </w:tc>
        <w:tc>
          <w:tcPr>
            <w:tcW w:w="1805" w:type="pct"/>
          </w:tcPr>
          <w:p w14:paraId="2BA93345" w14:textId="77777777" w:rsidR="00DB00FD" w:rsidRPr="00AF3A31" w:rsidRDefault="00DB00FD" w:rsidP="001E2158">
            <w:pPr>
              <w:spacing w:after="120" w:line="240" w:lineRule="auto"/>
              <w:jc w:val="left"/>
              <w:rPr>
                <w:rFonts w:eastAsia="Calibri"/>
              </w:rPr>
            </w:pPr>
            <w:r w:rsidRPr="00AF3A31">
              <w:rPr>
                <w:rFonts w:eastAsia="Calibri"/>
              </w:rPr>
              <w:t>D35G</w:t>
            </w:r>
          </w:p>
          <w:p w14:paraId="1520B151" w14:textId="77777777" w:rsidR="00DB00FD" w:rsidRPr="0056086B" w:rsidRDefault="00DB00FD" w:rsidP="001E2158">
            <w:pPr>
              <w:spacing w:after="120" w:line="240" w:lineRule="auto"/>
              <w:jc w:val="left"/>
              <w:rPr>
                <w:color w:val="FF0000"/>
                <w:lang w:eastAsia="pl-PL"/>
              </w:rPr>
            </w:pPr>
            <w:r w:rsidRPr="0056086B">
              <w:rPr>
                <w:rFonts w:eastAsia="Calibri"/>
                <w:color w:val="FF0000"/>
              </w:rPr>
              <w:t xml:space="preserve">Ustanowienie specjalistycznego Centrum Badawczo-Analitycznego: Etap I: </w:t>
            </w:r>
            <w:r w:rsidRPr="0056086B">
              <w:rPr>
                <w:color w:val="FF0000"/>
                <w:lang w:eastAsia="pl-PL"/>
              </w:rPr>
              <w:t>Wykonanie kompletnej dokumentacji projektowej na budowę Centrum Badawczo-Analitycznego przy ul. Powsińskiej 61/63 w Warszawie i przygotowanie infrastruktury pod budowę Centrum Badawczo-Analitycznego przyul. Powsińskiej 61/63 w Warszawie</w:t>
            </w:r>
          </w:p>
          <w:p w14:paraId="223F1C56" w14:textId="77777777" w:rsidR="00DB00FD" w:rsidRDefault="00DB00FD" w:rsidP="001E2158">
            <w:pPr>
              <w:spacing w:after="120" w:line="240" w:lineRule="auto"/>
              <w:jc w:val="left"/>
              <w:rPr>
                <w:rFonts w:eastAsiaTheme="minorHAnsi"/>
                <w:color w:val="FF0000"/>
                <w:sz w:val="23"/>
                <w:szCs w:val="23"/>
              </w:rPr>
            </w:pPr>
          </w:p>
          <w:p w14:paraId="6A2ED3A6" w14:textId="77777777" w:rsidR="00DB00FD" w:rsidRPr="00AF3A31" w:rsidRDefault="00DB00FD" w:rsidP="001E2158">
            <w:pPr>
              <w:spacing w:after="120" w:line="240" w:lineRule="auto"/>
              <w:jc w:val="left"/>
              <w:rPr>
                <w:rFonts w:eastAsia="Calibri"/>
              </w:rPr>
            </w:pPr>
            <w:r w:rsidRPr="00AF3A31">
              <w:rPr>
                <w:rFonts w:eastAsia="Calibri"/>
              </w:rPr>
              <w:t>Termin realizacji: II kw. 2026</w:t>
            </w:r>
          </w:p>
          <w:p w14:paraId="217A814A" w14:textId="77777777" w:rsidR="00DB00FD" w:rsidRPr="00AF3A31" w:rsidRDefault="00DB00FD" w:rsidP="001E2158">
            <w:pPr>
              <w:spacing w:after="120" w:line="240" w:lineRule="auto"/>
              <w:jc w:val="left"/>
              <w:rPr>
                <w:rFonts w:eastAsia="Calibri"/>
              </w:rPr>
            </w:pPr>
            <w:r w:rsidRPr="00AF3A31">
              <w:rPr>
                <w:rFonts w:eastAsia="Calibri"/>
              </w:rPr>
              <w:t>Opis kamienia milowego i wartości docelowej:</w:t>
            </w:r>
          </w:p>
          <w:p w14:paraId="73BEC2A1" w14:textId="77777777" w:rsidR="00DB00FD" w:rsidRPr="0056086B" w:rsidRDefault="00DB00FD" w:rsidP="001E2158">
            <w:pPr>
              <w:spacing w:before="100" w:beforeAutospacing="1" w:after="120" w:line="240" w:lineRule="auto"/>
              <w:jc w:val="left"/>
              <w:rPr>
                <w:color w:val="FF0000"/>
                <w:lang w:eastAsia="pl-PL"/>
              </w:rPr>
            </w:pPr>
            <w:r w:rsidRPr="0056086B">
              <w:rPr>
                <w:color w:val="FF0000"/>
                <w:lang w:eastAsia="pl-PL"/>
              </w:rPr>
              <w:t>D35G1</w:t>
            </w:r>
          </w:p>
          <w:p w14:paraId="783D9704" w14:textId="77777777" w:rsidR="00DB00FD" w:rsidRPr="0056086B" w:rsidRDefault="00DB00FD" w:rsidP="001E2158">
            <w:pPr>
              <w:spacing w:before="100" w:beforeAutospacing="1" w:after="120" w:line="240" w:lineRule="auto"/>
              <w:jc w:val="left"/>
              <w:rPr>
                <w:color w:val="FF0000"/>
                <w:lang w:eastAsia="pl-PL"/>
              </w:rPr>
            </w:pPr>
            <w:r w:rsidRPr="0056086B">
              <w:rPr>
                <w:color w:val="FF0000"/>
                <w:lang w:eastAsia="pl-PL"/>
              </w:rPr>
              <w:t>Wykonanie kompletnej dokumentacji projektowej na budowę Centrum Badawczo-Analitycznego przy ul. Powsińskiej 61/63 w Warszawie</w:t>
            </w:r>
          </w:p>
          <w:p w14:paraId="6DD77075" w14:textId="77777777" w:rsidR="00DB00FD" w:rsidRPr="0056086B" w:rsidRDefault="00DB00FD" w:rsidP="001E2158">
            <w:pPr>
              <w:spacing w:before="100" w:beforeAutospacing="1" w:after="120" w:line="240" w:lineRule="auto"/>
              <w:jc w:val="left"/>
              <w:rPr>
                <w:color w:val="FF0000"/>
                <w:lang w:eastAsia="pl-PL"/>
              </w:rPr>
            </w:pPr>
            <w:r w:rsidRPr="0056086B">
              <w:rPr>
                <w:color w:val="FF0000"/>
                <w:lang w:eastAsia="pl-PL"/>
              </w:rPr>
              <w:t>Wykonanie zakresu prac objętych umową na wykonanie dokumentacji na podstawie krajowej ustawy o zamówieniach publicznych na budowę Centrum Badawczo-Analitycznego przy ul. Powsińskiej 61/63 w Warszawie</w:t>
            </w:r>
            <w:r>
              <w:rPr>
                <w:color w:val="FF0000"/>
                <w:lang w:eastAsia="pl-PL"/>
              </w:rPr>
              <w:t>.</w:t>
            </w:r>
          </w:p>
          <w:p w14:paraId="7D022A04" w14:textId="77777777" w:rsidR="00DB00FD" w:rsidRPr="0056086B" w:rsidRDefault="00DB00FD" w:rsidP="001E2158">
            <w:pPr>
              <w:spacing w:before="100" w:beforeAutospacing="1" w:after="120" w:line="240" w:lineRule="auto"/>
              <w:jc w:val="left"/>
              <w:rPr>
                <w:color w:val="FF0000"/>
                <w:lang w:eastAsia="pl-PL"/>
              </w:rPr>
            </w:pPr>
            <w:r w:rsidRPr="0056086B">
              <w:rPr>
                <w:color w:val="FF0000"/>
                <w:lang w:eastAsia="pl-PL"/>
              </w:rPr>
              <w:t>Inwestycja będzie obejmowała:</w:t>
            </w:r>
          </w:p>
          <w:p w14:paraId="5712E2D9" w14:textId="77777777" w:rsidR="00DB00FD" w:rsidRPr="0056086B" w:rsidRDefault="00DB00FD" w:rsidP="00A501D9">
            <w:pPr>
              <w:numPr>
                <w:ilvl w:val="0"/>
                <w:numId w:val="42"/>
              </w:numPr>
              <w:tabs>
                <w:tab w:val="clear" w:pos="720"/>
                <w:tab w:val="num" w:pos="360"/>
              </w:tabs>
              <w:spacing w:before="100" w:beforeAutospacing="1" w:after="120" w:line="240" w:lineRule="auto"/>
              <w:ind w:left="428" w:hanging="283"/>
              <w:jc w:val="left"/>
              <w:rPr>
                <w:color w:val="FF0000"/>
                <w:lang w:eastAsia="pl-PL"/>
              </w:rPr>
            </w:pPr>
            <w:r w:rsidRPr="0056086B">
              <w:rPr>
                <w:color w:val="FF0000"/>
                <w:lang w:eastAsia="pl-PL"/>
              </w:rPr>
              <w:t>Wykonanie dokumentacji projektowej na  budowę Centrum Badawczo-Analitycznego o statusie Państwowego Instytutu Badawczego klasy A na terenie należącym do Narodowego Instytutu Zdrowia Publicznego PZH – Państwowego Instytutu Badawczego przy ul. Powsińskiej 61/63 w Warszawie,</w:t>
            </w:r>
          </w:p>
          <w:p w14:paraId="0A95815E" w14:textId="77777777" w:rsidR="00DB00FD" w:rsidRPr="0056086B" w:rsidRDefault="00DB00FD" w:rsidP="00A501D9">
            <w:pPr>
              <w:numPr>
                <w:ilvl w:val="0"/>
                <w:numId w:val="42"/>
              </w:numPr>
              <w:tabs>
                <w:tab w:val="clear" w:pos="720"/>
                <w:tab w:val="num" w:pos="360"/>
              </w:tabs>
              <w:spacing w:before="100" w:beforeAutospacing="1" w:after="120" w:line="240" w:lineRule="auto"/>
              <w:ind w:left="428" w:hanging="283"/>
              <w:jc w:val="left"/>
              <w:rPr>
                <w:color w:val="FF0000"/>
                <w:lang w:eastAsia="pl-PL"/>
              </w:rPr>
            </w:pPr>
            <w:r w:rsidRPr="0056086B">
              <w:rPr>
                <w:color w:val="FF0000"/>
                <w:lang w:eastAsia="pl-PL"/>
              </w:rPr>
              <w:t>W zakresie dokumentacji zostanie ujęta docelowa struktura laboratoriów: co najmniej 39 laboratoriów BSL-1/BSL2, jedno laboratorium BSL-3 i jedno laboratorium BSL-3+</w:t>
            </w:r>
          </w:p>
          <w:p w14:paraId="2490A128" w14:textId="77777777" w:rsidR="00DB00FD" w:rsidRPr="0056086B" w:rsidRDefault="00DB00FD" w:rsidP="001E2158">
            <w:pPr>
              <w:spacing w:before="100" w:beforeAutospacing="1" w:after="120" w:line="240" w:lineRule="auto"/>
              <w:jc w:val="left"/>
              <w:rPr>
                <w:color w:val="FF0000"/>
                <w:lang w:eastAsia="pl-PL"/>
              </w:rPr>
            </w:pPr>
            <w:r w:rsidRPr="0056086B">
              <w:rPr>
                <w:color w:val="FF0000"/>
                <w:lang w:eastAsia="pl-PL"/>
              </w:rPr>
              <w:t>D35G2</w:t>
            </w:r>
          </w:p>
          <w:p w14:paraId="5B83433C" w14:textId="77777777" w:rsidR="00DB00FD" w:rsidRPr="0056086B" w:rsidRDefault="00DB00FD" w:rsidP="001E2158">
            <w:pPr>
              <w:spacing w:before="100" w:beforeAutospacing="1" w:after="120" w:line="240" w:lineRule="auto"/>
              <w:jc w:val="left"/>
              <w:rPr>
                <w:color w:val="FF0000"/>
                <w:lang w:eastAsia="pl-PL"/>
              </w:rPr>
            </w:pPr>
            <w:r w:rsidRPr="0056086B">
              <w:rPr>
                <w:color w:val="FF0000"/>
                <w:lang w:eastAsia="pl-PL"/>
              </w:rPr>
              <w:t>Przygotowanie infrastruktury pod budowę Centrum Badawczo-Analitycznego przy ul. Powsińskiej 61/63 w Warszawie</w:t>
            </w:r>
          </w:p>
          <w:p w14:paraId="55B74E7B" w14:textId="77777777" w:rsidR="00DB00FD" w:rsidRPr="0056086B" w:rsidRDefault="00DB00FD" w:rsidP="001E2158">
            <w:pPr>
              <w:spacing w:before="100" w:beforeAutospacing="1" w:after="120" w:line="240" w:lineRule="auto"/>
              <w:jc w:val="left"/>
              <w:rPr>
                <w:color w:val="FF0000"/>
                <w:lang w:eastAsia="pl-PL"/>
              </w:rPr>
            </w:pPr>
            <w:r w:rsidRPr="0056086B">
              <w:rPr>
                <w:color w:val="FF0000"/>
                <w:lang w:eastAsia="pl-PL"/>
              </w:rPr>
              <w:t xml:space="preserve">Wykonanie zakresu prac obejmujących przygotowanie niezbędnej infrastruktury budowy Centrum Badawczo-Analitycznego o statusie Państwowego Instytutu Badawczego klasy A na terenie należącym do Narodowego Instytutu Zdrowia Publicznego PZH – Państwowego Instytutu Badawczego </w:t>
            </w:r>
            <w:r w:rsidRPr="0056086B">
              <w:rPr>
                <w:color w:val="FF0000"/>
                <w:lang w:eastAsia="pl-PL"/>
              </w:rPr>
              <w:lastRenderedPageBreak/>
              <w:t>przy ul. Powsińskiej 61/63 w Warszawie.</w:t>
            </w:r>
          </w:p>
          <w:p w14:paraId="744A9DEC" w14:textId="77777777" w:rsidR="00DB00FD" w:rsidRPr="0056086B" w:rsidRDefault="00DB00FD" w:rsidP="001E2158">
            <w:pPr>
              <w:spacing w:before="100" w:beforeAutospacing="1" w:after="120" w:line="240" w:lineRule="auto"/>
              <w:jc w:val="left"/>
              <w:rPr>
                <w:color w:val="FF0000"/>
                <w:lang w:eastAsia="pl-PL"/>
              </w:rPr>
            </w:pPr>
            <w:r w:rsidRPr="0056086B">
              <w:rPr>
                <w:color w:val="FF0000"/>
                <w:lang w:eastAsia="pl-PL"/>
              </w:rPr>
              <w:t>Inwestycja będzie obejmowała przygotowanie pod budowę Centrum Badawczo Analitycznego tj.:</w:t>
            </w:r>
          </w:p>
          <w:p w14:paraId="6D994D62" w14:textId="77777777" w:rsidR="00DB00FD" w:rsidRPr="0056086B" w:rsidRDefault="00DB00FD" w:rsidP="001E2158">
            <w:pPr>
              <w:numPr>
                <w:ilvl w:val="0"/>
                <w:numId w:val="43"/>
              </w:numPr>
              <w:spacing w:before="100" w:beforeAutospacing="1" w:after="120" w:line="240" w:lineRule="auto"/>
              <w:jc w:val="left"/>
              <w:rPr>
                <w:color w:val="FF0000"/>
                <w:lang w:eastAsia="pl-PL"/>
              </w:rPr>
            </w:pPr>
            <w:r w:rsidRPr="0056086B">
              <w:rPr>
                <w:color w:val="FF0000"/>
                <w:lang w:eastAsia="pl-PL"/>
              </w:rPr>
              <w:t>wykonanie  dokumentacji projektowej;</w:t>
            </w:r>
          </w:p>
          <w:p w14:paraId="2D3AA31C" w14:textId="77777777" w:rsidR="00DB00FD" w:rsidRPr="0056086B" w:rsidRDefault="00DB00FD" w:rsidP="001E2158">
            <w:pPr>
              <w:numPr>
                <w:ilvl w:val="0"/>
                <w:numId w:val="43"/>
              </w:numPr>
              <w:spacing w:before="100" w:beforeAutospacing="1" w:after="120" w:line="240" w:lineRule="auto"/>
              <w:jc w:val="left"/>
              <w:rPr>
                <w:color w:val="FF0000"/>
                <w:lang w:eastAsia="pl-PL"/>
              </w:rPr>
            </w:pPr>
            <w:r w:rsidRPr="0056086B">
              <w:rPr>
                <w:color w:val="FF0000"/>
                <w:lang w:eastAsia="pl-PL"/>
              </w:rPr>
              <w:t>wyburzenie budynków i części budynków na terenie inwestycji kolidujących z budową Centrum Badawczo – Analitycznego wraz z uporządkowaniem terenu</w:t>
            </w:r>
          </w:p>
          <w:p w14:paraId="3D904269" w14:textId="77777777" w:rsidR="00DB00FD" w:rsidRPr="0056086B" w:rsidRDefault="00DB00FD" w:rsidP="001E2158">
            <w:pPr>
              <w:numPr>
                <w:ilvl w:val="0"/>
                <w:numId w:val="43"/>
              </w:numPr>
              <w:spacing w:before="100" w:beforeAutospacing="1" w:after="120" w:line="240" w:lineRule="auto"/>
              <w:jc w:val="left"/>
              <w:rPr>
                <w:color w:val="FF0000"/>
                <w:lang w:eastAsia="pl-PL"/>
              </w:rPr>
            </w:pPr>
            <w:r w:rsidRPr="0056086B">
              <w:rPr>
                <w:color w:val="FF0000"/>
                <w:lang w:eastAsia="pl-PL"/>
              </w:rPr>
              <w:t>budowa trafostacji;</w:t>
            </w:r>
          </w:p>
          <w:p w14:paraId="62509CCB" w14:textId="77777777" w:rsidR="00DB00FD" w:rsidRPr="00AF3A31" w:rsidRDefault="00DB00FD" w:rsidP="001E2158">
            <w:pPr>
              <w:spacing w:before="100" w:beforeAutospacing="1" w:after="100" w:afterAutospacing="1" w:line="240" w:lineRule="auto"/>
              <w:jc w:val="left"/>
              <w:rPr>
                <w:rFonts w:eastAsia="Calibri"/>
              </w:rPr>
            </w:pPr>
            <w:r w:rsidRPr="0056086B">
              <w:rPr>
                <w:color w:val="FF0000"/>
                <w:lang w:eastAsia="pl-PL"/>
              </w:rPr>
              <w:t xml:space="preserve">przebudowa istniejącego budynku głównego w zakresie istniejących  kolizji </w:t>
            </w:r>
            <w:r w:rsidRPr="003E6212">
              <w:rPr>
                <w:color w:val="FF0000"/>
                <w:lang w:eastAsia="pl-PL"/>
              </w:rPr>
              <w:t>związanych  z budową Centrum Badawczo – Analitycznego wraz z przeniesieniem węzła cieplnego.</w:t>
            </w:r>
          </w:p>
        </w:tc>
      </w:tr>
      <w:tr w:rsidR="00DB00FD" w:rsidRPr="00935797" w14:paraId="0F409A82" w14:textId="77777777" w:rsidTr="00A501D9">
        <w:tc>
          <w:tcPr>
            <w:tcW w:w="1188" w:type="pct"/>
          </w:tcPr>
          <w:p w14:paraId="036F610A" w14:textId="77777777" w:rsidR="00DB00FD" w:rsidRPr="00AF3A31" w:rsidRDefault="00DB00FD" w:rsidP="001E2158">
            <w:pPr>
              <w:spacing w:after="120" w:line="240" w:lineRule="auto"/>
              <w:jc w:val="left"/>
              <w:rPr>
                <w:rFonts w:eastAsia="Calibri"/>
              </w:rPr>
            </w:pPr>
          </w:p>
        </w:tc>
        <w:tc>
          <w:tcPr>
            <w:tcW w:w="2007" w:type="pct"/>
          </w:tcPr>
          <w:p w14:paraId="62EA7E31" w14:textId="77777777" w:rsidR="00DB00FD" w:rsidRPr="00AF3A31" w:rsidRDefault="00DB00FD" w:rsidP="001E2158">
            <w:pPr>
              <w:spacing w:after="120" w:line="240" w:lineRule="auto"/>
              <w:jc w:val="left"/>
              <w:rPr>
                <w:rFonts w:eastAsia="Calibri"/>
                <w:lang w:val="en-US"/>
              </w:rPr>
            </w:pPr>
            <w:r w:rsidRPr="00AF3A31">
              <w:rPr>
                <w:rFonts w:eastAsia="Calibri"/>
                <w:lang w:val="en-US"/>
              </w:rPr>
              <w:t xml:space="preserve">D35G </w:t>
            </w:r>
          </w:p>
          <w:p w14:paraId="58F81B87" w14:textId="77777777" w:rsidR="00DB00FD" w:rsidRPr="00AF3A31" w:rsidRDefault="00DB00FD" w:rsidP="001E2158">
            <w:pPr>
              <w:spacing w:after="120" w:line="240" w:lineRule="auto"/>
              <w:jc w:val="left"/>
              <w:rPr>
                <w:rFonts w:eastAsia="Calibri"/>
                <w:lang w:val="en-US"/>
              </w:rPr>
            </w:pPr>
            <w:r w:rsidRPr="00AF3A31">
              <w:rPr>
                <w:rFonts w:eastAsia="Calibri"/>
                <w:lang w:val="en-US"/>
              </w:rPr>
              <w:t>Establishment of a specialised Research and Analytical Centre</w:t>
            </w:r>
          </w:p>
          <w:p w14:paraId="4145024E" w14:textId="77777777" w:rsidR="00DB00FD" w:rsidRPr="00AF3A31" w:rsidRDefault="00DB00FD" w:rsidP="001E2158">
            <w:pPr>
              <w:spacing w:after="120" w:line="240" w:lineRule="auto"/>
              <w:jc w:val="left"/>
              <w:rPr>
                <w:rFonts w:eastAsia="Calibri"/>
                <w:lang w:val="en-US"/>
              </w:rPr>
            </w:pPr>
            <w:r w:rsidRPr="00AF3A31">
              <w:rPr>
                <w:rFonts w:eastAsia="Calibri"/>
                <w:lang w:val="en-US"/>
              </w:rPr>
              <w:t>Implementation date: Q2 2026</w:t>
            </w:r>
          </w:p>
          <w:p w14:paraId="0F763245" w14:textId="77777777" w:rsidR="00DB00FD" w:rsidRPr="00AF3A31" w:rsidRDefault="00DB00FD" w:rsidP="001E2158">
            <w:pPr>
              <w:spacing w:after="120" w:line="240" w:lineRule="auto"/>
              <w:jc w:val="left"/>
              <w:rPr>
                <w:rFonts w:eastAsia="Calibri"/>
                <w:lang w:val="en-US"/>
              </w:rPr>
            </w:pPr>
            <w:r w:rsidRPr="00AF3A31">
              <w:rPr>
                <w:rFonts w:eastAsia="Calibri"/>
                <w:lang w:val="en-US"/>
              </w:rPr>
              <w:t>Description of each milestone and target: The construction of the infrastructure of the Research and Analytical Centre shall be completed. The completion shall follow the confirmation of compliance with the technical specifications and contractual obligations of the project conducted in accordance with the national Public Procurement Act. Delivered infrastructure shall include: - the Research and Analysis centre, with the status of a State Research Institute of Class A, on the property owned by National Institute of Public Health NIH – National Research Institute at ul. Powsińska 61/63 in Warsaw, - at least 41 laboratories with biosafety levels, including 20 BSL-1 laboratories, 19 BSL-2 laboratories, one BSL-3 laboratory for environmental research and one BSL-3+ laboratory for research on human material, including for diagnostic purposes laboratories. A collaboration agreement with a European biosecurity laboratory for the capacity building of the national technical laboratory experts shall be concluded, and - a Campus of about 3000 m</w:t>
            </w:r>
            <w:r w:rsidRPr="00AF3A31">
              <w:rPr>
                <w:rFonts w:eastAsia="Calibri"/>
                <w:vertAlign w:val="superscript"/>
                <w:lang w:val="en-US"/>
              </w:rPr>
              <w:t>2</w:t>
            </w:r>
            <w:r w:rsidRPr="00AF3A31">
              <w:rPr>
                <w:rFonts w:eastAsia="Calibri"/>
                <w:lang w:val="en-US"/>
              </w:rPr>
              <w:t xml:space="preserve"> to be dedicated to training.</w:t>
            </w:r>
          </w:p>
        </w:tc>
        <w:tc>
          <w:tcPr>
            <w:tcW w:w="1805" w:type="pct"/>
          </w:tcPr>
          <w:p w14:paraId="447342EE" w14:textId="77777777" w:rsidR="00DB00FD" w:rsidRPr="00AF3A31" w:rsidRDefault="00DB00FD" w:rsidP="001E2158">
            <w:pPr>
              <w:spacing w:after="120" w:line="240" w:lineRule="auto"/>
              <w:jc w:val="left"/>
              <w:rPr>
                <w:rFonts w:eastAsia="Calibri"/>
                <w:lang w:val="en-US"/>
              </w:rPr>
            </w:pPr>
            <w:r w:rsidRPr="00AF3A31">
              <w:rPr>
                <w:rFonts w:eastAsia="Calibri"/>
                <w:lang w:val="en-US"/>
              </w:rPr>
              <w:t>D35G</w:t>
            </w:r>
          </w:p>
          <w:p w14:paraId="14DB7157" w14:textId="77777777" w:rsidR="00DB00FD" w:rsidRPr="00AF3A31" w:rsidRDefault="00DB00FD" w:rsidP="001E2158">
            <w:pPr>
              <w:spacing w:after="120" w:line="240" w:lineRule="auto"/>
              <w:jc w:val="left"/>
              <w:rPr>
                <w:rFonts w:eastAsia="Calibri"/>
                <w:lang w:val="en-US"/>
              </w:rPr>
            </w:pPr>
            <w:r w:rsidRPr="00AF3A31">
              <w:rPr>
                <w:rFonts w:eastAsia="Calibri"/>
                <w:lang w:val="en-US"/>
              </w:rPr>
              <w:t>Establishment of a specialised Research and Analytical Centre</w:t>
            </w:r>
            <w:r>
              <w:rPr>
                <w:rFonts w:eastAsia="Calibri"/>
                <w:lang w:val="en-US"/>
              </w:rPr>
              <w:t xml:space="preserve"> – </w:t>
            </w:r>
            <w:r w:rsidRPr="009D1150">
              <w:rPr>
                <w:rFonts w:eastAsia="Calibri"/>
                <w:lang w:val="en-US"/>
              </w:rPr>
              <w:t>Phase I - Complete design documentation for the construction of a Research and Analysis Centre at 61/63 Powsińska Street in Warsaw and Preparation of the infrastructure for the construction of the Research and Analysis Centre at 61/63 Powsińska Street in Warsaw</w:t>
            </w:r>
          </w:p>
          <w:p w14:paraId="4197D805" w14:textId="77777777" w:rsidR="00DB00FD" w:rsidRPr="00AF3A31" w:rsidRDefault="00DB00FD" w:rsidP="001E2158">
            <w:pPr>
              <w:spacing w:after="120" w:line="240" w:lineRule="auto"/>
              <w:jc w:val="left"/>
              <w:rPr>
                <w:rFonts w:eastAsia="Calibri"/>
                <w:lang w:val="en-US"/>
              </w:rPr>
            </w:pPr>
            <w:r w:rsidRPr="00AF3A31">
              <w:rPr>
                <w:rFonts w:eastAsia="Calibri"/>
                <w:lang w:val="en-US"/>
              </w:rPr>
              <w:t>Implementation date: Q2 2026</w:t>
            </w:r>
          </w:p>
          <w:p w14:paraId="7947013E" w14:textId="77777777" w:rsidR="00DB00FD" w:rsidRDefault="00DB00FD" w:rsidP="001E2158">
            <w:pPr>
              <w:spacing w:after="120" w:line="240" w:lineRule="auto"/>
              <w:jc w:val="left"/>
              <w:rPr>
                <w:rFonts w:eastAsia="Calibri"/>
                <w:lang w:val="en-US"/>
              </w:rPr>
            </w:pPr>
            <w:r w:rsidRPr="00AF3A31">
              <w:rPr>
                <w:rFonts w:eastAsia="Calibri"/>
                <w:lang w:val="en-US"/>
              </w:rPr>
              <w:t xml:space="preserve">Description of each milestone and target: </w:t>
            </w:r>
          </w:p>
          <w:p w14:paraId="3407A807" w14:textId="77777777" w:rsidR="00DB00FD" w:rsidRPr="009D1150" w:rsidRDefault="00DB00FD" w:rsidP="001E2158">
            <w:pPr>
              <w:spacing w:before="100" w:beforeAutospacing="1" w:after="120" w:line="240" w:lineRule="auto"/>
              <w:jc w:val="left"/>
              <w:rPr>
                <w:color w:val="FF0000"/>
                <w:sz w:val="23"/>
                <w:szCs w:val="23"/>
                <w:lang w:val="en-GB" w:eastAsia="pl-PL"/>
              </w:rPr>
            </w:pPr>
            <w:r w:rsidRPr="009D1150">
              <w:rPr>
                <w:color w:val="FF0000"/>
                <w:sz w:val="23"/>
                <w:szCs w:val="23"/>
                <w:lang w:val="en-GB" w:eastAsia="pl-PL"/>
              </w:rPr>
              <w:t>D35G1</w:t>
            </w:r>
          </w:p>
          <w:p w14:paraId="24C5DBCD" w14:textId="77777777" w:rsidR="00DB00FD" w:rsidRPr="009D1150" w:rsidRDefault="00DB00FD" w:rsidP="001E2158">
            <w:pPr>
              <w:spacing w:before="100" w:beforeAutospacing="1" w:after="120" w:line="240" w:lineRule="auto"/>
              <w:jc w:val="left"/>
              <w:rPr>
                <w:color w:val="FF0000"/>
                <w:sz w:val="23"/>
                <w:szCs w:val="23"/>
                <w:lang w:val="en-GB" w:eastAsia="pl-PL"/>
              </w:rPr>
            </w:pPr>
            <w:r w:rsidRPr="009D1150">
              <w:rPr>
                <w:color w:val="FF0000"/>
                <w:sz w:val="23"/>
                <w:szCs w:val="23"/>
                <w:lang w:val="en-GB" w:eastAsia="pl-PL"/>
              </w:rPr>
              <w:t>Complete design documentation for the construction of a Research and Analysis Centre at 61/63 Powsińska Street in Warsaw.</w:t>
            </w:r>
          </w:p>
          <w:p w14:paraId="558E1758" w14:textId="77777777" w:rsidR="00DB00FD" w:rsidRPr="009D1150" w:rsidRDefault="00DB00FD" w:rsidP="001E2158">
            <w:pPr>
              <w:spacing w:before="100" w:beforeAutospacing="1" w:after="120" w:line="240" w:lineRule="auto"/>
              <w:jc w:val="left"/>
              <w:rPr>
                <w:color w:val="FF0000"/>
                <w:sz w:val="23"/>
                <w:szCs w:val="23"/>
                <w:lang w:val="en-GB" w:eastAsia="pl-PL"/>
              </w:rPr>
            </w:pPr>
            <w:r w:rsidRPr="009D1150">
              <w:rPr>
                <w:color w:val="FF0000"/>
                <w:sz w:val="23"/>
                <w:szCs w:val="23"/>
                <w:lang w:val="en-GB" w:eastAsia="pl-PL"/>
              </w:rPr>
              <w:t>Execution of the scope of work covered by the contract for the preparation of documentation pursuant to the National Public Procurement Act for the construction of the Research and Analytical Centre at ul. Powsińska 61/63 in Warsaw.</w:t>
            </w:r>
          </w:p>
          <w:p w14:paraId="47227CEF" w14:textId="77777777" w:rsidR="00DB00FD" w:rsidRPr="009D1150" w:rsidRDefault="00DB00FD" w:rsidP="001E2158">
            <w:pPr>
              <w:spacing w:before="100" w:beforeAutospacing="1" w:after="120" w:line="240" w:lineRule="auto"/>
              <w:jc w:val="left"/>
              <w:rPr>
                <w:color w:val="FF0000"/>
                <w:sz w:val="23"/>
                <w:szCs w:val="23"/>
                <w:lang w:val="en-GB" w:eastAsia="pl-PL"/>
              </w:rPr>
            </w:pPr>
            <w:r w:rsidRPr="009D1150">
              <w:rPr>
                <w:color w:val="FF0000"/>
                <w:sz w:val="23"/>
                <w:szCs w:val="23"/>
                <w:lang w:val="en-GB" w:eastAsia="pl-PL"/>
              </w:rPr>
              <w:t>The investment shall include:</w:t>
            </w:r>
          </w:p>
          <w:p w14:paraId="111FC13B" w14:textId="77777777" w:rsidR="00DB00FD" w:rsidRPr="009D1150" w:rsidRDefault="00DB00FD" w:rsidP="001E2158">
            <w:pPr>
              <w:spacing w:before="100" w:beforeAutospacing="1" w:after="120" w:line="240" w:lineRule="auto"/>
              <w:jc w:val="left"/>
              <w:rPr>
                <w:color w:val="FF0000"/>
                <w:sz w:val="23"/>
                <w:szCs w:val="23"/>
                <w:lang w:val="en-GB" w:eastAsia="pl-PL"/>
              </w:rPr>
            </w:pPr>
            <w:r w:rsidRPr="009D1150">
              <w:rPr>
                <w:color w:val="FF0000"/>
                <w:sz w:val="23"/>
                <w:szCs w:val="23"/>
                <w:lang w:val="en-GB" w:eastAsia="pl-PL"/>
              </w:rPr>
              <w:t>- preparation of project documentation for the construction of a Research and Analytical Centre with the status of a Class A State Research Institute on the premises belonging to the National Institute of Public Health PZH - National Research Institute at ul. Powsińska 61/63 in Warsaw,</w:t>
            </w:r>
          </w:p>
          <w:p w14:paraId="0A44B733" w14:textId="77777777" w:rsidR="00DB00FD" w:rsidRPr="009D1150" w:rsidRDefault="00DB00FD" w:rsidP="001E2158">
            <w:pPr>
              <w:spacing w:before="100" w:beforeAutospacing="1" w:after="120" w:line="240" w:lineRule="auto"/>
              <w:jc w:val="left"/>
              <w:rPr>
                <w:color w:val="FF0000"/>
                <w:sz w:val="23"/>
                <w:szCs w:val="23"/>
                <w:lang w:val="en-GB" w:eastAsia="pl-PL"/>
              </w:rPr>
            </w:pPr>
            <w:r w:rsidRPr="009D1150">
              <w:rPr>
                <w:color w:val="FF0000"/>
                <w:sz w:val="23"/>
                <w:szCs w:val="23"/>
                <w:lang w:val="en-GB" w:eastAsia="pl-PL"/>
              </w:rPr>
              <w:t>- the documentation shall include the target structure of the laboratories: at least 39 BSL-1/BSL2 laboratories, one BSL-3 laboratory and one BSL-3+ laboratory</w:t>
            </w:r>
          </w:p>
          <w:p w14:paraId="0934CCF0" w14:textId="77777777" w:rsidR="00DB00FD" w:rsidRPr="009D1150" w:rsidRDefault="00DB00FD" w:rsidP="001E2158">
            <w:pPr>
              <w:spacing w:before="100" w:beforeAutospacing="1" w:after="120" w:line="240" w:lineRule="auto"/>
              <w:jc w:val="left"/>
              <w:rPr>
                <w:color w:val="FF0000"/>
                <w:sz w:val="23"/>
                <w:szCs w:val="23"/>
                <w:lang w:val="en-GB" w:eastAsia="pl-PL"/>
              </w:rPr>
            </w:pPr>
            <w:r w:rsidRPr="009D1150">
              <w:rPr>
                <w:color w:val="FF0000"/>
                <w:sz w:val="23"/>
                <w:szCs w:val="23"/>
                <w:lang w:val="en-GB" w:eastAsia="pl-PL"/>
              </w:rPr>
              <w:t>D35G2</w:t>
            </w:r>
          </w:p>
          <w:p w14:paraId="49A6C983" w14:textId="77777777" w:rsidR="00DB00FD" w:rsidRPr="009D1150" w:rsidRDefault="00DB00FD" w:rsidP="001E2158">
            <w:pPr>
              <w:spacing w:before="100" w:beforeAutospacing="1" w:after="120" w:line="240" w:lineRule="auto"/>
              <w:jc w:val="left"/>
              <w:rPr>
                <w:color w:val="FF0000"/>
                <w:sz w:val="23"/>
                <w:szCs w:val="23"/>
                <w:lang w:val="en-GB" w:eastAsia="pl-PL"/>
              </w:rPr>
            </w:pPr>
            <w:r w:rsidRPr="009D1150">
              <w:rPr>
                <w:color w:val="FF0000"/>
                <w:sz w:val="23"/>
                <w:szCs w:val="23"/>
                <w:lang w:val="en-GB" w:eastAsia="pl-PL"/>
              </w:rPr>
              <w:t>Preparation of the infrastructure for the construction of the Research and Analysis Centre at 61/63 Powsińska Street in Warsaw</w:t>
            </w:r>
          </w:p>
          <w:p w14:paraId="1E8D7485" w14:textId="77777777" w:rsidR="00DB00FD" w:rsidRPr="009D1150" w:rsidRDefault="00DB00FD" w:rsidP="001E2158">
            <w:pPr>
              <w:spacing w:before="100" w:beforeAutospacing="1" w:after="120" w:line="240" w:lineRule="auto"/>
              <w:jc w:val="left"/>
              <w:rPr>
                <w:color w:val="FF0000"/>
                <w:sz w:val="23"/>
                <w:szCs w:val="23"/>
                <w:lang w:val="en-GB" w:eastAsia="pl-PL"/>
              </w:rPr>
            </w:pPr>
            <w:r w:rsidRPr="009D1150">
              <w:rPr>
                <w:color w:val="FF0000"/>
                <w:sz w:val="23"/>
                <w:szCs w:val="23"/>
                <w:lang w:val="en-GB" w:eastAsia="pl-PL"/>
              </w:rPr>
              <w:t>Execution of the scope of works including the preparation of the necessary infrastructure for the construction of a Research and Analytical Centre with the status of a Class A National Research Institute on the premises belonging to the National Institute of Public Health PZH - National Research Institute at 61/63 Powsińska Street in Warsaw.</w:t>
            </w:r>
          </w:p>
          <w:p w14:paraId="33BBC232" w14:textId="77777777" w:rsidR="00DB00FD" w:rsidRPr="009D1150" w:rsidRDefault="00DB00FD" w:rsidP="001E2158">
            <w:pPr>
              <w:spacing w:before="100" w:beforeAutospacing="1" w:after="120" w:line="240" w:lineRule="auto"/>
              <w:jc w:val="left"/>
              <w:rPr>
                <w:color w:val="FF0000"/>
                <w:sz w:val="23"/>
                <w:szCs w:val="23"/>
                <w:lang w:val="en-GB" w:eastAsia="pl-PL"/>
              </w:rPr>
            </w:pPr>
            <w:r w:rsidRPr="009D1150">
              <w:rPr>
                <w:color w:val="FF0000"/>
                <w:sz w:val="23"/>
                <w:szCs w:val="23"/>
                <w:lang w:val="en-GB" w:eastAsia="pl-PL"/>
              </w:rPr>
              <w:t>The investment will include preparation for the construction of the Research and Analytical Centre, i.e.:</w:t>
            </w:r>
          </w:p>
          <w:p w14:paraId="4515D4A0" w14:textId="77777777" w:rsidR="00DB00FD" w:rsidRPr="009D1150" w:rsidRDefault="00DB00FD" w:rsidP="001E2158">
            <w:pPr>
              <w:spacing w:before="100" w:beforeAutospacing="1" w:after="120" w:line="240" w:lineRule="auto"/>
              <w:jc w:val="left"/>
              <w:rPr>
                <w:color w:val="FF0000"/>
                <w:sz w:val="23"/>
                <w:szCs w:val="23"/>
                <w:lang w:val="en-GB" w:eastAsia="pl-PL"/>
              </w:rPr>
            </w:pPr>
            <w:r w:rsidRPr="009D1150">
              <w:rPr>
                <w:color w:val="FF0000"/>
                <w:sz w:val="23"/>
                <w:szCs w:val="23"/>
                <w:lang w:val="en-GB" w:eastAsia="pl-PL"/>
              </w:rPr>
              <w:lastRenderedPageBreak/>
              <w:t>- execution of project documentation;</w:t>
            </w:r>
          </w:p>
          <w:p w14:paraId="718ADD82" w14:textId="77777777" w:rsidR="00DB00FD" w:rsidRPr="009D1150" w:rsidRDefault="00DB00FD" w:rsidP="001E2158">
            <w:pPr>
              <w:spacing w:before="100" w:beforeAutospacing="1" w:after="120" w:line="240" w:lineRule="auto"/>
              <w:jc w:val="left"/>
              <w:rPr>
                <w:color w:val="FF0000"/>
                <w:sz w:val="23"/>
                <w:szCs w:val="23"/>
                <w:lang w:val="en-GB" w:eastAsia="pl-PL"/>
              </w:rPr>
            </w:pPr>
            <w:r w:rsidRPr="009D1150">
              <w:rPr>
                <w:color w:val="FF0000"/>
                <w:sz w:val="23"/>
                <w:szCs w:val="23"/>
                <w:lang w:val="en-GB" w:eastAsia="pl-PL"/>
              </w:rPr>
              <w:t>- demolition of buildings and parts of buildings on the investment site that collide with the construction of the Research and Analysis Centre, together with clearing the area</w:t>
            </w:r>
          </w:p>
          <w:p w14:paraId="7760A6D4" w14:textId="77777777" w:rsidR="00DB00FD" w:rsidRPr="009D1150" w:rsidRDefault="00DB00FD" w:rsidP="001E2158">
            <w:pPr>
              <w:spacing w:before="100" w:beforeAutospacing="1" w:after="120" w:line="240" w:lineRule="auto"/>
              <w:jc w:val="left"/>
              <w:rPr>
                <w:color w:val="FF0000"/>
                <w:sz w:val="23"/>
                <w:szCs w:val="23"/>
                <w:lang w:val="en-GB" w:eastAsia="pl-PL"/>
              </w:rPr>
            </w:pPr>
            <w:r w:rsidRPr="009D1150">
              <w:rPr>
                <w:color w:val="FF0000"/>
                <w:sz w:val="23"/>
                <w:szCs w:val="23"/>
                <w:lang w:val="en-GB" w:eastAsia="pl-PL"/>
              </w:rPr>
              <w:t>- construction of a transformer station</w:t>
            </w:r>
          </w:p>
          <w:p w14:paraId="51ED14B7" w14:textId="77777777" w:rsidR="00DB00FD" w:rsidRPr="003E6212" w:rsidRDefault="00DB00FD" w:rsidP="001E2158">
            <w:pPr>
              <w:spacing w:before="100" w:beforeAutospacing="1" w:after="100" w:afterAutospacing="1" w:line="240" w:lineRule="auto"/>
              <w:jc w:val="left"/>
              <w:rPr>
                <w:rFonts w:ascii="Segoe UI" w:hAnsi="Segoe UI" w:cs="Segoe UI"/>
                <w:sz w:val="21"/>
                <w:szCs w:val="21"/>
                <w:lang w:val="en-GB" w:eastAsia="pl-PL"/>
              </w:rPr>
            </w:pPr>
            <w:r w:rsidRPr="009D1150">
              <w:rPr>
                <w:color w:val="FF0000"/>
                <w:sz w:val="23"/>
                <w:szCs w:val="23"/>
                <w:lang w:val="en-GB" w:eastAsia="pl-PL"/>
              </w:rPr>
              <w:t>- reconstruction of the existing main building in the scope of the existing collisions connected with the construction of the Research and Analysis Centre, together with relocation of the heat substation</w:t>
            </w:r>
            <w:r w:rsidRPr="009D1150">
              <w:rPr>
                <w:rFonts w:ascii="Segoe UI" w:hAnsi="Segoe UI" w:cs="Segoe UI"/>
                <w:color w:val="CD5937"/>
                <w:sz w:val="23"/>
                <w:szCs w:val="23"/>
                <w:lang w:val="en-GB" w:eastAsia="pl-PL"/>
              </w:rPr>
              <w:t>.</w:t>
            </w:r>
          </w:p>
        </w:tc>
      </w:tr>
      <w:tr w:rsidR="00DB00FD" w:rsidRPr="00AF3A31" w14:paraId="1CC69973" w14:textId="77777777" w:rsidTr="00A501D9">
        <w:tc>
          <w:tcPr>
            <w:tcW w:w="1188" w:type="pct"/>
            <w:vMerge w:val="restart"/>
          </w:tcPr>
          <w:p w14:paraId="3C742187" w14:textId="77777777" w:rsidR="00DB00FD" w:rsidRPr="00AF3A31" w:rsidRDefault="00DB00FD" w:rsidP="001E2158">
            <w:pPr>
              <w:spacing w:after="120" w:line="240" w:lineRule="auto"/>
              <w:jc w:val="left"/>
              <w:rPr>
                <w:rFonts w:eastAsia="Calibri"/>
                <w:lang w:val="en-GB"/>
              </w:rPr>
            </w:pPr>
          </w:p>
        </w:tc>
        <w:tc>
          <w:tcPr>
            <w:tcW w:w="2007" w:type="pct"/>
            <w:shd w:val="clear" w:color="auto" w:fill="auto"/>
          </w:tcPr>
          <w:p w14:paraId="4E3709A4" w14:textId="77777777" w:rsidR="00DB00FD" w:rsidRPr="00AF3A31" w:rsidRDefault="00DB00FD" w:rsidP="001E2158">
            <w:pPr>
              <w:spacing w:after="120" w:line="240" w:lineRule="auto"/>
              <w:jc w:val="left"/>
              <w:rPr>
                <w:rFonts w:eastAsia="Calibri"/>
              </w:rPr>
            </w:pPr>
            <w:r w:rsidRPr="00AF3A31">
              <w:rPr>
                <w:rFonts w:eastAsia="Calibri"/>
              </w:rPr>
              <w:t xml:space="preserve">D36G </w:t>
            </w:r>
          </w:p>
          <w:p w14:paraId="3079AB00" w14:textId="77777777" w:rsidR="00DB00FD" w:rsidRPr="00AF3A31"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rPr>
            </w:pPr>
            <w:r w:rsidRPr="00AF3A31">
              <w:rPr>
                <w:rFonts w:eastAsia="Calibri"/>
              </w:rPr>
              <w:t>Liczba dofinansowanych projektów dla jednostek naukowych i przedsiębiorców z sektora biomedycznego</w:t>
            </w:r>
          </w:p>
          <w:p w14:paraId="46A1F159" w14:textId="77777777" w:rsidR="00DB00FD" w:rsidRPr="00AF3A31"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rPr>
            </w:pPr>
            <w:r w:rsidRPr="00AF3A31">
              <w:rPr>
                <w:rFonts w:eastAsia="Calibri"/>
              </w:rPr>
              <w:t>Termin realizacji: II kw. 2026r.</w:t>
            </w:r>
          </w:p>
          <w:p w14:paraId="4DB4AEB6" w14:textId="77777777" w:rsidR="00DB00FD" w:rsidRPr="00AF3A31"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color w:val="202124"/>
              </w:rPr>
            </w:pPr>
            <w:r w:rsidRPr="00AF3A31">
              <w:rPr>
                <w:rFonts w:eastAsia="Calibri"/>
                <w:color w:val="202124"/>
              </w:rPr>
              <w:t>Wskaźniki ilościowe (dla wartości docelowych) – cel: 80</w:t>
            </w:r>
          </w:p>
          <w:p w14:paraId="279F4B9E" w14:textId="77777777" w:rsidR="00DB00FD"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color w:val="202124"/>
              </w:rPr>
            </w:pPr>
          </w:p>
          <w:p w14:paraId="2524BB86" w14:textId="77777777" w:rsidR="00DB00FD" w:rsidRPr="00AF3A31"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color w:val="202124"/>
              </w:rPr>
            </w:pPr>
            <w:r w:rsidRPr="00AF3A31">
              <w:rPr>
                <w:rFonts w:eastAsia="Calibri"/>
                <w:color w:val="202124"/>
              </w:rPr>
              <w:t>Opis każdego kamienia milowego i każdej wartości docelowej:</w:t>
            </w:r>
          </w:p>
          <w:p w14:paraId="0D3AD654" w14:textId="77777777" w:rsidR="00DB00FD" w:rsidRPr="00AF3A31"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color w:val="202124"/>
              </w:rPr>
            </w:pPr>
            <w:r w:rsidRPr="00AF3A31">
              <w:rPr>
                <w:rFonts w:eastAsia="Calibri"/>
                <w:color w:val="202124"/>
              </w:rPr>
              <w:t>Zatwierdzane będą raporty końcowe z realizacji 80 wspieranych projektów. Wsparcie zostanie udzielone jednostkom naukowym i przedsiębiorcom w zakresie innowacji farmaceutycznych, wyrobów medycznych i rozwiązań informatycznych, zgodnie ze Strategicznym Planem Rozwoju Sektora Biomedycznego w Polsce.</w:t>
            </w:r>
          </w:p>
          <w:p w14:paraId="253D1568" w14:textId="77777777" w:rsidR="00DB00FD" w:rsidRPr="00AF3A31"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color w:val="202124"/>
              </w:rPr>
            </w:pPr>
            <w:r w:rsidRPr="00AF3A31">
              <w:rPr>
                <w:rFonts w:eastAsia="Calibri"/>
                <w:color w:val="202124"/>
              </w:rPr>
              <w:t>Tematyka konkursów będzie koncentrować się na innowacjach produktowych, takich jak leki, rozwój urządzeń medycznych, w szczególności do zastosowań mobilnych, a także rozwój i wdrażanie narzędzi teleinformatycznych do celów medycznych i zdrowotnych.</w:t>
            </w:r>
          </w:p>
          <w:p w14:paraId="336AF5CC" w14:textId="77777777" w:rsidR="00DB00FD" w:rsidRPr="00AF3A31"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color w:val="202124"/>
              </w:rPr>
            </w:pPr>
            <w:r w:rsidRPr="00AF3A31">
              <w:rPr>
                <w:rFonts w:eastAsia="Calibri"/>
                <w:color w:val="202124"/>
              </w:rPr>
              <w:t>Projekty wyłaniane będą w drodze otwartych i zlecanych konkursów grantowych.</w:t>
            </w:r>
          </w:p>
          <w:p w14:paraId="296463BC" w14:textId="77777777" w:rsidR="00DB00FD" w:rsidRPr="00AF3A31" w:rsidRDefault="00DB00FD" w:rsidP="001E215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color w:val="202124"/>
              </w:rPr>
            </w:pPr>
            <w:r w:rsidRPr="00AF3A31">
              <w:rPr>
                <w:rFonts w:eastAsia="Calibri"/>
                <w:color w:val="202124"/>
              </w:rPr>
              <w:t>Każda umowa o dotację zawiera otrzymaną kwotę finansową oraz szczegóły projektu.</w:t>
            </w:r>
          </w:p>
        </w:tc>
        <w:tc>
          <w:tcPr>
            <w:tcW w:w="1805" w:type="pct"/>
            <w:shd w:val="clear" w:color="auto" w:fill="auto"/>
          </w:tcPr>
          <w:p w14:paraId="0B52E7DC" w14:textId="77777777" w:rsidR="00DB00FD" w:rsidRPr="00AF3A31" w:rsidRDefault="00DB00FD" w:rsidP="001E2158">
            <w:pPr>
              <w:spacing w:after="120" w:line="240" w:lineRule="auto"/>
              <w:jc w:val="left"/>
              <w:rPr>
                <w:rFonts w:eastAsia="Calibri"/>
              </w:rPr>
            </w:pPr>
            <w:r w:rsidRPr="00AF3A31">
              <w:rPr>
                <w:rFonts w:eastAsia="Calibri"/>
              </w:rPr>
              <w:t>D36G</w:t>
            </w:r>
          </w:p>
          <w:p w14:paraId="06959E1E" w14:textId="77777777" w:rsidR="00DB00FD" w:rsidRPr="00AF3A31" w:rsidRDefault="00DB00FD" w:rsidP="001E2158">
            <w:pPr>
              <w:spacing w:after="120" w:line="240" w:lineRule="auto"/>
              <w:jc w:val="left"/>
              <w:rPr>
                <w:rFonts w:eastAsia="Calibri"/>
              </w:rPr>
            </w:pPr>
            <w:r w:rsidRPr="00AF3A31">
              <w:rPr>
                <w:rFonts w:eastAsia="Calibri"/>
              </w:rPr>
              <w:t>Liczba dofinansowanych projektów badawczych dla jednostek naukowych i przedsiębiorców z sektora biomedycznego</w:t>
            </w:r>
          </w:p>
          <w:p w14:paraId="34DFAB68" w14:textId="77777777" w:rsidR="00DB00FD" w:rsidRPr="00AF3A31"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rPr>
            </w:pPr>
            <w:r w:rsidRPr="00AF3A31">
              <w:rPr>
                <w:rFonts w:eastAsia="Calibri"/>
              </w:rPr>
              <w:t>Termin realizacji: II kw. 2026r.</w:t>
            </w:r>
          </w:p>
          <w:p w14:paraId="03BF8BB4" w14:textId="77777777" w:rsidR="00DB00FD" w:rsidRPr="00AF3A31"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rPr>
            </w:pPr>
            <w:r w:rsidRPr="00AF3A31">
              <w:rPr>
                <w:rFonts w:eastAsia="Calibri"/>
              </w:rPr>
              <w:t xml:space="preserve">Wskaźniki ilościowe (dla wartości docelowych) – cel: </w:t>
            </w:r>
            <w:r w:rsidRPr="00AF3A31">
              <w:rPr>
                <w:rFonts w:eastAsia="Calibri"/>
                <w:color w:val="FF0000"/>
              </w:rPr>
              <w:t>50</w:t>
            </w:r>
          </w:p>
          <w:p w14:paraId="665F207A" w14:textId="77777777" w:rsidR="00DB00FD" w:rsidRPr="00AF3A31"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rPr>
            </w:pPr>
            <w:r w:rsidRPr="00AF3A31">
              <w:rPr>
                <w:rFonts w:eastAsia="Calibri"/>
              </w:rPr>
              <w:t>Opis każdego kamienia milowego i każdej wartości docelowej:</w:t>
            </w:r>
          </w:p>
          <w:p w14:paraId="6A6DC8FA" w14:textId="77777777" w:rsidR="00DB00FD" w:rsidRPr="00AF3A31"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color w:val="202124"/>
              </w:rPr>
            </w:pPr>
            <w:r w:rsidRPr="00AF3A31">
              <w:rPr>
                <w:rFonts w:eastAsia="Calibri"/>
                <w:color w:val="202124"/>
              </w:rPr>
              <w:t xml:space="preserve">Zatwierdzane będą raporty końcowe z realizacji </w:t>
            </w:r>
            <w:r w:rsidRPr="00AF3A31">
              <w:rPr>
                <w:rFonts w:eastAsia="Calibri"/>
                <w:color w:val="FF0000"/>
              </w:rPr>
              <w:t>50</w:t>
            </w:r>
            <w:r w:rsidRPr="00AF3A31">
              <w:rPr>
                <w:rFonts w:eastAsia="Calibri"/>
                <w:color w:val="202124"/>
              </w:rPr>
              <w:t xml:space="preserve"> wspieranych projektów. Wsparcie zostanie udzielone jednostkom naukowym i przedsiębiorcom w zakresie </w:t>
            </w:r>
            <w:r w:rsidRPr="008F19AE">
              <w:rPr>
                <w:rFonts w:eastAsia="Calibri"/>
                <w:color w:val="FF0000"/>
              </w:rPr>
              <w:t>zdefiniowanych etapów badań</w:t>
            </w:r>
            <w:r w:rsidRPr="00AF3A31">
              <w:rPr>
                <w:rFonts w:eastAsia="Calibri"/>
                <w:color w:val="202124"/>
              </w:rPr>
              <w:t>, zgodnie ze Strategicznym Planem Rozwoju Sektora Biomedycznego w Polsce</w:t>
            </w:r>
            <w:r>
              <w:rPr>
                <w:rFonts w:eastAsia="Calibri"/>
                <w:color w:val="202124"/>
              </w:rPr>
              <w:t xml:space="preserve"> (</w:t>
            </w:r>
            <w:r w:rsidRPr="008F19AE">
              <w:rPr>
                <w:rFonts w:eastAsia="Calibri"/>
                <w:color w:val="FF0000"/>
              </w:rPr>
              <w:t>stanowiącym kamień milowy D33G).</w:t>
            </w:r>
          </w:p>
          <w:p w14:paraId="10C404CD" w14:textId="77777777" w:rsidR="00DB00FD" w:rsidRDefault="00DB00FD" w:rsidP="001E2158">
            <w:pPr>
              <w:jc w:val="left"/>
            </w:pPr>
            <w:r w:rsidRPr="00AF3A31">
              <w:rPr>
                <w:rFonts w:eastAsia="Calibri"/>
                <w:color w:val="202124"/>
              </w:rPr>
              <w:t xml:space="preserve">Tematyka konkursów będzie koncentrować się na </w:t>
            </w:r>
            <w:r w:rsidRPr="002759D7">
              <w:rPr>
                <w:color w:val="FF0000"/>
              </w:rPr>
              <w:t xml:space="preserve"> </w:t>
            </w:r>
            <w:r w:rsidRPr="003C504A">
              <w:rPr>
                <w:color w:val="FF0000"/>
              </w:rPr>
              <w:t>finansowaniu działalności badawczo-rozwojowej ze szczególnym uwzględnieniem badań  m.in. w zakresie rozwoju kandydatów na produkty lecznicze, rozwoju opracowywanych i istniejących wyrobów medycznych, w szczególności do przyszłych zastosowań mobilnych, a t</w:t>
            </w:r>
            <w:r w:rsidRPr="008F19AE">
              <w:rPr>
                <w:color w:val="FF0000"/>
              </w:rPr>
              <w:t>akże rozwoju i przyszłego wdrażania narzędzi ICT dla celów medycznych i zdrowotnych.</w:t>
            </w:r>
          </w:p>
          <w:p w14:paraId="4AF8E81E" w14:textId="77777777" w:rsidR="00DB00FD" w:rsidRPr="00AF3A31"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color w:val="202124"/>
              </w:rPr>
            </w:pPr>
            <w:r w:rsidRPr="00AF3A31">
              <w:rPr>
                <w:rFonts w:eastAsia="Calibri"/>
                <w:color w:val="202124"/>
              </w:rPr>
              <w:t>Projekty wyłaniane będą w drodze otwartych i zlecanych konkursów grantowych.</w:t>
            </w:r>
          </w:p>
          <w:p w14:paraId="39DADFC0" w14:textId="36C30271" w:rsidR="00DB00FD" w:rsidRPr="00A501D9"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color w:val="202124"/>
              </w:rPr>
            </w:pPr>
            <w:r w:rsidRPr="00AF3A31">
              <w:rPr>
                <w:rFonts w:eastAsia="Calibri"/>
                <w:color w:val="202124"/>
              </w:rPr>
              <w:t xml:space="preserve">Każda umowa o </w:t>
            </w:r>
            <w:r w:rsidRPr="008F19AE">
              <w:rPr>
                <w:rFonts w:eastAsia="Calibri"/>
                <w:color w:val="FF0000"/>
              </w:rPr>
              <w:t xml:space="preserve">bezzwrotne wsparcie </w:t>
            </w:r>
            <w:r w:rsidRPr="00AF3A31">
              <w:rPr>
                <w:rFonts w:eastAsia="Calibri"/>
                <w:color w:val="202124"/>
              </w:rPr>
              <w:t xml:space="preserve">zawiera </w:t>
            </w:r>
            <w:r w:rsidRPr="008F19AE">
              <w:rPr>
                <w:rFonts w:eastAsia="Calibri"/>
                <w:color w:val="FF0000"/>
              </w:rPr>
              <w:t>przyznaną</w:t>
            </w:r>
            <w:r w:rsidRPr="00AF3A31">
              <w:rPr>
                <w:rFonts w:eastAsia="Calibri"/>
                <w:color w:val="202124"/>
              </w:rPr>
              <w:t xml:space="preserve"> kwotę finansową oraz </w:t>
            </w:r>
            <w:r w:rsidRPr="008F19AE">
              <w:rPr>
                <w:rFonts w:eastAsia="Calibri"/>
                <w:color w:val="FF0000"/>
              </w:rPr>
              <w:t xml:space="preserve">szczegółowy opis </w:t>
            </w:r>
            <w:r w:rsidRPr="00AF3A31">
              <w:rPr>
                <w:rFonts w:eastAsia="Calibri"/>
                <w:color w:val="202124"/>
              </w:rPr>
              <w:t>projektu.</w:t>
            </w:r>
          </w:p>
        </w:tc>
      </w:tr>
      <w:tr w:rsidR="00DB00FD" w:rsidRPr="00935797" w14:paraId="4393D1C9" w14:textId="77777777" w:rsidTr="00A501D9">
        <w:tc>
          <w:tcPr>
            <w:tcW w:w="1188" w:type="pct"/>
            <w:vMerge/>
          </w:tcPr>
          <w:p w14:paraId="09F99C4F" w14:textId="77777777" w:rsidR="00DB00FD" w:rsidRPr="00AF3A31" w:rsidRDefault="00DB00FD" w:rsidP="001E2158">
            <w:pPr>
              <w:spacing w:after="120" w:line="240" w:lineRule="auto"/>
              <w:jc w:val="left"/>
              <w:rPr>
                <w:rFonts w:eastAsia="Calibri"/>
              </w:rPr>
            </w:pPr>
          </w:p>
        </w:tc>
        <w:tc>
          <w:tcPr>
            <w:tcW w:w="2007" w:type="pct"/>
            <w:shd w:val="clear" w:color="auto" w:fill="auto"/>
          </w:tcPr>
          <w:p w14:paraId="47EE39C5" w14:textId="77777777" w:rsidR="00DB00FD" w:rsidRPr="00AF3A31" w:rsidRDefault="00DB00FD" w:rsidP="001E2158">
            <w:pPr>
              <w:spacing w:after="120" w:line="240" w:lineRule="auto"/>
              <w:jc w:val="left"/>
              <w:rPr>
                <w:rFonts w:eastAsia="Calibri"/>
                <w:lang w:val="en-GB"/>
              </w:rPr>
            </w:pPr>
            <w:r w:rsidRPr="00AF3A31">
              <w:rPr>
                <w:rFonts w:eastAsia="Calibri"/>
                <w:lang w:val="en-GB"/>
              </w:rPr>
              <w:t xml:space="preserve">D36G </w:t>
            </w:r>
          </w:p>
          <w:p w14:paraId="192B27D1" w14:textId="77777777" w:rsidR="00DB00FD" w:rsidRPr="00AF3A31"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lang w:val="en-GB"/>
              </w:rPr>
            </w:pPr>
            <w:r w:rsidRPr="00AF3A31">
              <w:rPr>
                <w:rFonts w:eastAsia="Calibri"/>
                <w:lang w:val="en-GB"/>
              </w:rPr>
              <w:t>Number of financed projects for research units and entrepreneurs in the biomedical sector</w:t>
            </w:r>
          </w:p>
          <w:p w14:paraId="27A329F6" w14:textId="77777777" w:rsidR="00DB00FD" w:rsidRPr="00AF3A31"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lang w:val="en-GB"/>
              </w:rPr>
            </w:pPr>
            <w:r w:rsidRPr="00AF3A31">
              <w:rPr>
                <w:rFonts w:eastAsia="Calibri"/>
                <w:lang w:val="en-US"/>
              </w:rPr>
              <w:t>Implementation date</w:t>
            </w:r>
            <w:r w:rsidRPr="00AF3A31">
              <w:rPr>
                <w:rFonts w:eastAsia="Calibri"/>
                <w:lang w:val="en-GB"/>
              </w:rPr>
              <w:t>: Q2 2026</w:t>
            </w:r>
          </w:p>
          <w:p w14:paraId="398D7C36" w14:textId="77777777" w:rsidR="00DB00FD" w:rsidRPr="00AF3A31"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lang w:val="en-GB"/>
              </w:rPr>
            </w:pPr>
            <w:r w:rsidRPr="00AF3A31">
              <w:rPr>
                <w:rFonts w:eastAsia="Calibri"/>
                <w:lang w:val="en-GB"/>
              </w:rPr>
              <w:t>Quantitative indicators (for targets) – Goal: 80</w:t>
            </w:r>
          </w:p>
          <w:p w14:paraId="03E30627" w14:textId="77777777" w:rsidR="00DB00FD" w:rsidRPr="00AF3A31"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lang w:val="en-GB"/>
              </w:rPr>
            </w:pPr>
            <w:r w:rsidRPr="00AF3A31">
              <w:rPr>
                <w:rFonts w:eastAsia="Calibri"/>
                <w:lang w:val="en-GB"/>
              </w:rPr>
              <w:t>Description of each milestone and target:</w:t>
            </w:r>
          </w:p>
          <w:p w14:paraId="376FB42D" w14:textId="77777777" w:rsidR="00DB00FD" w:rsidRPr="00AF3A31"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lang w:val="en-GB"/>
              </w:rPr>
            </w:pPr>
            <w:r w:rsidRPr="00AF3A31">
              <w:rPr>
                <w:rFonts w:eastAsia="Calibri"/>
                <w:lang w:val="en-GB"/>
              </w:rPr>
              <w:t>Final reports of the implementation of 80 supported projects shall be approved. Support shall be provided to research units and entrepreneurs in the field of pharmaceutical innovations, medical devices and IT solutions, in accordance with the Strategic Plan for Development of the Biomedical Sector in Poland. The subject of the competitions shall focus on product innovations, such as drugs, development of medical devices, especially for mobile use, as well as the development and implementation of ICT tools for medical and health purposes. Projects shall be selected through open and commissioned grant competitions. Each grant agreement shall include the financial amount received and the details of the project.</w:t>
            </w:r>
          </w:p>
        </w:tc>
        <w:tc>
          <w:tcPr>
            <w:tcW w:w="1805" w:type="pct"/>
            <w:shd w:val="clear" w:color="auto" w:fill="auto"/>
          </w:tcPr>
          <w:p w14:paraId="535FEA0E" w14:textId="77777777" w:rsidR="00DB00FD" w:rsidRPr="00AF3A31" w:rsidRDefault="00DB00FD" w:rsidP="001E2158">
            <w:pPr>
              <w:spacing w:after="120" w:line="240" w:lineRule="auto"/>
              <w:jc w:val="left"/>
              <w:rPr>
                <w:rFonts w:eastAsia="Calibri"/>
                <w:lang w:val="en-GB"/>
              </w:rPr>
            </w:pPr>
            <w:r w:rsidRPr="00AF3A31">
              <w:rPr>
                <w:rFonts w:eastAsia="Calibri"/>
                <w:lang w:val="en-GB"/>
              </w:rPr>
              <w:t>D36G</w:t>
            </w:r>
          </w:p>
          <w:p w14:paraId="21A2EE69" w14:textId="77777777" w:rsidR="00DB00FD" w:rsidRPr="00AF3A31"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lang w:val="en-GB"/>
              </w:rPr>
            </w:pPr>
            <w:r w:rsidRPr="00AF3A31">
              <w:rPr>
                <w:rFonts w:eastAsia="Calibri"/>
                <w:lang w:val="en-GB"/>
              </w:rPr>
              <w:t>Number of financed projects for research units and entrepreneurs in the biomedical sector</w:t>
            </w:r>
          </w:p>
          <w:p w14:paraId="02A0E506" w14:textId="77777777" w:rsidR="00DB00FD" w:rsidRPr="00AF3A31"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lang w:val="en-GB"/>
              </w:rPr>
            </w:pPr>
            <w:r w:rsidRPr="00AF3A31">
              <w:rPr>
                <w:rFonts w:eastAsia="Calibri"/>
                <w:lang w:val="en-US"/>
              </w:rPr>
              <w:t>Implementation date</w:t>
            </w:r>
            <w:r w:rsidRPr="00AF3A31">
              <w:rPr>
                <w:rFonts w:eastAsia="Calibri"/>
                <w:lang w:val="en-GB"/>
              </w:rPr>
              <w:t>: Q2 2026</w:t>
            </w:r>
          </w:p>
          <w:p w14:paraId="717ED777" w14:textId="77777777" w:rsidR="00DB00FD" w:rsidRPr="00AF3A31"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lang w:val="en-GB"/>
              </w:rPr>
            </w:pPr>
            <w:r w:rsidRPr="00AF3A31">
              <w:rPr>
                <w:rFonts w:eastAsia="Calibri"/>
                <w:lang w:val="en-GB"/>
              </w:rPr>
              <w:t xml:space="preserve">Quantitative indicators (for targets) – Goal: </w:t>
            </w:r>
            <w:r w:rsidRPr="00AF3A31">
              <w:rPr>
                <w:rFonts w:eastAsia="Calibri"/>
                <w:color w:val="FF0000"/>
                <w:lang w:val="en-GB"/>
              </w:rPr>
              <w:t>50</w:t>
            </w:r>
          </w:p>
          <w:p w14:paraId="2A1CEA98" w14:textId="77777777" w:rsidR="00DB00FD" w:rsidRPr="00AF3A31"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color w:val="202124"/>
                <w:lang w:val="en-GB"/>
              </w:rPr>
            </w:pPr>
            <w:r w:rsidRPr="00AF3A31">
              <w:rPr>
                <w:rFonts w:eastAsia="Calibri"/>
                <w:lang w:val="en-GB"/>
              </w:rPr>
              <w:t>Description of each milestone and target:</w:t>
            </w:r>
          </w:p>
          <w:p w14:paraId="32608516" w14:textId="77777777" w:rsidR="00DB00FD" w:rsidRPr="00AF3A31"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lang w:val="en-US"/>
              </w:rPr>
            </w:pPr>
            <w:r w:rsidRPr="00AF3A31">
              <w:rPr>
                <w:rFonts w:eastAsia="Calibri"/>
                <w:lang w:val="en-US"/>
              </w:rPr>
              <w:t xml:space="preserve">Final reports of the implementation of </w:t>
            </w:r>
            <w:r w:rsidRPr="00AF3A31">
              <w:rPr>
                <w:rFonts w:eastAsia="Calibri"/>
                <w:color w:val="FF0000"/>
                <w:lang w:val="en-US"/>
              </w:rPr>
              <w:t>50</w:t>
            </w:r>
            <w:r w:rsidRPr="00AF3A31">
              <w:rPr>
                <w:rFonts w:eastAsia="Calibri"/>
                <w:lang w:val="en-US"/>
              </w:rPr>
              <w:t xml:space="preserve"> supported projects shall be approved.</w:t>
            </w:r>
          </w:p>
          <w:p w14:paraId="3BDE7BDA" w14:textId="77777777" w:rsidR="00DB00FD"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lang w:val="en-GB"/>
              </w:rPr>
            </w:pPr>
            <w:r w:rsidRPr="00AF3A31">
              <w:rPr>
                <w:rFonts w:eastAsia="Calibri"/>
                <w:lang w:val="en-GB"/>
              </w:rPr>
              <w:t xml:space="preserve">Support shall be provided to research units and entrepreneurs in </w:t>
            </w:r>
            <w:r w:rsidRPr="008F19AE">
              <w:rPr>
                <w:rFonts w:eastAsia="Calibri"/>
                <w:color w:val="FF0000"/>
                <w:lang w:val="en-GB"/>
              </w:rPr>
              <w:t>in the area of defined stages</w:t>
            </w:r>
            <w:r w:rsidRPr="00AF3A31">
              <w:rPr>
                <w:rFonts w:eastAsia="Calibri"/>
                <w:lang w:val="en-GB"/>
              </w:rPr>
              <w:t>, in accordance with the Strategic Plan for Development of the Biomedical Sector in Poland</w:t>
            </w:r>
            <w:r>
              <w:rPr>
                <w:rFonts w:eastAsia="Calibri"/>
                <w:lang w:val="en-GB"/>
              </w:rPr>
              <w:t xml:space="preserve"> </w:t>
            </w:r>
            <w:r w:rsidRPr="008F19AE">
              <w:rPr>
                <w:rFonts w:eastAsia="Calibri"/>
                <w:color w:val="FF0000"/>
                <w:lang w:val="en-GB"/>
              </w:rPr>
              <w:t xml:space="preserve">(which constitute milestone D33G). </w:t>
            </w:r>
            <w:r w:rsidRPr="00AF3A31">
              <w:rPr>
                <w:rFonts w:eastAsia="Calibri"/>
                <w:lang w:val="en-GB"/>
              </w:rPr>
              <w:t xml:space="preserve">The subject of the competitions shall focus on </w:t>
            </w:r>
            <w:r w:rsidRPr="008F19AE">
              <w:rPr>
                <w:rFonts w:eastAsia="Calibri"/>
                <w:color w:val="FF0000"/>
                <w:lang w:val="en-GB"/>
              </w:rPr>
              <w:t>financing R&amp;D activities with emphizing of research among others: Investigational New Drug, development of being developmed and existing medical devices with strong emphizing of future mobile applications</w:t>
            </w:r>
            <w:r w:rsidRPr="00AF3A31">
              <w:rPr>
                <w:rFonts w:eastAsia="Calibri"/>
                <w:lang w:val="en-GB"/>
              </w:rPr>
              <w:t xml:space="preserve">, as well as the </w:t>
            </w:r>
            <w:r w:rsidRPr="008F19AE">
              <w:rPr>
                <w:rFonts w:eastAsia="Calibri"/>
                <w:color w:val="FF0000"/>
                <w:lang w:val="en-GB"/>
              </w:rPr>
              <w:t xml:space="preserve">further </w:t>
            </w:r>
            <w:r w:rsidRPr="00AF3A31">
              <w:rPr>
                <w:rFonts w:eastAsia="Calibri"/>
                <w:lang w:val="en-GB"/>
              </w:rPr>
              <w:t xml:space="preserve">development and implementation of ICT tools for medical and health purposes. </w:t>
            </w:r>
          </w:p>
          <w:p w14:paraId="61423262" w14:textId="77777777" w:rsidR="00DB00FD" w:rsidRPr="00AF3A31" w:rsidRDefault="00DB00FD" w:rsidP="001E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rPr>
                <w:rFonts w:eastAsia="Calibri"/>
                <w:color w:val="202124"/>
                <w:lang w:val="en-GB"/>
              </w:rPr>
            </w:pPr>
            <w:r w:rsidRPr="00AF3A31">
              <w:rPr>
                <w:rFonts w:eastAsia="Calibri"/>
                <w:lang w:val="en-GB"/>
              </w:rPr>
              <w:t xml:space="preserve">Projects shall be selected through open grant competitions. Each grant agreement </w:t>
            </w:r>
            <w:r w:rsidRPr="008F19AE">
              <w:rPr>
                <w:rFonts w:eastAsia="Calibri"/>
                <w:color w:val="FF0000"/>
                <w:lang w:val="en-GB"/>
              </w:rPr>
              <w:t xml:space="preserve">for non repayable sifnancial support </w:t>
            </w:r>
            <w:r w:rsidRPr="00AF3A31">
              <w:rPr>
                <w:rFonts w:eastAsia="Calibri"/>
                <w:lang w:val="en-GB"/>
              </w:rPr>
              <w:t xml:space="preserve">shall include the  amount </w:t>
            </w:r>
            <w:r w:rsidRPr="008F19AE">
              <w:rPr>
                <w:rFonts w:eastAsia="Calibri"/>
                <w:color w:val="FF0000"/>
                <w:lang w:val="en-GB"/>
              </w:rPr>
              <w:t xml:space="preserve">granted </w:t>
            </w:r>
            <w:r w:rsidRPr="00AF3A31">
              <w:rPr>
                <w:rFonts w:eastAsia="Calibri"/>
                <w:lang w:val="en-GB"/>
              </w:rPr>
              <w:t>and the details of the project</w:t>
            </w:r>
            <w:r>
              <w:rPr>
                <w:rFonts w:eastAsia="Calibri"/>
                <w:lang w:val="en-GB"/>
              </w:rPr>
              <w:t>.</w:t>
            </w:r>
          </w:p>
        </w:tc>
      </w:tr>
      <w:tr w:rsidR="00DB00FD" w:rsidRPr="00AF3A31" w14:paraId="4E26E5CB" w14:textId="77777777" w:rsidTr="00A501D9">
        <w:tc>
          <w:tcPr>
            <w:tcW w:w="1188" w:type="pct"/>
            <w:vMerge/>
          </w:tcPr>
          <w:p w14:paraId="18E3F359" w14:textId="77777777" w:rsidR="00DB00FD" w:rsidRPr="00AF3A31" w:rsidRDefault="00DB00FD" w:rsidP="001E2158">
            <w:pPr>
              <w:spacing w:after="120" w:line="240" w:lineRule="auto"/>
              <w:jc w:val="left"/>
              <w:rPr>
                <w:rFonts w:eastAsia="Calibri"/>
                <w:lang w:val="en-GB"/>
              </w:rPr>
            </w:pPr>
          </w:p>
        </w:tc>
        <w:tc>
          <w:tcPr>
            <w:tcW w:w="2007" w:type="pct"/>
          </w:tcPr>
          <w:p w14:paraId="7BFB6350" w14:textId="77777777" w:rsidR="00DB00FD" w:rsidRPr="00AF3A31" w:rsidRDefault="00DB00FD" w:rsidP="001E2158">
            <w:pPr>
              <w:spacing w:after="120" w:line="240" w:lineRule="auto"/>
              <w:jc w:val="left"/>
              <w:rPr>
                <w:rFonts w:eastAsia="Calibri"/>
              </w:rPr>
            </w:pPr>
            <w:r w:rsidRPr="00AF3A31">
              <w:rPr>
                <w:rFonts w:eastAsia="Calibri"/>
              </w:rPr>
              <w:t xml:space="preserve">D37G </w:t>
            </w:r>
          </w:p>
          <w:p w14:paraId="761DE6ED" w14:textId="77777777" w:rsidR="00DB00FD" w:rsidRPr="00AF3A31" w:rsidRDefault="00DB00FD" w:rsidP="001E2158">
            <w:pPr>
              <w:spacing w:after="120" w:line="240" w:lineRule="auto"/>
              <w:jc w:val="left"/>
              <w:rPr>
                <w:rFonts w:eastAsia="Calibri"/>
              </w:rPr>
            </w:pPr>
            <w:r w:rsidRPr="00AF3A31">
              <w:rPr>
                <w:rFonts w:eastAsia="Calibri"/>
              </w:rPr>
              <w:t>Liczba utworzonych Centrów Wsparcia Badań Klinicznych (Number of created Clinical Trial Support Centres)</w:t>
            </w:r>
          </w:p>
          <w:p w14:paraId="7430FD78" w14:textId="77777777" w:rsidR="00DB00FD" w:rsidRPr="00AF3A31" w:rsidRDefault="00DB00FD" w:rsidP="001E2158">
            <w:pPr>
              <w:spacing w:after="120" w:line="240" w:lineRule="auto"/>
              <w:jc w:val="left"/>
              <w:rPr>
                <w:rFonts w:eastAsia="Calibri"/>
              </w:rPr>
            </w:pPr>
            <w:r w:rsidRPr="00AF3A31">
              <w:rPr>
                <w:rFonts w:eastAsia="Calibri"/>
              </w:rPr>
              <w:t>Termin realizacji: II kw. 2026r.</w:t>
            </w:r>
          </w:p>
          <w:p w14:paraId="1678C9AD" w14:textId="77777777" w:rsidR="00DB00FD" w:rsidRPr="00AF3A31" w:rsidRDefault="00DB00FD" w:rsidP="001E2158">
            <w:pPr>
              <w:spacing w:after="120" w:line="240" w:lineRule="auto"/>
              <w:jc w:val="left"/>
              <w:rPr>
                <w:rFonts w:eastAsia="Calibri"/>
              </w:rPr>
            </w:pPr>
            <w:r w:rsidRPr="00AF3A31">
              <w:rPr>
                <w:rFonts w:eastAsia="Calibri"/>
              </w:rPr>
              <w:t>Wskaźniki ilościowe (dla wartości docelowych) – cel: 43</w:t>
            </w:r>
          </w:p>
          <w:p w14:paraId="32DDA6AC" w14:textId="77777777" w:rsidR="00DB00FD" w:rsidRPr="00AF3A31" w:rsidRDefault="00DB00FD" w:rsidP="001E2158">
            <w:pPr>
              <w:spacing w:after="120" w:line="240" w:lineRule="auto"/>
              <w:jc w:val="left"/>
              <w:rPr>
                <w:rFonts w:eastAsia="Calibri"/>
              </w:rPr>
            </w:pPr>
            <w:r w:rsidRPr="00AF3A31">
              <w:rPr>
                <w:rFonts w:eastAsia="Calibri"/>
              </w:rPr>
              <w:t>Opis każdego kamienia milowego i każdej wartości docelowej:</w:t>
            </w:r>
          </w:p>
          <w:p w14:paraId="7C4FF07E" w14:textId="77777777" w:rsidR="00DB00FD" w:rsidRPr="00AF3A31" w:rsidRDefault="00DB00FD" w:rsidP="001E2158">
            <w:pPr>
              <w:spacing w:after="120" w:line="240" w:lineRule="auto"/>
              <w:jc w:val="left"/>
              <w:rPr>
                <w:rFonts w:eastAsia="Calibri"/>
              </w:rPr>
            </w:pPr>
            <w:r w:rsidRPr="00AF3A31">
              <w:rPr>
                <w:rFonts w:eastAsia="Calibri"/>
              </w:rPr>
              <w:t>W ramach realizacji zadania zostanie utworzone dodatkowych 40 centrów Wsparcia Badań Klinicznych. Zlokalizowane będą w strukturze mniejszych i lokalnych podmiotów opieki zdrowotnej, pełniąc kluczową rolę w zapewnieniu profesjonalnego wsparcia (od strony szpitalnej) organizacjom prowadzącym badania kliniczne i sponsorom badań klinicznych (firmom farmaceutycznym) sprzyjającym negocjacjom, kontraktowaniu i rozpoczynaniu badań klinicznych (BK). Pozyskają one środki na inwestycje i rozwój instytucjonalny. Zobowiązani są do prowadzenia szkoleń dla personelu medycznego oraz działań mających na celu podniesienie świadomości pacjentów w zakresie badań klinicznych.</w:t>
            </w:r>
          </w:p>
          <w:p w14:paraId="21CA1413" w14:textId="77777777" w:rsidR="00DB00FD" w:rsidRPr="00AF3A31" w:rsidRDefault="00DB00FD" w:rsidP="001E2158">
            <w:pPr>
              <w:spacing w:after="120" w:line="240" w:lineRule="auto"/>
              <w:jc w:val="left"/>
              <w:rPr>
                <w:rFonts w:eastAsia="Calibri"/>
              </w:rPr>
            </w:pPr>
            <w:r w:rsidRPr="00AF3A31">
              <w:rPr>
                <w:rFonts w:eastAsia="Calibri"/>
              </w:rPr>
              <w:t>Każda umowa o dotację zawiera otrzymaną kwotę finansową oraz szczegóły projektu.</w:t>
            </w:r>
          </w:p>
        </w:tc>
        <w:tc>
          <w:tcPr>
            <w:tcW w:w="1805" w:type="pct"/>
          </w:tcPr>
          <w:p w14:paraId="6070F1F2" w14:textId="77777777" w:rsidR="00DB00FD" w:rsidRPr="00AF3A31" w:rsidRDefault="00DB00FD" w:rsidP="001E2158">
            <w:pPr>
              <w:spacing w:after="120" w:line="240" w:lineRule="auto"/>
              <w:jc w:val="left"/>
              <w:rPr>
                <w:rFonts w:eastAsia="Calibri"/>
              </w:rPr>
            </w:pPr>
            <w:r w:rsidRPr="00AF3A31">
              <w:rPr>
                <w:rFonts w:eastAsia="Calibri"/>
              </w:rPr>
              <w:t>D37G</w:t>
            </w:r>
          </w:p>
          <w:p w14:paraId="67FEB0F8" w14:textId="77777777" w:rsidR="00DB00FD" w:rsidRPr="00AF3A31" w:rsidRDefault="00DB00FD" w:rsidP="001E2158">
            <w:pPr>
              <w:spacing w:after="120" w:line="240" w:lineRule="auto"/>
              <w:jc w:val="left"/>
              <w:rPr>
                <w:rFonts w:eastAsia="Calibri"/>
                <w:color w:val="FF0000"/>
              </w:rPr>
            </w:pPr>
            <w:r w:rsidRPr="009D1150">
              <w:rPr>
                <w:rFonts w:eastAsia="Calibri"/>
              </w:rPr>
              <w:t xml:space="preserve">Liczba utworzonych </w:t>
            </w:r>
            <w:r w:rsidRPr="00AF3A31">
              <w:rPr>
                <w:rFonts w:eastAsia="Calibri"/>
                <w:color w:val="FF0000"/>
              </w:rPr>
              <w:t xml:space="preserve">oraz rozwój i modernizacja istniejących </w:t>
            </w:r>
            <w:r w:rsidRPr="009D1150">
              <w:rPr>
                <w:rFonts w:eastAsia="Calibri"/>
              </w:rPr>
              <w:t>Centrów Wsparcia Badań Klinicznych</w:t>
            </w:r>
          </w:p>
          <w:p w14:paraId="30D8150D" w14:textId="77777777" w:rsidR="00DB00FD" w:rsidRPr="00AF3A31" w:rsidRDefault="00DB00FD" w:rsidP="001E2158">
            <w:pPr>
              <w:spacing w:after="120" w:line="240" w:lineRule="auto"/>
              <w:jc w:val="left"/>
              <w:rPr>
                <w:rFonts w:eastAsia="Calibri"/>
              </w:rPr>
            </w:pPr>
            <w:r w:rsidRPr="00AF3A31">
              <w:rPr>
                <w:rFonts w:eastAsia="Calibri"/>
              </w:rPr>
              <w:t>Termin realizacji: II kw. 2026r.</w:t>
            </w:r>
          </w:p>
          <w:p w14:paraId="6CAC7055" w14:textId="77777777" w:rsidR="00DB00FD" w:rsidRDefault="00DB00FD" w:rsidP="001E2158">
            <w:pPr>
              <w:spacing w:after="120" w:line="240" w:lineRule="auto"/>
              <w:jc w:val="left"/>
              <w:rPr>
                <w:rFonts w:eastAsia="Calibri"/>
                <w:color w:val="FF0000"/>
              </w:rPr>
            </w:pPr>
            <w:r w:rsidRPr="00AF3A31">
              <w:rPr>
                <w:rFonts w:eastAsia="Calibri"/>
              </w:rPr>
              <w:t xml:space="preserve">Wskaźniki ilościowe (dla wartości docelowych) – cel: </w:t>
            </w:r>
          </w:p>
          <w:p w14:paraId="2E5E5A33" w14:textId="77777777" w:rsidR="00DB00FD" w:rsidRPr="00E353D0" w:rsidRDefault="00DB00FD" w:rsidP="001E2158">
            <w:pPr>
              <w:pStyle w:val="Akapitzlist"/>
              <w:numPr>
                <w:ilvl w:val="1"/>
                <w:numId w:val="26"/>
              </w:numPr>
              <w:tabs>
                <w:tab w:val="clear" w:pos="1080"/>
              </w:tabs>
              <w:spacing w:after="120" w:line="240" w:lineRule="auto"/>
              <w:ind w:left="360" w:hanging="295"/>
              <w:jc w:val="left"/>
              <w:rPr>
                <w:rFonts w:eastAsia="Calibri"/>
                <w:color w:val="FF0000"/>
              </w:rPr>
            </w:pPr>
            <w:r w:rsidRPr="005E1667">
              <w:rPr>
                <w:rFonts w:eastAsia="Calibri"/>
                <w:color w:val="FF0000"/>
              </w:rPr>
              <w:t xml:space="preserve">co najmniej 28 przedsięwzięć, z czego 10 nowych CWBK i 18 wspartych istniejących </w:t>
            </w:r>
          </w:p>
          <w:p w14:paraId="74B730F7" w14:textId="77777777" w:rsidR="00DB00FD" w:rsidRPr="00AF3A31" w:rsidRDefault="00DB00FD" w:rsidP="001E2158">
            <w:pPr>
              <w:spacing w:after="120" w:line="240" w:lineRule="auto"/>
              <w:jc w:val="left"/>
              <w:rPr>
                <w:rFonts w:eastAsia="Calibri"/>
              </w:rPr>
            </w:pPr>
          </w:p>
          <w:p w14:paraId="32DE56C9" w14:textId="77777777" w:rsidR="00DB00FD" w:rsidRPr="00AF3A31" w:rsidRDefault="00DB00FD" w:rsidP="001E2158">
            <w:pPr>
              <w:spacing w:after="120" w:line="240" w:lineRule="auto"/>
              <w:jc w:val="left"/>
              <w:rPr>
                <w:rFonts w:eastAsia="Calibri"/>
              </w:rPr>
            </w:pPr>
            <w:r w:rsidRPr="00AF3A31">
              <w:rPr>
                <w:rFonts w:eastAsia="Calibri"/>
              </w:rPr>
              <w:t>Opis kamienia milowego i wartości docelowej:</w:t>
            </w:r>
          </w:p>
          <w:p w14:paraId="16B43BF5" w14:textId="77777777" w:rsidR="00DB00FD" w:rsidRPr="00AF3A31" w:rsidRDefault="00DB00FD" w:rsidP="001E2158">
            <w:pPr>
              <w:spacing w:after="120" w:line="240" w:lineRule="auto"/>
              <w:jc w:val="left"/>
              <w:rPr>
                <w:rFonts w:eastAsia="Calibri"/>
              </w:rPr>
            </w:pPr>
            <w:r w:rsidRPr="005E1667">
              <w:rPr>
                <w:rFonts w:eastAsia="Calibri"/>
                <w:color w:val="FF0000"/>
              </w:rPr>
              <w:t xml:space="preserve">W ramach realizacji zadania dofinansowanych zostanie co najmniej 28 przedsięwzięć, z czego 10 nowych CWBK i 18 wspartych istniejących. </w:t>
            </w:r>
            <w:r w:rsidRPr="00E353D0">
              <w:rPr>
                <w:rFonts w:eastAsia="Calibri"/>
                <w:color w:val="FF0000"/>
              </w:rPr>
              <w:t>Utworzone CWBK</w:t>
            </w:r>
            <w:r w:rsidRPr="008D770C">
              <w:rPr>
                <w:rFonts w:eastAsia="Calibri"/>
                <w:color w:val="FF0000"/>
              </w:rPr>
              <w:t xml:space="preserve"> </w:t>
            </w:r>
            <w:r>
              <w:rPr>
                <w:rFonts w:eastAsia="Calibri"/>
              </w:rPr>
              <w:t>z</w:t>
            </w:r>
            <w:r w:rsidRPr="00AF3A31">
              <w:rPr>
                <w:rFonts w:eastAsia="Calibri"/>
              </w:rPr>
              <w:t>lokalizowane będą w strukturze podmiotów opieki zdrowotnej, pełniąc kluczową rolę w zapewnieniu profesjonalnego wsparcia (od strony szpitalnej) organizacjom prowadzącym badania kliniczne i sponsorom badań klinicznych (firmom farmaceutycznym) sprzyjającym negocjacjom, kontraktowaniu i rozpoczynaniu badań klinicznych (BK).</w:t>
            </w:r>
          </w:p>
          <w:p w14:paraId="1B6CDECD" w14:textId="77777777" w:rsidR="00DB00FD" w:rsidRPr="00AF3A31" w:rsidRDefault="00DB00FD" w:rsidP="001E2158">
            <w:pPr>
              <w:spacing w:after="120" w:line="240" w:lineRule="auto"/>
              <w:jc w:val="left"/>
              <w:rPr>
                <w:rFonts w:eastAsia="Calibri"/>
                <w:color w:val="FF0000"/>
              </w:rPr>
            </w:pPr>
            <w:r w:rsidRPr="00AF3A31">
              <w:rPr>
                <w:rFonts w:eastAsia="Calibri"/>
                <w:color w:val="FF0000"/>
              </w:rPr>
              <w:t xml:space="preserve">Ponadto </w:t>
            </w:r>
            <w:r w:rsidRPr="00E353D0">
              <w:rPr>
                <w:rFonts w:eastAsia="Calibri"/>
                <w:color w:val="FF0000"/>
              </w:rPr>
              <w:t xml:space="preserve">istniejące Centra </w:t>
            </w:r>
            <w:r w:rsidRPr="00AF3A31">
              <w:rPr>
                <w:rFonts w:eastAsia="Calibri"/>
                <w:color w:val="FF0000"/>
              </w:rPr>
              <w:t>otrzymają możliwość złożenia wniosku o otrzymanie dofinansowania na wybrane działania związane z:</w:t>
            </w:r>
          </w:p>
          <w:p w14:paraId="3AAC2C2D" w14:textId="77777777" w:rsidR="00DB00FD" w:rsidRPr="00AF3A31" w:rsidRDefault="00DB00FD" w:rsidP="001E2158">
            <w:pPr>
              <w:spacing w:after="120" w:line="240" w:lineRule="auto"/>
              <w:jc w:val="left"/>
              <w:rPr>
                <w:rFonts w:eastAsia="Calibri"/>
                <w:color w:val="FF0000"/>
              </w:rPr>
            </w:pPr>
            <w:r w:rsidRPr="00AF3A31">
              <w:rPr>
                <w:rFonts w:eastAsia="Calibri"/>
                <w:color w:val="FF0000"/>
              </w:rPr>
              <w:t>- edukacją i szkoleniami dla co najmniej 1 z 3 grup odbiorców:zespołów zarządzających, naukowców oraz pacjentów,</w:t>
            </w:r>
          </w:p>
          <w:p w14:paraId="7A277BAF" w14:textId="77777777" w:rsidR="00DB00FD" w:rsidRPr="00AF3A31" w:rsidRDefault="00DB00FD" w:rsidP="001E2158">
            <w:pPr>
              <w:spacing w:after="120" w:line="240" w:lineRule="auto"/>
              <w:jc w:val="left"/>
              <w:rPr>
                <w:rFonts w:eastAsia="Calibri"/>
                <w:color w:val="FF0000"/>
              </w:rPr>
            </w:pPr>
            <w:r w:rsidRPr="00AF3A31">
              <w:rPr>
                <w:rFonts w:eastAsia="Calibri"/>
                <w:color w:val="FF0000"/>
              </w:rPr>
              <w:t>- przygotowaniem tychże ośrodków do realizacji badań zdecentralizowanych (pacjent w centrum uwagi a nie ośrodek),</w:t>
            </w:r>
          </w:p>
          <w:p w14:paraId="57C0D166" w14:textId="77777777" w:rsidR="00DB00FD" w:rsidRPr="00AF3A31" w:rsidRDefault="00DB00FD" w:rsidP="001E2158">
            <w:pPr>
              <w:spacing w:after="120" w:line="240" w:lineRule="auto"/>
              <w:jc w:val="left"/>
              <w:rPr>
                <w:rFonts w:eastAsia="Calibri"/>
                <w:color w:val="FF0000"/>
              </w:rPr>
            </w:pPr>
            <w:r w:rsidRPr="00AF3A31">
              <w:rPr>
                <w:rFonts w:eastAsia="Calibri"/>
                <w:color w:val="FF0000"/>
              </w:rPr>
              <w:t>- promocją badań klinicznych w społeczeństwie,</w:t>
            </w:r>
          </w:p>
          <w:p w14:paraId="1B2E1464" w14:textId="77777777" w:rsidR="00DB00FD" w:rsidRPr="00AF3A31" w:rsidRDefault="00DB00FD" w:rsidP="001E2158">
            <w:pPr>
              <w:spacing w:after="120" w:line="240" w:lineRule="auto"/>
              <w:jc w:val="left"/>
              <w:rPr>
                <w:rFonts w:eastAsia="Calibri"/>
                <w:color w:val="FF0000"/>
              </w:rPr>
            </w:pPr>
            <w:r w:rsidRPr="00AF3A31">
              <w:rPr>
                <w:rFonts w:eastAsia="Calibri"/>
                <w:color w:val="FF0000"/>
              </w:rPr>
              <w:t>- rozwojem systemów IT,</w:t>
            </w:r>
          </w:p>
          <w:p w14:paraId="51D10E1A" w14:textId="77777777" w:rsidR="00DB00FD" w:rsidRPr="00AF3A31" w:rsidRDefault="00DB00FD" w:rsidP="001E2158">
            <w:pPr>
              <w:spacing w:after="120" w:line="240" w:lineRule="auto"/>
              <w:jc w:val="left"/>
              <w:rPr>
                <w:rFonts w:eastAsia="Calibri"/>
                <w:color w:val="FF0000"/>
              </w:rPr>
            </w:pPr>
            <w:r w:rsidRPr="00AF3A31">
              <w:rPr>
                <w:rFonts w:eastAsia="Calibri"/>
                <w:color w:val="FF0000"/>
              </w:rPr>
              <w:t>- modernizacją lub adaptacją istniejącej infrastruktury,</w:t>
            </w:r>
          </w:p>
          <w:p w14:paraId="5C16EA1D" w14:textId="77777777" w:rsidR="00DB00FD" w:rsidRPr="00AF3A31" w:rsidRDefault="00DB00FD" w:rsidP="001E2158">
            <w:pPr>
              <w:spacing w:after="120" w:line="240" w:lineRule="auto"/>
              <w:jc w:val="left"/>
              <w:rPr>
                <w:rFonts w:eastAsia="Calibri"/>
                <w:color w:val="FF0000"/>
              </w:rPr>
            </w:pPr>
            <w:r w:rsidRPr="00AF3A31">
              <w:rPr>
                <w:rFonts w:eastAsia="Calibri"/>
                <w:color w:val="FF0000"/>
              </w:rPr>
              <w:t>- opracowanie nowych procesów, procedur oraz modyfikacją struktury organizacyjnej w instytucjach oraz wynagrodzenia dla kadry.</w:t>
            </w:r>
          </w:p>
          <w:p w14:paraId="76203F3C" w14:textId="77777777" w:rsidR="00DB00FD" w:rsidRPr="00AF3A31" w:rsidRDefault="00DB00FD" w:rsidP="001E2158">
            <w:pPr>
              <w:spacing w:after="120" w:line="240" w:lineRule="auto"/>
              <w:jc w:val="left"/>
              <w:rPr>
                <w:rFonts w:eastAsia="Calibri"/>
              </w:rPr>
            </w:pPr>
            <w:r w:rsidRPr="00AF3A31">
              <w:rPr>
                <w:rFonts w:eastAsia="Calibri"/>
              </w:rPr>
              <w:t>Każda umowa o dotację zawiera otrzymaną kwotę finansową oraz szczegóły projektu.</w:t>
            </w:r>
          </w:p>
        </w:tc>
      </w:tr>
      <w:tr w:rsidR="00DB00FD" w:rsidRPr="00935797" w14:paraId="5BF680D3" w14:textId="77777777" w:rsidTr="00A501D9">
        <w:tc>
          <w:tcPr>
            <w:tcW w:w="1188" w:type="pct"/>
            <w:vMerge/>
          </w:tcPr>
          <w:p w14:paraId="454A8678" w14:textId="77777777" w:rsidR="00DB00FD" w:rsidRPr="00AF3A31" w:rsidRDefault="00DB00FD" w:rsidP="001E2158">
            <w:pPr>
              <w:spacing w:after="120" w:line="240" w:lineRule="auto"/>
              <w:jc w:val="left"/>
              <w:rPr>
                <w:rFonts w:eastAsia="Calibri"/>
              </w:rPr>
            </w:pPr>
          </w:p>
        </w:tc>
        <w:tc>
          <w:tcPr>
            <w:tcW w:w="2007" w:type="pct"/>
          </w:tcPr>
          <w:p w14:paraId="57158EBF" w14:textId="77777777" w:rsidR="00DB00FD" w:rsidRPr="00AF3A31" w:rsidRDefault="00DB00FD" w:rsidP="001E2158">
            <w:pPr>
              <w:spacing w:after="120" w:line="240" w:lineRule="auto"/>
              <w:contextualSpacing/>
              <w:jc w:val="left"/>
              <w:rPr>
                <w:rFonts w:eastAsia="Calibri"/>
                <w:lang w:val="en-GB"/>
              </w:rPr>
            </w:pPr>
            <w:r w:rsidRPr="00AF3A31">
              <w:rPr>
                <w:rFonts w:eastAsia="Calibri"/>
                <w:lang w:val="en-GB"/>
              </w:rPr>
              <w:t xml:space="preserve">D37G </w:t>
            </w:r>
          </w:p>
          <w:p w14:paraId="71121777" w14:textId="77777777" w:rsidR="00DB00FD" w:rsidRPr="00AF3A31" w:rsidRDefault="00DB00FD" w:rsidP="001E2158">
            <w:pPr>
              <w:spacing w:after="120" w:line="240" w:lineRule="auto"/>
              <w:jc w:val="left"/>
              <w:rPr>
                <w:rFonts w:eastAsia="Calibri"/>
                <w:lang w:val="en-GB"/>
              </w:rPr>
            </w:pPr>
            <w:r w:rsidRPr="00AF3A31">
              <w:rPr>
                <w:rFonts w:eastAsia="Calibri"/>
                <w:lang w:val="en-GB"/>
              </w:rPr>
              <w:t>Number of created Clinical Trial Support Centres</w:t>
            </w:r>
          </w:p>
          <w:p w14:paraId="5E1B2784" w14:textId="77777777" w:rsidR="00DB00FD" w:rsidRPr="00AF3A31" w:rsidRDefault="00DB00FD" w:rsidP="001E2158">
            <w:pPr>
              <w:spacing w:after="120" w:line="240" w:lineRule="auto"/>
              <w:jc w:val="left"/>
              <w:rPr>
                <w:rFonts w:eastAsia="Calibri"/>
                <w:lang w:val="en-GB"/>
              </w:rPr>
            </w:pPr>
            <w:r w:rsidRPr="00AF3A31">
              <w:rPr>
                <w:rFonts w:eastAsia="Calibri"/>
                <w:lang w:val="en-GB"/>
              </w:rPr>
              <w:t>Timeline for completion: Q2 2026</w:t>
            </w:r>
          </w:p>
          <w:p w14:paraId="52C7D363" w14:textId="77777777" w:rsidR="00DB00FD" w:rsidRPr="00AF3A31" w:rsidRDefault="00DB00FD" w:rsidP="001E2158">
            <w:pPr>
              <w:spacing w:after="120" w:line="240" w:lineRule="auto"/>
              <w:jc w:val="left"/>
              <w:rPr>
                <w:rFonts w:eastAsia="Calibri"/>
                <w:lang w:val="en-GB"/>
              </w:rPr>
            </w:pPr>
            <w:r w:rsidRPr="00AF3A31">
              <w:rPr>
                <w:rFonts w:eastAsia="Calibri"/>
                <w:lang w:val="en-GB"/>
              </w:rPr>
              <w:t>Quantitative indicators (for targets) – Goal: 43</w:t>
            </w:r>
          </w:p>
          <w:p w14:paraId="57054E09" w14:textId="77777777" w:rsidR="00DB00FD" w:rsidRPr="00AF3A31" w:rsidRDefault="00DB00FD" w:rsidP="001E2158">
            <w:pPr>
              <w:spacing w:after="120" w:line="240" w:lineRule="auto"/>
              <w:jc w:val="left"/>
              <w:rPr>
                <w:rFonts w:eastAsia="Calibri"/>
                <w:lang w:val="en-GB"/>
              </w:rPr>
            </w:pPr>
            <w:r w:rsidRPr="00AF3A31">
              <w:rPr>
                <w:rFonts w:eastAsia="Calibri"/>
                <w:lang w:val="en-GB"/>
              </w:rPr>
              <w:t>Description of each milestone and target:</w:t>
            </w:r>
          </w:p>
          <w:p w14:paraId="018F9DA5" w14:textId="77777777" w:rsidR="00DB00FD" w:rsidRPr="00AF3A31" w:rsidRDefault="00DB00FD" w:rsidP="001E2158">
            <w:pPr>
              <w:spacing w:after="120" w:line="240" w:lineRule="auto"/>
              <w:jc w:val="left"/>
              <w:rPr>
                <w:rFonts w:eastAsia="Calibri"/>
                <w:lang w:val="en-GB"/>
              </w:rPr>
            </w:pPr>
            <w:r w:rsidRPr="00AF3A31">
              <w:rPr>
                <w:rFonts w:eastAsia="Calibri"/>
                <w:lang w:val="en-GB"/>
              </w:rPr>
              <w:t>The establishment of 33 additional Clinical Trial Support Centres (CTSC) shall be completed. They shall be located in the structure of smaller and local healthcare entities, having a pivotal role in providing professional support (from the hospital side) for Clinical research organizations and clinical trials sponsors (pharmaceutical companies) to foster negotiation, contracting and start of clinical trials (CT's). CTSC shall obtain funds for investments and institutional development. They shall be obliged to conduct training for medical staff and activities aiming to increase patient awareness in the field of CT's. Each grant agreement shall include the financial amount received and the details of the project.</w:t>
            </w:r>
          </w:p>
          <w:p w14:paraId="7D9F6568" w14:textId="77777777" w:rsidR="00DB00FD" w:rsidRPr="00AF3A31" w:rsidRDefault="00DB00FD" w:rsidP="001E2158">
            <w:pPr>
              <w:spacing w:after="120" w:line="240" w:lineRule="auto"/>
              <w:contextualSpacing/>
              <w:jc w:val="left"/>
              <w:rPr>
                <w:rFonts w:eastAsia="Calibri"/>
                <w:lang w:val="en-GB"/>
              </w:rPr>
            </w:pPr>
          </w:p>
        </w:tc>
        <w:tc>
          <w:tcPr>
            <w:tcW w:w="1805" w:type="pct"/>
          </w:tcPr>
          <w:p w14:paraId="670235E6" w14:textId="77777777" w:rsidR="00DB00FD" w:rsidRPr="00AF3A31" w:rsidRDefault="00DB00FD" w:rsidP="001E2158">
            <w:pPr>
              <w:spacing w:after="120" w:line="240" w:lineRule="auto"/>
              <w:contextualSpacing/>
              <w:jc w:val="left"/>
              <w:rPr>
                <w:rFonts w:eastAsia="Calibri"/>
                <w:lang w:val="en-GB"/>
              </w:rPr>
            </w:pPr>
            <w:r w:rsidRPr="00AF3A31">
              <w:rPr>
                <w:rFonts w:eastAsia="Calibri"/>
                <w:lang w:val="en-GB"/>
              </w:rPr>
              <w:t>D37G</w:t>
            </w:r>
          </w:p>
          <w:p w14:paraId="5ADAAC51" w14:textId="77777777" w:rsidR="00DB00FD" w:rsidRPr="009D1150" w:rsidRDefault="00DB00FD" w:rsidP="001E2158">
            <w:pPr>
              <w:spacing w:after="120" w:line="240" w:lineRule="auto"/>
              <w:jc w:val="left"/>
              <w:rPr>
                <w:rFonts w:eastAsia="Calibri"/>
                <w:lang w:val="en-GB"/>
              </w:rPr>
            </w:pPr>
            <w:r w:rsidRPr="009D1150">
              <w:rPr>
                <w:rFonts w:eastAsia="Calibri"/>
                <w:lang w:val="en-GB"/>
              </w:rPr>
              <w:t xml:space="preserve">Number of created </w:t>
            </w:r>
            <w:r w:rsidRPr="00AF3A31">
              <w:rPr>
                <w:rFonts w:eastAsia="Calibri"/>
                <w:color w:val="FF0000"/>
                <w:lang w:val="en-GB"/>
              </w:rPr>
              <w:t xml:space="preserve">and development and modernization of existing </w:t>
            </w:r>
            <w:r w:rsidRPr="009D1150">
              <w:rPr>
                <w:rFonts w:eastAsia="Calibri"/>
                <w:lang w:val="en-GB"/>
              </w:rPr>
              <w:t>Clinical Trial Support Centres.</w:t>
            </w:r>
          </w:p>
          <w:p w14:paraId="1211919F" w14:textId="77777777" w:rsidR="00DB00FD" w:rsidRPr="00AF3A31" w:rsidRDefault="00DB00FD" w:rsidP="001E2158">
            <w:pPr>
              <w:spacing w:after="120" w:line="240" w:lineRule="auto"/>
              <w:jc w:val="left"/>
              <w:rPr>
                <w:rFonts w:eastAsia="Calibri"/>
                <w:lang w:val="en-GB"/>
              </w:rPr>
            </w:pPr>
            <w:r w:rsidRPr="00AF3A31">
              <w:rPr>
                <w:rFonts w:eastAsia="Calibri"/>
                <w:lang w:val="en-GB"/>
              </w:rPr>
              <w:t>Timeline for completion: Q2 2026</w:t>
            </w:r>
          </w:p>
          <w:p w14:paraId="470C2D58" w14:textId="77777777" w:rsidR="00DB00FD" w:rsidRDefault="00DB00FD" w:rsidP="001E2158">
            <w:pPr>
              <w:spacing w:after="120" w:line="240" w:lineRule="auto"/>
              <w:jc w:val="left"/>
              <w:rPr>
                <w:rFonts w:eastAsia="Calibri"/>
                <w:color w:val="FF0000"/>
                <w:lang w:val="en-GB"/>
              </w:rPr>
            </w:pPr>
            <w:r w:rsidRPr="00AF3A31">
              <w:rPr>
                <w:rFonts w:eastAsia="Calibri"/>
                <w:lang w:val="en-GB"/>
              </w:rPr>
              <w:t xml:space="preserve">Quantitative indicators (for targets) – Goal: </w:t>
            </w:r>
          </w:p>
          <w:p w14:paraId="393465BB" w14:textId="77777777" w:rsidR="00DB00FD" w:rsidRPr="007F57EE" w:rsidRDefault="00DB00FD" w:rsidP="001E2158">
            <w:pPr>
              <w:spacing w:after="120" w:line="240" w:lineRule="auto"/>
              <w:jc w:val="left"/>
              <w:rPr>
                <w:rFonts w:eastAsia="Calibri"/>
                <w:lang w:val="en-GB"/>
              </w:rPr>
            </w:pPr>
            <w:r w:rsidRPr="00E77337">
              <w:rPr>
                <w:rFonts w:eastAsia="Calibri"/>
                <w:color w:val="FF0000"/>
                <w:lang w:val="en-US"/>
              </w:rPr>
              <w:t>at least 28 projects, of which 10 new CWBKs and 18 supported existing ones</w:t>
            </w:r>
            <w:r>
              <w:rPr>
                <w:rFonts w:eastAsia="Calibri"/>
                <w:color w:val="FF0000"/>
                <w:lang w:val="en-US"/>
              </w:rPr>
              <w:t>.</w:t>
            </w:r>
            <w:r w:rsidRPr="00E77337">
              <w:rPr>
                <w:rFonts w:eastAsia="Calibri"/>
                <w:color w:val="FF0000"/>
                <w:lang w:val="en-US"/>
              </w:rPr>
              <w:t xml:space="preserve"> </w:t>
            </w:r>
          </w:p>
          <w:p w14:paraId="2A2F8BD4" w14:textId="77777777" w:rsidR="00DB00FD" w:rsidRPr="008F19AE" w:rsidRDefault="00DB00FD" w:rsidP="001E2158">
            <w:pPr>
              <w:spacing w:after="120" w:line="240" w:lineRule="auto"/>
              <w:jc w:val="left"/>
              <w:rPr>
                <w:rFonts w:eastAsia="Calibri"/>
                <w:color w:val="FF0000"/>
                <w:lang w:val="en-US"/>
              </w:rPr>
            </w:pPr>
          </w:p>
          <w:p w14:paraId="7D141622" w14:textId="77777777" w:rsidR="00DB00FD" w:rsidRPr="00AF3A31" w:rsidRDefault="00DB00FD" w:rsidP="001E2158">
            <w:pPr>
              <w:spacing w:after="120" w:line="240" w:lineRule="auto"/>
              <w:jc w:val="left"/>
              <w:rPr>
                <w:rFonts w:eastAsia="Calibri"/>
                <w:lang w:val="en-GB"/>
              </w:rPr>
            </w:pPr>
            <w:r w:rsidRPr="00AF3A31">
              <w:rPr>
                <w:rFonts w:eastAsia="Calibri"/>
                <w:lang w:val="en-GB"/>
              </w:rPr>
              <w:t>Description of each milestone and target:</w:t>
            </w:r>
          </w:p>
          <w:p w14:paraId="06A2198E" w14:textId="77777777" w:rsidR="00DB00FD" w:rsidRPr="00AF3A31" w:rsidRDefault="00DB00FD" w:rsidP="001E2158">
            <w:pPr>
              <w:spacing w:after="120" w:line="240" w:lineRule="auto"/>
              <w:jc w:val="left"/>
              <w:rPr>
                <w:rFonts w:eastAsia="Calibri"/>
                <w:color w:val="FF0000"/>
                <w:lang w:val="en"/>
              </w:rPr>
            </w:pPr>
            <w:r w:rsidRPr="00E353D0">
              <w:rPr>
                <w:rFonts w:eastAsia="Calibri"/>
                <w:color w:val="FF0000"/>
                <w:lang w:val="en-US"/>
              </w:rPr>
              <w:t>A minimum of 28 projects will be funded as part of the task, with 10 new CWBKs and 18 supported existing ones. Established</w:t>
            </w:r>
            <w:r w:rsidRPr="0056086B">
              <w:rPr>
                <w:rFonts w:eastAsia="Calibri"/>
                <w:color w:val="FF0000"/>
                <w:lang w:val="en-US"/>
              </w:rPr>
              <w:t xml:space="preserve"> CWBKs  </w:t>
            </w:r>
            <w:r w:rsidRPr="00AF3A31">
              <w:rPr>
                <w:rFonts w:eastAsia="Calibri"/>
                <w:lang w:val="en"/>
              </w:rPr>
              <w:t xml:space="preserve">shall be located in the structure of healthcare entities, having a pivotal role in providing professional support (from the hospital side) for Clinical Research Organizations and clinical trials sponsors (pharmaceutical companies) to foster negotiations, contracting and start of clinical trials (CT’s). </w:t>
            </w:r>
            <w:r w:rsidRPr="00E353D0">
              <w:rPr>
                <w:rFonts w:eastAsia="Calibri"/>
                <w:color w:val="FF0000"/>
                <w:lang w:val="en-US"/>
              </w:rPr>
              <w:t>In addition, existing Clinical Trial Support Centres will be given the opportunity to apply to receive funding for selected activities related to:</w:t>
            </w:r>
          </w:p>
          <w:p w14:paraId="13BB122A" w14:textId="77777777" w:rsidR="00DB00FD" w:rsidRPr="00AF3A31" w:rsidRDefault="00DB00FD" w:rsidP="001E2158">
            <w:pPr>
              <w:numPr>
                <w:ilvl w:val="0"/>
                <w:numId w:val="16"/>
              </w:numPr>
              <w:spacing w:after="120" w:line="240" w:lineRule="auto"/>
              <w:ind w:left="210" w:hanging="141"/>
              <w:jc w:val="left"/>
              <w:rPr>
                <w:rFonts w:eastAsia="Calibri"/>
                <w:color w:val="FF0000"/>
                <w:lang w:val="en"/>
              </w:rPr>
            </w:pPr>
            <w:r w:rsidRPr="00AF3A31">
              <w:rPr>
                <w:rFonts w:eastAsia="Calibri"/>
                <w:color w:val="FF0000"/>
                <w:lang w:val="en"/>
              </w:rPr>
              <w:t>education and training for at least 1 out of 3 recipient groups:</w:t>
            </w:r>
          </w:p>
          <w:p w14:paraId="0AB483DE" w14:textId="77777777" w:rsidR="00DB00FD" w:rsidRPr="00AF3A31" w:rsidRDefault="00DB00FD" w:rsidP="001E2158">
            <w:pPr>
              <w:spacing w:after="120" w:line="240" w:lineRule="auto"/>
              <w:ind w:left="210" w:hanging="141"/>
              <w:jc w:val="left"/>
              <w:rPr>
                <w:rFonts w:eastAsia="Calibri"/>
                <w:color w:val="FF0000"/>
                <w:lang w:val="en"/>
              </w:rPr>
            </w:pPr>
            <w:r w:rsidRPr="00AF3A31">
              <w:rPr>
                <w:rFonts w:eastAsia="Calibri"/>
                <w:color w:val="FF0000"/>
                <w:lang w:val="en"/>
              </w:rPr>
              <w:t>management teams, scientists and patients,</w:t>
            </w:r>
          </w:p>
          <w:p w14:paraId="4A338E60" w14:textId="77777777" w:rsidR="00DB00FD" w:rsidRPr="00AF3A31" w:rsidRDefault="00DB00FD" w:rsidP="001E2158">
            <w:pPr>
              <w:numPr>
                <w:ilvl w:val="0"/>
                <w:numId w:val="16"/>
              </w:numPr>
              <w:spacing w:after="120" w:line="240" w:lineRule="auto"/>
              <w:ind w:left="210" w:hanging="141"/>
              <w:jc w:val="left"/>
              <w:rPr>
                <w:rFonts w:eastAsia="Calibri"/>
                <w:color w:val="FF0000"/>
                <w:lang w:val="en"/>
              </w:rPr>
            </w:pPr>
            <w:r w:rsidRPr="00AF3A31">
              <w:rPr>
                <w:rFonts w:eastAsia="Calibri"/>
                <w:color w:val="FF0000"/>
                <w:lang w:val="en"/>
              </w:rPr>
              <w:lastRenderedPageBreak/>
              <w:t>preparing CTSC to carry out decentralized research (with the patient-centric approach),</w:t>
            </w:r>
          </w:p>
          <w:p w14:paraId="36E9D197" w14:textId="77777777" w:rsidR="00DB00FD" w:rsidRPr="00AF3A31" w:rsidRDefault="00DB00FD" w:rsidP="001E2158">
            <w:pPr>
              <w:numPr>
                <w:ilvl w:val="0"/>
                <w:numId w:val="16"/>
              </w:numPr>
              <w:spacing w:after="120" w:line="240" w:lineRule="auto"/>
              <w:ind w:left="210" w:hanging="141"/>
              <w:jc w:val="left"/>
              <w:rPr>
                <w:rFonts w:eastAsia="Calibri"/>
                <w:color w:val="FF0000"/>
                <w:lang w:val="en"/>
              </w:rPr>
            </w:pPr>
            <w:r w:rsidRPr="00AF3A31">
              <w:rPr>
                <w:rFonts w:eastAsia="Calibri"/>
                <w:color w:val="FF0000"/>
                <w:lang w:val="en"/>
              </w:rPr>
              <w:t>promoting clinical trials in society,</w:t>
            </w:r>
          </w:p>
          <w:p w14:paraId="431A6A18" w14:textId="77777777" w:rsidR="00DB00FD" w:rsidRPr="00AF3A31" w:rsidRDefault="00DB00FD" w:rsidP="001E2158">
            <w:pPr>
              <w:numPr>
                <w:ilvl w:val="0"/>
                <w:numId w:val="16"/>
              </w:numPr>
              <w:spacing w:after="120" w:line="240" w:lineRule="auto"/>
              <w:ind w:left="210" w:hanging="141"/>
              <w:jc w:val="left"/>
              <w:rPr>
                <w:rFonts w:eastAsia="Calibri"/>
                <w:color w:val="FF0000"/>
                <w:lang w:val="en"/>
              </w:rPr>
            </w:pPr>
            <w:r w:rsidRPr="00AF3A31">
              <w:rPr>
                <w:rFonts w:eastAsia="Calibri"/>
                <w:color w:val="FF0000"/>
                <w:lang w:val="en"/>
              </w:rPr>
              <w:t>development of IT systems,</w:t>
            </w:r>
          </w:p>
          <w:p w14:paraId="6764E532" w14:textId="77777777" w:rsidR="00DB00FD" w:rsidRPr="00AF3A31" w:rsidRDefault="00DB00FD" w:rsidP="001E2158">
            <w:pPr>
              <w:numPr>
                <w:ilvl w:val="0"/>
                <w:numId w:val="16"/>
              </w:numPr>
              <w:spacing w:after="120" w:line="240" w:lineRule="auto"/>
              <w:ind w:left="210" w:hanging="141"/>
              <w:jc w:val="left"/>
              <w:rPr>
                <w:rFonts w:eastAsia="Calibri"/>
                <w:color w:val="FF0000"/>
                <w:lang w:val="en"/>
              </w:rPr>
            </w:pPr>
            <w:r w:rsidRPr="00AF3A31">
              <w:rPr>
                <w:rFonts w:eastAsia="Calibri"/>
                <w:color w:val="FF0000"/>
                <w:lang w:val="en"/>
              </w:rPr>
              <w:t>modernization or adaptation of existing infrastructure,</w:t>
            </w:r>
          </w:p>
          <w:p w14:paraId="24B99E23" w14:textId="77777777" w:rsidR="00DB00FD" w:rsidRPr="00AF3A31" w:rsidRDefault="00DB00FD" w:rsidP="001E2158">
            <w:pPr>
              <w:numPr>
                <w:ilvl w:val="0"/>
                <w:numId w:val="16"/>
              </w:numPr>
              <w:spacing w:after="120" w:line="240" w:lineRule="auto"/>
              <w:ind w:left="210" w:hanging="141"/>
              <w:jc w:val="left"/>
              <w:rPr>
                <w:rFonts w:eastAsia="Calibri"/>
                <w:color w:val="FF0000"/>
                <w:lang w:val="en"/>
              </w:rPr>
            </w:pPr>
            <w:r w:rsidRPr="00AF3A31">
              <w:rPr>
                <w:rFonts w:eastAsia="Calibri"/>
                <w:color w:val="FF0000"/>
                <w:lang w:val="en"/>
              </w:rPr>
              <w:t>designing new processes, procedures and modifying the organizational structure in institutions and employees remuneration.</w:t>
            </w:r>
          </w:p>
          <w:p w14:paraId="7FF45890" w14:textId="77777777" w:rsidR="00DB00FD" w:rsidRPr="00AF3A31" w:rsidRDefault="00DB00FD" w:rsidP="001E2158">
            <w:pPr>
              <w:spacing w:after="120" w:line="240" w:lineRule="auto"/>
              <w:contextualSpacing/>
              <w:jc w:val="left"/>
              <w:rPr>
                <w:rFonts w:eastAsia="Calibri"/>
                <w:lang w:val="en"/>
              </w:rPr>
            </w:pPr>
            <w:r w:rsidRPr="00AF3A31">
              <w:rPr>
                <w:rFonts w:eastAsia="Calibri"/>
                <w:lang w:val="en"/>
              </w:rPr>
              <w:t xml:space="preserve">Each grant agreement shall include the amount </w:t>
            </w:r>
            <w:r w:rsidRPr="008F19AE">
              <w:rPr>
                <w:rFonts w:eastAsia="Calibri"/>
                <w:color w:val="FF0000"/>
                <w:lang w:val="en"/>
              </w:rPr>
              <w:t xml:space="preserve">granted </w:t>
            </w:r>
            <w:r w:rsidRPr="00AF3A31">
              <w:rPr>
                <w:rFonts w:eastAsia="Calibri"/>
                <w:lang w:val="en"/>
              </w:rPr>
              <w:t>and the details of the project.</w:t>
            </w:r>
          </w:p>
        </w:tc>
      </w:tr>
      <w:tr w:rsidR="00DB00FD" w:rsidRPr="003C0C8F" w14:paraId="36FD8D48" w14:textId="77777777" w:rsidTr="00A501D9">
        <w:tc>
          <w:tcPr>
            <w:tcW w:w="1188" w:type="pct"/>
          </w:tcPr>
          <w:p w14:paraId="1AB909E1" w14:textId="77777777" w:rsidR="00DB00FD" w:rsidRPr="00AF3A31" w:rsidRDefault="00DB00FD" w:rsidP="001E2158">
            <w:pPr>
              <w:spacing w:after="120" w:line="240" w:lineRule="auto"/>
              <w:jc w:val="left"/>
              <w:rPr>
                <w:rFonts w:eastAsia="Calibri"/>
              </w:rPr>
            </w:pPr>
            <w:r w:rsidRPr="00AF3A31">
              <w:rPr>
                <w:rFonts w:eastAsia="Calibri"/>
              </w:rPr>
              <w:lastRenderedPageBreak/>
              <w:t>Uzasadnienie</w:t>
            </w:r>
          </w:p>
        </w:tc>
        <w:tc>
          <w:tcPr>
            <w:tcW w:w="3812" w:type="pct"/>
            <w:gridSpan w:val="2"/>
          </w:tcPr>
          <w:p w14:paraId="47BCAD71" w14:textId="77777777" w:rsidR="00DB00FD" w:rsidRDefault="00DB00FD" w:rsidP="001E2158">
            <w:pPr>
              <w:spacing w:after="0" w:line="240" w:lineRule="auto"/>
              <w:jc w:val="left"/>
              <w:rPr>
                <w:rFonts w:eastAsia="Calibri"/>
              </w:rPr>
            </w:pPr>
            <w:r w:rsidRPr="00AF3A31">
              <w:rPr>
                <w:rFonts w:eastAsia="Calibri"/>
              </w:rPr>
              <w:t>D35G</w:t>
            </w:r>
            <w:r>
              <w:rPr>
                <w:rFonts w:eastAsia="Calibri"/>
              </w:rPr>
              <w:t>, D36G</w:t>
            </w:r>
          </w:p>
          <w:p w14:paraId="2C56A470" w14:textId="77777777" w:rsidR="00DB00FD" w:rsidRPr="00AF3A31" w:rsidRDefault="00DB00FD" w:rsidP="001E2158">
            <w:pPr>
              <w:spacing w:after="120" w:line="240" w:lineRule="auto"/>
              <w:jc w:val="left"/>
              <w:rPr>
                <w:rFonts w:eastAsia="Calibri"/>
              </w:rPr>
            </w:pPr>
            <w:r w:rsidRPr="00AF3A31">
              <w:rPr>
                <w:rFonts w:eastAsia="Calibri"/>
              </w:rPr>
              <w:t>Proponowane zmiany podyktowane są obiektywnymi przesłankami wynikającymi z uwarunkowań rynkowych</w:t>
            </w:r>
            <w:r>
              <w:rPr>
                <w:rFonts w:eastAsia="Calibri"/>
              </w:rPr>
              <w:t>,</w:t>
            </w:r>
            <w:r w:rsidRPr="00AF3A31">
              <w:rPr>
                <w:rFonts w:eastAsia="Calibri"/>
              </w:rPr>
              <w:t xml:space="preserve"> niższego popytu na granty niż pierwotnie zakładano i dłuższych procedur zamówień publicznych. </w:t>
            </w:r>
          </w:p>
          <w:p w14:paraId="12EF351B" w14:textId="77777777" w:rsidR="00DB00FD" w:rsidRPr="00AF3A31" w:rsidRDefault="00DB00FD" w:rsidP="001E2158">
            <w:pPr>
              <w:spacing w:after="120" w:line="240" w:lineRule="auto"/>
              <w:jc w:val="left"/>
              <w:rPr>
                <w:rFonts w:eastAsia="Calibri"/>
              </w:rPr>
            </w:pPr>
            <w:r w:rsidRPr="00AF3A31">
              <w:rPr>
                <w:rFonts w:eastAsia="Calibri"/>
              </w:rPr>
              <w:t xml:space="preserve">Zmiany w zakresie wartości wskaźnika związane są ze zbyt krótkim czasem na realizację projektów badawczych. Pierwotnie założenia dotyczyły bowiem projektów długoterminowych (kilkuletnich) z elementami komercjalizacji wyników badań naukowych i prac rozwojowych lub prowadzeniem badań klinicznych. </w:t>
            </w:r>
          </w:p>
          <w:p w14:paraId="7DD50D2B" w14:textId="77777777" w:rsidR="00DB00FD" w:rsidRPr="00AF3A31" w:rsidRDefault="00DB00FD" w:rsidP="001E2158">
            <w:pPr>
              <w:spacing w:after="120" w:line="240" w:lineRule="auto"/>
              <w:jc w:val="left"/>
              <w:rPr>
                <w:rFonts w:eastAsia="Calibri"/>
              </w:rPr>
            </w:pPr>
            <w:r w:rsidRPr="00AF3A31">
              <w:rPr>
                <w:rFonts w:eastAsia="Calibri"/>
              </w:rPr>
              <w:t xml:space="preserve">W związku z powyższym proponowane jest ograniczenie nie tylko liczby projektów dla jednostek naukowych i przedsiębiorstw do 50 (tj. liczba projektów refinansowanych i projektów wyłonionych w drodze konkursu), ale również czasu trwania projektów realizowanych przez naukowców i zespoły badawcze oraz przedsiębiorców do max. 18 miesięcy, przy czym ze względu na wysoki poziom inflacji (wzrost kosztów materiałów, surowców, kadry) w ostatnich latach zwiększony zostanie budżet per projekt. </w:t>
            </w:r>
          </w:p>
          <w:p w14:paraId="71672BF2" w14:textId="77777777" w:rsidR="00DB00FD" w:rsidRDefault="00DB00FD" w:rsidP="001E2158">
            <w:pPr>
              <w:spacing w:after="0" w:line="240" w:lineRule="auto"/>
              <w:jc w:val="left"/>
              <w:rPr>
                <w:rFonts w:eastAsia="Calibri"/>
              </w:rPr>
            </w:pPr>
          </w:p>
          <w:p w14:paraId="1E0DD089" w14:textId="77777777" w:rsidR="00DB00FD" w:rsidRPr="00AF3A31" w:rsidRDefault="00DB00FD" w:rsidP="001E2158">
            <w:pPr>
              <w:spacing w:after="120" w:line="240" w:lineRule="auto"/>
              <w:jc w:val="left"/>
              <w:rPr>
                <w:rFonts w:eastAsia="Calibri"/>
              </w:rPr>
            </w:pPr>
            <w:r w:rsidRPr="00AF3A31">
              <w:rPr>
                <w:rFonts w:eastAsia="Calibri"/>
              </w:rPr>
              <w:t>D37G</w:t>
            </w:r>
          </w:p>
          <w:p w14:paraId="6497506A" w14:textId="72418B34" w:rsidR="00DB00FD" w:rsidRPr="00AF3A31" w:rsidRDefault="00DB00FD" w:rsidP="001E2158">
            <w:pPr>
              <w:spacing w:after="120" w:line="240" w:lineRule="auto"/>
              <w:jc w:val="left"/>
              <w:rPr>
                <w:rFonts w:eastAsia="Calibri"/>
              </w:rPr>
            </w:pPr>
            <w:r w:rsidRPr="00AF3A31">
              <w:rPr>
                <w:rFonts w:eastAsia="Calibri"/>
              </w:rPr>
              <w:t>Argumentem za zmniejszeniem wartości wskaźnika jest to, że pandemia COVID-19 wpłynęła na obszar badań klinicznych nie tylko w obszarach finansowych, ale też zmieniła podejście badaczy i pozostałego personelu do ich prowadzenia. W wyniku procesu zmian w ostatnich latach badania są prowadzone z sposób zdecentralizowany, skoncentrowany na pacjencie. Zmniejszyła się potrzeba osobistych wizyt w ośrodkach, wiele czynności prowadzonych jest przy użyciu rozwiązań telemedycznych. Zdecentralizowane badania kliniczne odnoszą się do strategii prowadzenia badań klinicznych, w których część lub wszystkie etapy procesu badawczego odbywają się poza tradycyjnymi placówkami badawczymi, takimi jak szpitale czy ośrodki badawcze. W porównaniu z tradycyjnymi badaniami klinicznymi, ZBK wykorzystują technologie cyfrowe i zdalne monitorowanie, co może przyczynić się do zwiększenia dostępności, obniżenia kosztów oraz zwiększenia wygody zarówno dla pacjentów, jak i badaczy.</w:t>
            </w:r>
          </w:p>
          <w:p w14:paraId="1BF4D2CB" w14:textId="77777777" w:rsidR="00DB00FD" w:rsidRPr="00B3034F" w:rsidRDefault="00DB00FD" w:rsidP="001E2158">
            <w:pPr>
              <w:spacing w:after="0" w:line="240" w:lineRule="auto"/>
              <w:jc w:val="left"/>
              <w:rPr>
                <w:rFonts w:eastAsia="Calibri"/>
              </w:rPr>
            </w:pPr>
            <w:r w:rsidRPr="00B3034F">
              <w:rPr>
                <w:rFonts w:eastAsia="Calibri"/>
              </w:rPr>
              <w:t>Realizacja zaproponowanego rozwiązania jest lepszą alternatywą dla realizacji, gdyż pozwoli na stworzenie finalnie krajowej sieci CWBK w liczbie 33. Będą one stwarzać warunki do stabilnego zatrudnienia dla wysoko wykwalifikowanej kadry specjalizującej się w badaniach klinicznych prowadzonych w kraju. Liczba podmiotów objętych wsparciem zgodnie z nowymi założeniami pozwoli na bardziej efektywne  wydatkowanie środków oraz przyniesie wymierną korzyść dla systemu opieki zdrowotnej. Nastąpi zwiększenie dostępności do badań kli</w:t>
            </w:r>
            <w:r>
              <w:rPr>
                <w:rFonts w:eastAsia="Calibri"/>
              </w:rPr>
              <w:t>ni</w:t>
            </w:r>
            <w:r w:rsidRPr="00B3034F">
              <w:rPr>
                <w:rFonts w:eastAsia="Calibri"/>
              </w:rPr>
              <w:t>cznych dla polskich pacjentów. Zapro</w:t>
            </w:r>
            <w:r>
              <w:rPr>
                <w:rFonts w:eastAsia="Calibri"/>
              </w:rPr>
              <w:t>po</w:t>
            </w:r>
            <w:r w:rsidRPr="00B3034F">
              <w:rPr>
                <w:rFonts w:eastAsia="Calibri"/>
              </w:rPr>
              <w:t xml:space="preserve">nowana liczba CWBK wynika z analizy chłonności rynku badań klinicznych przy maksymalizacji wykorzystania zasobów osobowych i technicznych tych centrów.  </w:t>
            </w:r>
          </w:p>
          <w:p w14:paraId="1A4778E2" w14:textId="77777777" w:rsidR="00DB00FD" w:rsidRPr="00B3034F" w:rsidRDefault="00DB00FD" w:rsidP="001E2158">
            <w:pPr>
              <w:spacing w:after="0" w:line="240" w:lineRule="auto"/>
              <w:jc w:val="left"/>
              <w:rPr>
                <w:rFonts w:eastAsia="Calibri"/>
              </w:rPr>
            </w:pPr>
          </w:p>
          <w:p w14:paraId="42F5465A" w14:textId="77777777" w:rsidR="00DB00FD" w:rsidRPr="00B3034F" w:rsidRDefault="00DB00FD" w:rsidP="001E2158">
            <w:pPr>
              <w:spacing w:after="0" w:line="240" w:lineRule="auto"/>
              <w:jc w:val="left"/>
              <w:rPr>
                <w:rFonts w:eastAsia="Calibri"/>
              </w:rPr>
            </w:pPr>
            <w:r w:rsidRPr="00B3034F">
              <w:rPr>
                <w:rFonts w:eastAsia="Calibri"/>
              </w:rPr>
              <w:t xml:space="preserve">ABM przewiduje w perspektywie 5-letniej wzrost średniej liczby rejestrowanych badań do 700 rocznie (rok 2029), natomiast w perspektywie 10-letniej do 800 rocznie (rok 2034). Wartości zostały obliczone w oparciu o dane statystyczne publikowane przez Urząd Rejestracji Produktów Leczniczych, Wyrobów Medycznych i Produktów Biobójczych. Aktualnie CWBK prowadzą średnio 56 badań klinicznych (dane wewnętrzne ABM, pozyskane z raportów i zapytań do CWBK). Utrzymując analogiczne zaangażowanie w rynek (~46%) jeden ośrodek powinien średnio prowadzić 61 badań klinicznych w 2034 roku. Stanowi to wzrost o 8,9% wobec aktualnej uśrednionej wartości. 33 jednostki działające na terenie Polski będą miały wystarczające zasoby do utrzymania płynności finansowej ze względu na wystarczającą liczbę badań klinicznych prowadzonych w Polsce. </w:t>
            </w:r>
          </w:p>
          <w:p w14:paraId="5698B2C6" w14:textId="77777777" w:rsidR="00DB00FD" w:rsidRPr="00B3034F" w:rsidRDefault="00DB00FD" w:rsidP="001E2158">
            <w:pPr>
              <w:spacing w:after="0" w:line="240" w:lineRule="auto"/>
              <w:jc w:val="left"/>
              <w:rPr>
                <w:rFonts w:eastAsia="Calibri"/>
              </w:rPr>
            </w:pPr>
          </w:p>
          <w:p w14:paraId="3B0F4C18" w14:textId="77777777" w:rsidR="00DB00FD" w:rsidRPr="00B3034F" w:rsidRDefault="00DB00FD" w:rsidP="001E2158">
            <w:pPr>
              <w:spacing w:after="0" w:line="240" w:lineRule="auto"/>
              <w:jc w:val="left"/>
              <w:rPr>
                <w:rFonts w:eastAsia="Calibri"/>
              </w:rPr>
            </w:pPr>
            <w:r w:rsidRPr="00B3034F">
              <w:rPr>
                <w:rFonts w:eastAsia="Calibri"/>
              </w:rPr>
              <w:t xml:space="preserve">Planowane w ramach KPO inwestycje w obszarze badań klinicznych będą dotyczyć prawie 85% funkcjonujących w sieci podmiotów. </w:t>
            </w:r>
          </w:p>
          <w:p w14:paraId="54E6F95A" w14:textId="77777777" w:rsidR="00DB00FD" w:rsidRPr="00B3034F" w:rsidRDefault="00DB00FD" w:rsidP="001E2158">
            <w:pPr>
              <w:spacing w:after="0" w:line="240" w:lineRule="auto"/>
              <w:jc w:val="left"/>
              <w:rPr>
                <w:rFonts w:eastAsia="Calibri"/>
              </w:rPr>
            </w:pPr>
            <w:r w:rsidRPr="00B3034F">
              <w:rPr>
                <w:rFonts w:eastAsia="Calibri"/>
              </w:rPr>
              <w:t xml:space="preserve">Trzydzieści trzy jednostki będą: </w:t>
            </w:r>
          </w:p>
          <w:p w14:paraId="3BF8DA39" w14:textId="77777777" w:rsidR="00DB00FD" w:rsidRPr="00B3034F" w:rsidRDefault="00DB00FD" w:rsidP="00A501D9">
            <w:pPr>
              <w:pStyle w:val="Akapitzlist"/>
              <w:numPr>
                <w:ilvl w:val="0"/>
                <w:numId w:val="44"/>
              </w:numPr>
              <w:spacing w:after="0" w:line="240" w:lineRule="auto"/>
              <w:ind w:left="528" w:hanging="425"/>
              <w:jc w:val="left"/>
              <w:rPr>
                <w:rFonts w:eastAsia="Calibri"/>
              </w:rPr>
            </w:pPr>
            <w:r w:rsidRPr="00B3034F">
              <w:rPr>
                <w:rFonts w:eastAsia="Calibri"/>
              </w:rPr>
              <w:t>stanowić miejsce wdrażania i rozwijania nowoczesnych mechanizmów realizacji zdecentralizowanych, hybrydowych i innych badań klinicznych,</w:t>
            </w:r>
          </w:p>
          <w:p w14:paraId="54D87F18" w14:textId="77777777" w:rsidR="00DB00FD" w:rsidRPr="00B3034F" w:rsidRDefault="00DB00FD" w:rsidP="00A501D9">
            <w:pPr>
              <w:pStyle w:val="Akapitzlist"/>
              <w:numPr>
                <w:ilvl w:val="0"/>
                <w:numId w:val="44"/>
              </w:numPr>
              <w:spacing w:after="0" w:line="240" w:lineRule="auto"/>
              <w:ind w:left="528" w:hanging="425"/>
              <w:jc w:val="left"/>
              <w:rPr>
                <w:rFonts w:eastAsia="Calibri"/>
              </w:rPr>
            </w:pPr>
            <w:r w:rsidRPr="00B3034F">
              <w:rPr>
                <w:rFonts w:eastAsia="Calibri"/>
              </w:rPr>
              <w:t xml:space="preserve">posiadały bazy pacjentów umożliwiające prowadzenie skutecznej i szybkiej rekrutacji do badań klinicznych co korzystnie wpłynie na skrócenie czasu realizacji badania oraz w konsekwencji doprowadzi do poprawy postrzegania Polski na arenie międzynarodowej jako kraju posiadającego wystarczające zasoby kadrowe, techniczne i infrastrukturalne do realizacji międzynarodowych innowacyjnych projektów badawczych, </w:t>
            </w:r>
          </w:p>
          <w:p w14:paraId="10909303" w14:textId="77777777" w:rsidR="00DB00FD" w:rsidRPr="00B3034F" w:rsidRDefault="00DB00FD" w:rsidP="00A501D9">
            <w:pPr>
              <w:pStyle w:val="Akapitzlist"/>
              <w:numPr>
                <w:ilvl w:val="0"/>
                <w:numId w:val="44"/>
              </w:numPr>
              <w:spacing w:after="0" w:line="240" w:lineRule="auto"/>
              <w:ind w:left="528" w:hanging="425"/>
              <w:jc w:val="left"/>
              <w:rPr>
                <w:rFonts w:eastAsia="Calibri"/>
              </w:rPr>
            </w:pPr>
            <w:r w:rsidRPr="00B3034F">
              <w:rPr>
                <w:rFonts w:eastAsia="Calibri"/>
              </w:rPr>
              <w:t>stanowić miejsce rozwoju naukowego, dzięki czemu badacze i naukowcy mogą prowadzić niekomercyjne badania kliniczne oraz weryfikować swoje założenia badawcze co korzystnie wpływa na środowisko medyczne poprzez optymalizowanie procesu leczenia lub aktualizowanie wytycznych. Niekomercyjne badania klinicznie, są również bardzo ważne dla systemu refundacyjnego ponieważ pozwalają porównywać stosowane terapie oraz wskazywać te bardziej opłacalne zarówno do pacjenta jak i płatnika,</w:t>
            </w:r>
          </w:p>
          <w:p w14:paraId="1564A505" w14:textId="77777777" w:rsidR="00DB00FD" w:rsidRPr="003E6212" w:rsidRDefault="00DB00FD" w:rsidP="00A501D9">
            <w:pPr>
              <w:pStyle w:val="Akapitzlist"/>
              <w:numPr>
                <w:ilvl w:val="0"/>
                <w:numId w:val="44"/>
              </w:numPr>
              <w:spacing w:after="0" w:line="240" w:lineRule="auto"/>
              <w:ind w:left="528" w:hanging="425"/>
              <w:jc w:val="left"/>
              <w:rPr>
                <w:rFonts w:eastAsia="Calibri"/>
              </w:rPr>
            </w:pPr>
            <w:r w:rsidRPr="00B3034F">
              <w:rPr>
                <w:rFonts w:eastAsia="Calibri"/>
              </w:rPr>
              <w:t>zintegrowaną polską siecią badań klinicznych pozwalającą na  optymalizowanie kosztów prowadzenia badań klinicznych, zarówno w zakresie zarządzania badaniem, jak i monitorowania działań poszczególnych ośrodków.</w:t>
            </w:r>
          </w:p>
          <w:p w14:paraId="511B7CDE" w14:textId="77777777" w:rsidR="00DB00FD" w:rsidRPr="00B3034F" w:rsidRDefault="00DB00FD" w:rsidP="00A501D9">
            <w:pPr>
              <w:spacing w:after="0" w:line="240" w:lineRule="auto"/>
              <w:ind w:left="528" w:hanging="425"/>
              <w:jc w:val="left"/>
              <w:rPr>
                <w:rFonts w:eastAsia="Calibri"/>
              </w:rPr>
            </w:pPr>
          </w:p>
          <w:p w14:paraId="26923880" w14:textId="77777777" w:rsidR="00DB00FD" w:rsidRPr="00B3034F" w:rsidRDefault="00DB00FD" w:rsidP="001E2158">
            <w:pPr>
              <w:spacing w:after="0" w:line="240" w:lineRule="auto"/>
              <w:jc w:val="left"/>
              <w:rPr>
                <w:rFonts w:eastAsia="Calibri"/>
              </w:rPr>
            </w:pPr>
            <w:r w:rsidRPr="00B3034F">
              <w:rPr>
                <w:rFonts w:eastAsia="Calibri"/>
              </w:rPr>
              <w:t xml:space="preserve">Wsparcie 18 CWBK zamiast tworzenia nowych jest lepszym rozwiązaniem ponieważ pozwala na rozwój ośrodków posiadających  już pewne kompetencje. Pozwali to na poszerzenie zakresu działalności, otworzenie się na nowe obszary badawcze oraz zwiększy dostępność do badań klinicznych wśród pacjentów. Ponadto wsparte CWBK w ramach realizacji projektów będą miały promować badania kliniczne i edukować społeczeństwo/pacjentów.  </w:t>
            </w:r>
          </w:p>
          <w:p w14:paraId="528E56E6" w14:textId="77777777" w:rsidR="00DB00FD" w:rsidRPr="00B3034F" w:rsidRDefault="00DB00FD" w:rsidP="001E2158">
            <w:pPr>
              <w:spacing w:after="0" w:line="240" w:lineRule="auto"/>
              <w:jc w:val="left"/>
              <w:rPr>
                <w:rFonts w:eastAsia="Calibri"/>
              </w:rPr>
            </w:pPr>
          </w:p>
          <w:p w14:paraId="39A88B93" w14:textId="77777777" w:rsidR="00DB00FD" w:rsidRPr="00B3034F" w:rsidRDefault="00DB00FD" w:rsidP="001E2158">
            <w:pPr>
              <w:spacing w:after="120" w:line="240" w:lineRule="auto"/>
              <w:jc w:val="left"/>
              <w:rPr>
                <w:rFonts w:eastAsia="Calibri"/>
              </w:rPr>
            </w:pPr>
            <w:r w:rsidRPr="00B3034F">
              <w:rPr>
                <w:rFonts w:eastAsia="Calibri"/>
              </w:rPr>
              <w:t>Podsumowując docelowo struktura w Polsce mają działać 33 CWBK z czego:</w:t>
            </w:r>
          </w:p>
          <w:p w14:paraId="11FF4DF6" w14:textId="77777777" w:rsidR="00DB00FD" w:rsidRPr="00B3034F" w:rsidRDefault="00DB00FD" w:rsidP="001E2158">
            <w:pPr>
              <w:pStyle w:val="Akapitzlist"/>
              <w:numPr>
                <w:ilvl w:val="0"/>
                <w:numId w:val="33"/>
              </w:numPr>
              <w:spacing w:after="120" w:line="240" w:lineRule="auto"/>
              <w:jc w:val="left"/>
              <w:rPr>
                <w:rFonts w:eastAsia="Calibri"/>
              </w:rPr>
            </w:pPr>
            <w:r w:rsidRPr="00B3034F">
              <w:rPr>
                <w:rFonts w:eastAsia="Calibri"/>
              </w:rPr>
              <w:t>10 - wartość bazowa – liczba aktualnie funkcjonujących CWBK</w:t>
            </w:r>
          </w:p>
          <w:p w14:paraId="0A5E9BC1" w14:textId="77777777" w:rsidR="00DB00FD" w:rsidRPr="00B3034F" w:rsidRDefault="00DB00FD" w:rsidP="001E2158">
            <w:pPr>
              <w:pStyle w:val="Akapitzlist"/>
              <w:numPr>
                <w:ilvl w:val="0"/>
                <w:numId w:val="33"/>
              </w:numPr>
              <w:spacing w:after="120" w:line="240" w:lineRule="auto"/>
              <w:jc w:val="left"/>
              <w:rPr>
                <w:rFonts w:eastAsia="Calibri"/>
              </w:rPr>
            </w:pPr>
            <w:r w:rsidRPr="00B3034F">
              <w:rPr>
                <w:rFonts w:eastAsia="Calibri"/>
              </w:rPr>
              <w:t>13 - utworzone ze środków krajowych – w trakcie realizacji</w:t>
            </w:r>
          </w:p>
          <w:p w14:paraId="6A89F63B" w14:textId="77777777" w:rsidR="00DB00FD" w:rsidRPr="00B3034F" w:rsidRDefault="00DB00FD" w:rsidP="001E2158">
            <w:pPr>
              <w:pStyle w:val="Akapitzlist"/>
              <w:numPr>
                <w:ilvl w:val="0"/>
                <w:numId w:val="33"/>
              </w:numPr>
              <w:spacing w:after="120" w:line="240" w:lineRule="auto"/>
              <w:jc w:val="left"/>
              <w:rPr>
                <w:rFonts w:eastAsia="Calibri"/>
              </w:rPr>
            </w:pPr>
            <w:r w:rsidRPr="00B3034F">
              <w:rPr>
                <w:rFonts w:eastAsia="Calibri"/>
              </w:rPr>
              <w:t>10 - utworzone ze środków europejskich (KPO)</w:t>
            </w:r>
          </w:p>
          <w:p w14:paraId="49B81B56" w14:textId="77777777" w:rsidR="00DB00FD" w:rsidRPr="003E6212" w:rsidRDefault="00DB00FD" w:rsidP="001E2158">
            <w:pPr>
              <w:spacing w:after="120" w:line="240" w:lineRule="auto"/>
              <w:jc w:val="left"/>
              <w:rPr>
                <w:rFonts w:eastAsia="Calibri"/>
              </w:rPr>
            </w:pPr>
            <w:r w:rsidRPr="00B3034F">
              <w:rPr>
                <w:rFonts w:eastAsia="Calibri"/>
              </w:rPr>
              <w:t>W ramach KPO powstanie co najmniej 10 nowych CWBK oraz wspartych zostanie co najmniej 18 istniejących CWBK utworzonych ze środków krajowych wybranych na drodze naboru.</w:t>
            </w:r>
          </w:p>
        </w:tc>
      </w:tr>
      <w:tr w:rsidR="00DB00FD" w:rsidRPr="00AF3A31" w14:paraId="24A56342" w14:textId="77777777" w:rsidTr="00A501D9">
        <w:tc>
          <w:tcPr>
            <w:tcW w:w="1188" w:type="pct"/>
          </w:tcPr>
          <w:p w14:paraId="3821D13B" w14:textId="77777777" w:rsidR="00DB00FD" w:rsidRPr="00AF3A31" w:rsidRDefault="00DB00FD" w:rsidP="001E2158">
            <w:pPr>
              <w:spacing w:after="120" w:line="240" w:lineRule="auto"/>
              <w:jc w:val="left"/>
              <w:rPr>
                <w:rFonts w:eastAsia="Calibri"/>
              </w:rPr>
            </w:pPr>
            <w:r w:rsidRPr="00AF3A31">
              <w:rPr>
                <w:rFonts w:eastAsia="Calibri"/>
              </w:rPr>
              <w:lastRenderedPageBreak/>
              <w:t>Szacowany koszt</w:t>
            </w:r>
          </w:p>
        </w:tc>
        <w:tc>
          <w:tcPr>
            <w:tcW w:w="3812" w:type="pct"/>
            <w:gridSpan w:val="2"/>
          </w:tcPr>
          <w:p w14:paraId="0464A89E" w14:textId="77777777" w:rsidR="00DB00FD" w:rsidRPr="00AF3A31" w:rsidRDefault="00DB00FD" w:rsidP="001E2158">
            <w:pPr>
              <w:spacing w:after="120" w:line="240" w:lineRule="auto"/>
              <w:jc w:val="left"/>
              <w:rPr>
                <w:rFonts w:eastAsia="Calibri"/>
                <w:b/>
                <w:bCs/>
              </w:rPr>
            </w:pPr>
            <w:r w:rsidRPr="00AF3A31">
              <w:rPr>
                <w:rFonts w:eastAsia="Calibri"/>
              </w:rPr>
              <w:t xml:space="preserve">Zmiana nie ma wpływu na szacowany koszt </w:t>
            </w:r>
          </w:p>
        </w:tc>
      </w:tr>
      <w:tr w:rsidR="00DB00FD" w:rsidRPr="00AF3A31" w14:paraId="409BC8EB" w14:textId="77777777" w:rsidTr="00A501D9">
        <w:tc>
          <w:tcPr>
            <w:tcW w:w="1188" w:type="pct"/>
          </w:tcPr>
          <w:p w14:paraId="77DD94BE" w14:textId="77777777" w:rsidR="00DB00FD" w:rsidRPr="00AF3A31" w:rsidRDefault="00DB00FD" w:rsidP="001E2158">
            <w:pPr>
              <w:spacing w:after="120" w:line="240" w:lineRule="auto"/>
              <w:jc w:val="left"/>
              <w:rPr>
                <w:rFonts w:eastAsia="Calibri"/>
              </w:rPr>
            </w:pPr>
            <w:r w:rsidRPr="00AF3A31">
              <w:rPr>
                <w:rFonts w:eastAsia="Calibri"/>
              </w:rPr>
              <w:t xml:space="preserve">Cyfrowy i klimatyczny tagging </w:t>
            </w:r>
          </w:p>
        </w:tc>
        <w:tc>
          <w:tcPr>
            <w:tcW w:w="3812" w:type="pct"/>
            <w:gridSpan w:val="2"/>
          </w:tcPr>
          <w:p w14:paraId="0AA03EF4" w14:textId="77777777" w:rsidR="00DB00FD" w:rsidRPr="00AF3A31" w:rsidRDefault="00DB00FD" w:rsidP="001E2158">
            <w:pPr>
              <w:spacing w:after="120" w:line="240" w:lineRule="auto"/>
              <w:jc w:val="left"/>
              <w:rPr>
                <w:rFonts w:eastAsia="Calibri"/>
              </w:rPr>
            </w:pPr>
            <w:r w:rsidRPr="00AF3A31">
              <w:rPr>
                <w:rFonts w:eastAsia="Calibri"/>
              </w:rPr>
              <w:t>Zmiana nie ma wpływu na tagging klimatyczny i cyfrowy</w:t>
            </w:r>
          </w:p>
        </w:tc>
      </w:tr>
      <w:tr w:rsidR="00DB00FD" w:rsidRPr="00AF3A31" w14:paraId="19149AF2" w14:textId="77777777" w:rsidTr="00A501D9">
        <w:tc>
          <w:tcPr>
            <w:tcW w:w="1188" w:type="pct"/>
            <w:tcBorders>
              <w:bottom w:val="single" w:sz="4" w:space="0" w:color="auto"/>
            </w:tcBorders>
          </w:tcPr>
          <w:p w14:paraId="3377B4A4" w14:textId="77777777" w:rsidR="00DB00FD" w:rsidRPr="00AF3A31" w:rsidRDefault="00DB00FD" w:rsidP="001E2158">
            <w:pPr>
              <w:spacing w:after="120" w:line="240" w:lineRule="auto"/>
              <w:jc w:val="left"/>
              <w:rPr>
                <w:rFonts w:eastAsia="Calibri"/>
              </w:rPr>
            </w:pPr>
            <w:r w:rsidRPr="00AF3A31">
              <w:rPr>
                <w:rFonts w:eastAsia="Calibri"/>
              </w:rPr>
              <w:t xml:space="preserve">Zasada DNSH </w:t>
            </w:r>
          </w:p>
        </w:tc>
        <w:tc>
          <w:tcPr>
            <w:tcW w:w="3812" w:type="pct"/>
            <w:gridSpan w:val="2"/>
            <w:tcBorders>
              <w:bottom w:val="single" w:sz="4" w:space="0" w:color="auto"/>
            </w:tcBorders>
          </w:tcPr>
          <w:p w14:paraId="1259C62E" w14:textId="77777777" w:rsidR="00DB00FD" w:rsidRPr="00AF3A31" w:rsidRDefault="00DB00FD" w:rsidP="001E2158">
            <w:pPr>
              <w:spacing w:after="120" w:line="240" w:lineRule="auto"/>
              <w:jc w:val="left"/>
              <w:rPr>
                <w:rFonts w:eastAsia="Calibri"/>
              </w:rPr>
            </w:pPr>
            <w:r w:rsidRPr="00AF3A31">
              <w:rPr>
                <w:rFonts w:eastAsia="Calibri"/>
              </w:rPr>
              <w:t>Zmiana nie ma wpływu na DNSH</w:t>
            </w:r>
          </w:p>
        </w:tc>
      </w:tr>
      <w:tr w:rsidR="00DB00FD" w:rsidRPr="00AF3A31" w14:paraId="478C22B4" w14:textId="77777777" w:rsidTr="00A501D9">
        <w:tc>
          <w:tcPr>
            <w:tcW w:w="1188" w:type="pct"/>
            <w:tcBorders>
              <w:bottom w:val="single" w:sz="4" w:space="0" w:color="auto"/>
            </w:tcBorders>
          </w:tcPr>
          <w:p w14:paraId="4688ED49" w14:textId="77777777" w:rsidR="00DB00FD" w:rsidRPr="00AF3A31" w:rsidRDefault="00DB00FD" w:rsidP="001E2158">
            <w:pPr>
              <w:spacing w:after="120" w:line="240" w:lineRule="auto"/>
              <w:jc w:val="left"/>
              <w:rPr>
                <w:rFonts w:eastAsia="Calibri"/>
              </w:rPr>
            </w:pPr>
            <w:r w:rsidRPr="00AF3A31">
              <w:rPr>
                <w:rFonts w:eastAsia="Calibri"/>
              </w:rPr>
              <w:t xml:space="preserve">Pomoc publiczna </w:t>
            </w:r>
          </w:p>
        </w:tc>
        <w:tc>
          <w:tcPr>
            <w:tcW w:w="3812" w:type="pct"/>
            <w:gridSpan w:val="2"/>
            <w:tcBorders>
              <w:bottom w:val="single" w:sz="4" w:space="0" w:color="auto"/>
            </w:tcBorders>
          </w:tcPr>
          <w:p w14:paraId="0E03EC47" w14:textId="77777777" w:rsidR="00DB00FD" w:rsidRPr="00AF3A31" w:rsidRDefault="00DB00FD" w:rsidP="001E2158">
            <w:pPr>
              <w:spacing w:after="120" w:line="240" w:lineRule="auto"/>
              <w:jc w:val="left"/>
              <w:rPr>
                <w:rFonts w:eastAsia="Calibri"/>
              </w:rPr>
            </w:pPr>
            <w:r w:rsidRPr="00AF3A31">
              <w:rPr>
                <w:rFonts w:eastAsia="Calibri"/>
              </w:rPr>
              <w:t>Zmiana nie ma wpływu na pomoc publiczną</w:t>
            </w:r>
          </w:p>
        </w:tc>
      </w:tr>
    </w:tbl>
    <w:p w14:paraId="64BC11EB" w14:textId="77777777" w:rsidR="00D94758" w:rsidRPr="00E0193B" w:rsidRDefault="00D94758" w:rsidP="00D94758">
      <w:pPr>
        <w:spacing w:line="259" w:lineRule="auto"/>
        <w:jc w:val="left"/>
        <w:rPr>
          <w:rFonts w:eastAsia="Calibri"/>
          <w:b/>
          <w:bCs/>
        </w:rPr>
      </w:pPr>
    </w:p>
    <w:p w14:paraId="3B9AAC51" w14:textId="07C1638C" w:rsidR="00B72575" w:rsidRPr="00E0193B" w:rsidRDefault="00D94758" w:rsidP="00D94758">
      <w:pPr>
        <w:spacing w:line="259" w:lineRule="auto"/>
        <w:jc w:val="left"/>
        <w:rPr>
          <w:rFonts w:eastAsia="Calibri"/>
          <w:b/>
          <w:bCs/>
        </w:rPr>
      </w:pPr>
      <w:r w:rsidRPr="00E0193B">
        <w:rPr>
          <w:rFonts w:eastAsia="Calibri"/>
          <w:b/>
          <w:bCs/>
        </w:rPr>
        <w:t>Komponent E Zielona, inteligentna mobilność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3339"/>
        <w:gridCol w:w="3551"/>
      </w:tblGrid>
      <w:tr w:rsidR="00B72575" w:rsidRPr="00E0193B" w14:paraId="1D0DA795" w14:textId="77777777" w:rsidTr="002D1247">
        <w:tc>
          <w:tcPr>
            <w:tcW w:w="1179" w:type="pct"/>
          </w:tcPr>
          <w:p w14:paraId="2EC6C394" w14:textId="77777777" w:rsidR="00B72575" w:rsidRPr="00E0193B" w:rsidRDefault="00B72575" w:rsidP="00B72575">
            <w:pPr>
              <w:spacing w:after="120" w:line="240" w:lineRule="auto"/>
              <w:jc w:val="left"/>
              <w:rPr>
                <w:rFonts w:eastAsia="Calibri"/>
                <w:b/>
                <w:bCs/>
              </w:rPr>
            </w:pPr>
            <w:r w:rsidRPr="00E0193B">
              <w:rPr>
                <w:rFonts w:eastAsia="Calibri"/>
                <w:b/>
                <w:bCs/>
              </w:rPr>
              <w:t>Numer reformy</w:t>
            </w:r>
          </w:p>
        </w:tc>
        <w:tc>
          <w:tcPr>
            <w:tcW w:w="3821" w:type="pct"/>
            <w:gridSpan w:val="2"/>
          </w:tcPr>
          <w:p w14:paraId="1A49D218" w14:textId="77777777" w:rsidR="00B72575" w:rsidRPr="00E0193B" w:rsidRDefault="00B72575" w:rsidP="00B72575">
            <w:pPr>
              <w:spacing w:after="120" w:line="240" w:lineRule="auto"/>
              <w:jc w:val="left"/>
              <w:rPr>
                <w:rFonts w:eastAsia="Calibri"/>
                <w:b/>
                <w:bCs/>
              </w:rPr>
            </w:pPr>
            <w:r w:rsidRPr="00E0193B">
              <w:rPr>
                <w:rFonts w:eastAsia="Calibri"/>
                <w:b/>
                <w:bCs/>
                <w:lang w:val="en-GB"/>
              </w:rPr>
              <w:t xml:space="preserve">E1.1.                                 </w:t>
            </w:r>
          </w:p>
        </w:tc>
      </w:tr>
      <w:tr w:rsidR="00B72575" w:rsidRPr="00E0193B" w14:paraId="2526E99F" w14:textId="77777777" w:rsidTr="002D1247">
        <w:tc>
          <w:tcPr>
            <w:tcW w:w="1179" w:type="pct"/>
          </w:tcPr>
          <w:p w14:paraId="2FE2AFD5" w14:textId="77777777" w:rsidR="00B72575" w:rsidRPr="00E0193B" w:rsidRDefault="00B72575" w:rsidP="00B72575">
            <w:pPr>
              <w:spacing w:after="120" w:line="240" w:lineRule="auto"/>
              <w:jc w:val="left"/>
              <w:rPr>
                <w:rFonts w:eastAsia="Calibri"/>
                <w:b/>
                <w:bCs/>
                <w:lang w:val="en-GB"/>
              </w:rPr>
            </w:pPr>
            <w:r w:rsidRPr="00E0193B">
              <w:rPr>
                <w:rFonts w:eastAsia="Calibri"/>
                <w:b/>
                <w:bCs/>
                <w:lang w:val="en-GB"/>
              </w:rPr>
              <w:t>Nazwa reformy</w:t>
            </w:r>
            <w:r w:rsidRPr="00E0193B">
              <w:rPr>
                <w:rFonts w:eastAsia="Calibri"/>
                <w:lang w:val="en" w:eastAsia="pl-PL"/>
              </w:rPr>
              <w:t xml:space="preserve"> </w:t>
            </w:r>
          </w:p>
        </w:tc>
        <w:tc>
          <w:tcPr>
            <w:tcW w:w="3821" w:type="pct"/>
            <w:gridSpan w:val="2"/>
          </w:tcPr>
          <w:p w14:paraId="26805AC4" w14:textId="77777777" w:rsidR="00B72575" w:rsidRPr="00E0193B" w:rsidRDefault="00B72575" w:rsidP="00B72575">
            <w:pPr>
              <w:spacing w:after="120" w:line="240" w:lineRule="auto"/>
              <w:jc w:val="left"/>
              <w:rPr>
                <w:rFonts w:eastAsia="Calibri"/>
                <w:b/>
                <w:bCs/>
              </w:rPr>
            </w:pPr>
            <w:r w:rsidRPr="00E0193B">
              <w:rPr>
                <w:rFonts w:eastAsia="Calibri"/>
                <w:b/>
                <w:bCs/>
              </w:rPr>
              <w:t>Wzrost wykorzystania transportu przyjaznego dla środowiska</w:t>
            </w:r>
          </w:p>
        </w:tc>
      </w:tr>
      <w:tr w:rsidR="00B72575" w:rsidRPr="00E0193B" w14:paraId="76F776F6" w14:textId="77777777" w:rsidTr="002D1247">
        <w:tc>
          <w:tcPr>
            <w:tcW w:w="1179" w:type="pct"/>
            <w:shd w:val="clear" w:color="auto" w:fill="auto"/>
          </w:tcPr>
          <w:p w14:paraId="60DD3920" w14:textId="77777777" w:rsidR="00B72575" w:rsidRPr="00E0193B" w:rsidRDefault="00B72575" w:rsidP="00B72575">
            <w:pPr>
              <w:spacing w:after="120" w:line="240" w:lineRule="auto"/>
              <w:jc w:val="left"/>
              <w:rPr>
                <w:rFonts w:eastAsia="Calibri"/>
              </w:rPr>
            </w:pPr>
            <w:r w:rsidRPr="00E0193B">
              <w:rPr>
                <w:rFonts w:eastAsia="Calibri"/>
              </w:rPr>
              <w:t>Rodzaj wprowadzonej zmiany w odniesieniu do CID</w:t>
            </w:r>
          </w:p>
        </w:tc>
        <w:tc>
          <w:tcPr>
            <w:tcW w:w="3821" w:type="pct"/>
            <w:gridSpan w:val="2"/>
            <w:shd w:val="clear" w:color="auto" w:fill="auto"/>
          </w:tcPr>
          <w:p w14:paraId="21E55B97" w14:textId="202D0E1D" w:rsidR="00B72575" w:rsidRPr="00E0193B" w:rsidRDefault="00B72575" w:rsidP="00B72575">
            <w:pPr>
              <w:spacing w:after="120" w:line="240" w:lineRule="auto"/>
              <w:jc w:val="left"/>
              <w:rPr>
                <w:rFonts w:eastAsia="Calibri"/>
                <w:iCs/>
              </w:rPr>
            </w:pPr>
            <w:r w:rsidRPr="00E0193B">
              <w:rPr>
                <w:rFonts w:eastAsia="Calibri"/>
                <w:color w:val="000000"/>
                <w:lang w:eastAsia="pl-PL"/>
              </w:rPr>
              <w:t>Przesunięcie terminu realizacji i modyfikacja opisu kamienia milowego E1G i</w:t>
            </w:r>
            <w:r w:rsidR="002D1247" w:rsidRPr="00E0193B">
              <w:rPr>
                <w:rFonts w:eastAsia="Calibri"/>
                <w:color w:val="000000"/>
                <w:lang w:eastAsia="pl-PL"/>
              </w:rPr>
              <w:t xml:space="preserve"> </w:t>
            </w:r>
            <w:r w:rsidRPr="00E0193B">
              <w:rPr>
                <w:rFonts w:eastAsia="Calibri"/>
                <w:color w:val="000000"/>
                <w:lang w:eastAsia="pl-PL"/>
              </w:rPr>
              <w:t>kamienia milowego E4G</w:t>
            </w:r>
          </w:p>
        </w:tc>
      </w:tr>
      <w:tr w:rsidR="00B72575" w:rsidRPr="00E0193B" w14:paraId="29C5A963" w14:textId="77777777" w:rsidTr="002D1247">
        <w:tc>
          <w:tcPr>
            <w:tcW w:w="1179" w:type="pct"/>
            <w:shd w:val="clear" w:color="auto" w:fill="auto"/>
          </w:tcPr>
          <w:p w14:paraId="0E9BA3AC" w14:textId="77777777" w:rsidR="00B72575" w:rsidRPr="00E0193B" w:rsidRDefault="00B72575" w:rsidP="00B72575">
            <w:pPr>
              <w:spacing w:after="120" w:line="240" w:lineRule="auto"/>
              <w:jc w:val="left"/>
              <w:rPr>
                <w:rFonts w:eastAsia="Calibri"/>
                <w:lang w:val="en-GB"/>
              </w:rPr>
            </w:pPr>
            <w:r w:rsidRPr="00E0193B">
              <w:rPr>
                <w:rFonts w:eastAsia="Calibri"/>
                <w:lang w:val="en-GB"/>
              </w:rPr>
              <w:t>Podstawa prawna zmiany</w:t>
            </w:r>
          </w:p>
        </w:tc>
        <w:tc>
          <w:tcPr>
            <w:tcW w:w="3821" w:type="pct"/>
            <w:gridSpan w:val="2"/>
            <w:shd w:val="clear" w:color="auto" w:fill="auto"/>
          </w:tcPr>
          <w:p w14:paraId="03E2AAF8" w14:textId="77777777" w:rsidR="00B72575" w:rsidRPr="00E0193B" w:rsidRDefault="00B72575" w:rsidP="00B72575">
            <w:pPr>
              <w:spacing w:after="120" w:line="240" w:lineRule="auto"/>
              <w:jc w:val="left"/>
              <w:rPr>
                <w:rFonts w:eastAsia="Calibri"/>
              </w:rPr>
            </w:pPr>
            <w:r w:rsidRPr="00E0193B">
              <w:rPr>
                <w:rFonts w:eastAsia="Calibri"/>
              </w:rPr>
              <w:t>art. 21 rozporządzenia Parlamentu Europejskiego i Rady (UE) 2021/241 z dnia 12 lutego 2021 r. ustanawiające Instrument na rzecz Odbudowy i Zwiększania Odporności</w:t>
            </w:r>
          </w:p>
        </w:tc>
      </w:tr>
      <w:tr w:rsidR="00E71AA6" w:rsidRPr="00E0193B" w14:paraId="3E1023EA" w14:textId="77777777" w:rsidTr="002D1247">
        <w:tc>
          <w:tcPr>
            <w:tcW w:w="1179" w:type="pct"/>
            <w:shd w:val="clear" w:color="auto" w:fill="D9D9D9"/>
          </w:tcPr>
          <w:p w14:paraId="1F0004C6" w14:textId="77777777" w:rsidR="00B72575" w:rsidRPr="00E0193B" w:rsidRDefault="00B72575" w:rsidP="00B72575">
            <w:pPr>
              <w:spacing w:after="120" w:line="240" w:lineRule="auto"/>
              <w:jc w:val="left"/>
              <w:rPr>
                <w:rFonts w:eastAsia="Calibri"/>
                <w:highlight w:val="lightGray"/>
              </w:rPr>
            </w:pPr>
            <w:r w:rsidRPr="00E0193B">
              <w:rPr>
                <w:rFonts w:eastAsia="Calibri"/>
                <w:highlight w:val="lightGray"/>
              </w:rPr>
              <w:t>Modyfikowany element</w:t>
            </w:r>
          </w:p>
        </w:tc>
        <w:tc>
          <w:tcPr>
            <w:tcW w:w="1852" w:type="pct"/>
            <w:shd w:val="clear" w:color="auto" w:fill="D9D9D9"/>
          </w:tcPr>
          <w:p w14:paraId="5EC3D02F" w14:textId="77777777" w:rsidR="00B72575" w:rsidRPr="00E0193B" w:rsidRDefault="00B72575" w:rsidP="00B72575">
            <w:pPr>
              <w:spacing w:after="120" w:line="240" w:lineRule="auto"/>
              <w:jc w:val="left"/>
              <w:rPr>
                <w:rFonts w:eastAsia="Calibri"/>
                <w:highlight w:val="lightGray"/>
              </w:rPr>
            </w:pPr>
            <w:r w:rsidRPr="00E0193B">
              <w:rPr>
                <w:rFonts w:eastAsia="Calibri"/>
                <w:highlight w:val="lightGray"/>
              </w:rPr>
              <w:t>Bieżąca wersja</w:t>
            </w:r>
          </w:p>
          <w:p w14:paraId="19167404" w14:textId="77777777" w:rsidR="00B72575" w:rsidRPr="00E0193B" w:rsidRDefault="00B72575" w:rsidP="00B72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highlight w:val="lightGray"/>
              </w:rPr>
            </w:pPr>
          </w:p>
        </w:tc>
        <w:tc>
          <w:tcPr>
            <w:tcW w:w="1969" w:type="pct"/>
            <w:shd w:val="clear" w:color="auto" w:fill="D9D9D9"/>
          </w:tcPr>
          <w:p w14:paraId="0D6D883C" w14:textId="77777777" w:rsidR="00B72575" w:rsidRPr="00E0193B" w:rsidRDefault="00B72575" w:rsidP="00B72575">
            <w:pPr>
              <w:spacing w:after="120" w:line="240" w:lineRule="auto"/>
              <w:jc w:val="left"/>
              <w:rPr>
                <w:rFonts w:eastAsia="Calibri"/>
                <w:highlight w:val="lightGray"/>
              </w:rPr>
            </w:pPr>
            <w:r w:rsidRPr="00E0193B">
              <w:rPr>
                <w:rFonts w:eastAsia="Calibri"/>
                <w:highlight w:val="lightGray"/>
              </w:rPr>
              <w:t>Wersja zmieniona</w:t>
            </w:r>
          </w:p>
        </w:tc>
      </w:tr>
      <w:tr w:rsidR="00B72575" w:rsidRPr="00E0193B" w14:paraId="408DA10E" w14:textId="77777777" w:rsidTr="002D1247">
        <w:tc>
          <w:tcPr>
            <w:tcW w:w="1179" w:type="pct"/>
          </w:tcPr>
          <w:p w14:paraId="0C3E91BE" w14:textId="77777777" w:rsidR="00B72575" w:rsidRPr="00E0193B" w:rsidRDefault="00B72575" w:rsidP="00B72575">
            <w:pPr>
              <w:spacing w:after="120" w:line="240" w:lineRule="auto"/>
              <w:jc w:val="left"/>
              <w:rPr>
                <w:rFonts w:eastAsia="Calibri"/>
              </w:rPr>
            </w:pPr>
            <w:r w:rsidRPr="00E0193B">
              <w:rPr>
                <w:rFonts w:eastAsia="Calibri"/>
              </w:rPr>
              <w:t>Opis komponentu oraz/lub działania (inwestycji/reformy)</w:t>
            </w:r>
          </w:p>
          <w:p w14:paraId="5769CF4F" w14:textId="77777777" w:rsidR="00B72575" w:rsidRPr="00E0193B" w:rsidRDefault="00B72575" w:rsidP="00B72575">
            <w:pPr>
              <w:spacing w:after="120" w:line="240" w:lineRule="auto"/>
              <w:jc w:val="left"/>
              <w:rPr>
                <w:rFonts w:eastAsia="Calibri"/>
              </w:rPr>
            </w:pPr>
          </w:p>
        </w:tc>
        <w:tc>
          <w:tcPr>
            <w:tcW w:w="1852" w:type="pct"/>
          </w:tcPr>
          <w:p w14:paraId="1142E6C3" w14:textId="77777777" w:rsidR="00B72575" w:rsidRPr="00E0193B" w:rsidRDefault="00B72575" w:rsidP="00B72575">
            <w:pPr>
              <w:spacing w:line="240" w:lineRule="auto"/>
              <w:jc w:val="left"/>
              <w:rPr>
                <w:rFonts w:eastAsia="Calibri"/>
              </w:rPr>
            </w:pPr>
            <w:r w:rsidRPr="00E0193B">
              <w:rPr>
                <w:rFonts w:eastAsia="Calibri"/>
              </w:rPr>
              <w:t>E1G Wejście w życie ustawy wprowadzającej obowiązek zakupu tylko niskoemisyjnych i zeroemisyjnych autobusów w miastach powyżej 100 000 mieszkańców począwszy od 2025 r.</w:t>
            </w:r>
          </w:p>
          <w:p w14:paraId="4E9B913E" w14:textId="77777777" w:rsidR="00B72575" w:rsidRPr="00E0193B" w:rsidRDefault="00B72575" w:rsidP="00B72575">
            <w:pPr>
              <w:spacing w:line="240" w:lineRule="auto"/>
              <w:jc w:val="left"/>
              <w:rPr>
                <w:rFonts w:eastAsia="Calibri"/>
              </w:rPr>
            </w:pPr>
          </w:p>
          <w:p w14:paraId="411FDF86" w14:textId="77777777" w:rsidR="00B72575" w:rsidRPr="00E0193B" w:rsidRDefault="00B72575" w:rsidP="00B72575">
            <w:pPr>
              <w:spacing w:line="240" w:lineRule="auto"/>
              <w:jc w:val="left"/>
              <w:rPr>
                <w:rFonts w:eastAsia="Calibri"/>
                <w:lang w:val="en-GB"/>
              </w:rPr>
            </w:pPr>
            <w:r w:rsidRPr="00E0193B">
              <w:rPr>
                <w:rFonts w:eastAsia="Calibri"/>
                <w:lang w:val="en-GB"/>
              </w:rPr>
              <w:t>Entry into force of a law setting an obligation to exclusively purchase low and zero-emission buses in cities above 100,000 inhabitants as of 2025</w:t>
            </w:r>
          </w:p>
          <w:p w14:paraId="7ECEF603" w14:textId="77777777" w:rsidR="00B72575" w:rsidRPr="00E0193B" w:rsidRDefault="00B72575" w:rsidP="00B72575">
            <w:pPr>
              <w:spacing w:line="240" w:lineRule="auto"/>
              <w:jc w:val="left"/>
              <w:rPr>
                <w:rFonts w:eastAsia="Calibri"/>
                <w:i/>
                <w:iCs/>
                <w:lang w:val="en-US"/>
              </w:rPr>
            </w:pPr>
          </w:p>
          <w:p w14:paraId="64C0C53A" w14:textId="77777777" w:rsidR="00B72575" w:rsidRPr="00E0193B" w:rsidRDefault="00B72575" w:rsidP="00B72575">
            <w:pPr>
              <w:spacing w:line="240" w:lineRule="auto"/>
              <w:jc w:val="left"/>
              <w:rPr>
                <w:rFonts w:eastAsia="Calibri"/>
              </w:rPr>
            </w:pPr>
            <w:r w:rsidRPr="00E0193B">
              <w:rPr>
                <w:rFonts w:eastAsia="Calibri"/>
              </w:rPr>
              <w:t>W ustawie zostanie ustanowiony obowiązek dla prowadzonych przetargów, związany z osiągnięciem progu dotyczącego autobusów niskoemisyjnych i zeroemisyjnych; w określonych przypadkach dopuszczalne będzie zamawianie tylko tego typu pojazdów.</w:t>
            </w:r>
          </w:p>
          <w:p w14:paraId="525B30E3" w14:textId="77777777" w:rsidR="00B72575" w:rsidRPr="00E0193B" w:rsidRDefault="00B72575" w:rsidP="00B72575">
            <w:pPr>
              <w:spacing w:line="240" w:lineRule="auto"/>
              <w:jc w:val="left"/>
              <w:rPr>
                <w:rFonts w:eastAsia="Calibri"/>
              </w:rPr>
            </w:pPr>
            <w:r w:rsidRPr="00E0193B">
              <w:rPr>
                <w:rFonts w:eastAsia="Calibri"/>
              </w:rPr>
              <w:t>Na mocy ustawy miasta powyżej 100 000 mieszkańców zobowiązuje się też od 2025 r. do zawierania umów przewozu tylko z podmiotami korzystającymi z autobusów zeroemisyjnych i niskoemisyjnych (o napędzie elektrycznym i wodorowym.)</w:t>
            </w:r>
            <w:r w:rsidRPr="00E0193B">
              <w:rPr>
                <w:rFonts w:eastAsia="Calibri"/>
              </w:rPr>
              <w:cr/>
            </w:r>
          </w:p>
          <w:p w14:paraId="0F6F671C" w14:textId="77777777" w:rsidR="00B72575" w:rsidRPr="00E0193B" w:rsidRDefault="00B72575" w:rsidP="00B72575">
            <w:pPr>
              <w:spacing w:line="240" w:lineRule="auto"/>
              <w:jc w:val="left"/>
              <w:rPr>
                <w:rFonts w:eastAsia="Calibri"/>
                <w:lang w:val="en-GB"/>
              </w:rPr>
            </w:pPr>
            <w:r w:rsidRPr="00E0193B">
              <w:rPr>
                <w:rFonts w:eastAsia="Calibri"/>
                <w:lang w:val="en-GB"/>
              </w:rPr>
              <w:t xml:space="preserve">A law shall set an obligation to meet the threshold for low and zero emission buses in conducted tenders, in specific cases only the procurement of such types of vehicles shall be allowed. </w:t>
            </w:r>
          </w:p>
          <w:p w14:paraId="3FD34D34" w14:textId="77777777" w:rsidR="00B72575" w:rsidRPr="00E0193B" w:rsidRDefault="00B72575" w:rsidP="00B72575">
            <w:pPr>
              <w:spacing w:line="240" w:lineRule="auto"/>
              <w:jc w:val="left"/>
              <w:rPr>
                <w:rFonts w:eastAsia="Calibri"/>
                <w:lang w:val="en-GB"/>
              </w:rPr>
            </w:pPr>
            <w:r w:rsidRPr="00E0193B">
              <w:rPr>
                <w:rFonts w:eastAsia="Calibri"/>
                <w:lang w:val="en-GB"/>
              </w:rPr>
              <w:t xml:space="preserve">The law shall also impose a legal obligation on cities with more than 100 000 residents to award transport contracts only to entities using only zero-emission and low-emission buses (electric and hydrogen) as of 2025r. </w:t>
            </w:r>
          </w:p>
          <w:p w14:paraId="63869F67" w14:textId="77777777" w:rsidR="00D63482" w:rsidRPr="00935797" w:rsidRDefault="00D63482" w:rsidP="00B72575">
            <w:pPr>
              <w:spacing w:line="240" w:lineRule="auto"/>
              <w:jc w:val="left"/>
              <w:rPr>
                <w:rFonts w:eastAsia="Calibri"/>
                <w:lang w:val="en-GB"/>
              </w:rPr>
            </w:pPr>
          </w:p>
          <w:p w14:paraId="284587ED" w14:textId="0BDACA11" w:rsidR="00B72575" w:rsidRPr="00E0193B" w:rsidRDefault="00B72575" w:rsidP="00B72575">
            <w:pPr>
              <w:spacing w:line="240" w:lineRule="auto"/>
              <w:jc w:val="left"/>
              <w:rPr>
                <w:rFonts w:eastAsia="Calibri"/>
                <w:lang w:val="en-GB"/>
              </w:rPr>
            </w:pPr>
            <w:r w:rsidRPr="00E0193B">
              <w:rPr>
                <w:rFonts w:eastAsia="Calibri"/>
              </w:rPr>
              <w:t>IV Q 2022 r.</w:t>
            </w:r>
          </w:p>
        </w:tc>
        <w:tc>
          <w:tcPr>
            <w:tcW w:w="1969" w:type="pct"/>
          </w:tcPr>
          <w:p w14:paraId="0E7C663E" w14:textId="77777777" w:rsidR="00B72575" w:rsidRPr="00E0193B" w:rsidRDefault="00B72575" w:rsidP="00B72575">
            <w:pPr>
              <w:spacing w:line="240" w:lineRule="auto"/>
              <w:jc w:val="left"/>
              <w:rPr>
                <w:rFonts w:eastAsia="Calibri"/>
              </w:rPr>
            </w:pPr>
            <w:r w:rsidRPr="00E0193B">
              <w:rPr>
                <w:rFonts w:eastAsia="Calibri"/>
              </w:rPr>
              <w:t xml:space="preserve">E1G Wejście w życie ustawy wprowadzającej obowiązek zakupu </w:t>
            </w:r>
            <w:r w:rsidRPr="00E0193B">
              <w:rPr>
                <w:rFonts w:eastAsia="Calibri"/>
                <w:color w:val="FF0000"/>
              </w:rPr>
              <w:t xml:space="preserve">przez operatorów oraz organizatorów publicznego transportu zbiorowego tylko niskoemisyjnych i zeroemisyjnych </w:t>
            </w:r>
            <w:r w:rsidRPr="00E0193B">
              <w:rPr>
                <w:rFonts w:eastAsia="Calibri"/>
              </w:rPr>
              <w:t>autobusów w miastach powyżej 100 000 mieszkańców począwszy od 202</w:t>
            </w:r>
            <w:r w:rsidRPr="00E0193B">
              <w:rPr>
                <w:rFonts w:eastAsia="Calibri"/>
                <w:strike/>
                <w:color w:val="FF0000"/>
              </w:rPr>
              <w:t>5</w:t>
            </w:r>
            <w:r w:rsidRPr="00E0193B">
              <w:rPr>
                <w:rFonts w:eastAsia="Calibri"/>
                <w:color w:val="FF0000"/>
              </w:rPr>
              <w:t>6</w:t>
            </w:r>
            <w:r w:rsidRPr="00E0193B">
              <w:rPr>
                <w:rFonts w:eastAsia="Calibri"/>
              </w:rPr>
              <w:t xml:space="preserve"> r.</w:t>
            </w:r>
          </w:p>
          <w:p w14:paraId="556B1584" w14:textId="77777777" w:rsidR="00B72575" w:rsidRPr="00E0193B" w:rsidRDefault="00B72575" w:rsidP="00B72575">
            <w:pPr>
              <w:spacing w:line="240" w:lineRule="auto"/>
              <w:jc w:val="left"/>
              <w:rPr>
                <w:rFonts w:eastAsia="Calibri"/>
                <w:b/>
                <w:bCs/>
                <w:color w:val="92D050"/>
                <w:lang w:val="en-GB"/>
              </w:rPr>
            </w:pPr>
            <w:r w:rsidRPr="00E0193B">
              <w:rPr>
                <w:rFonts w:eastAsia="Calibri"/>
                <w:lang w:val="en-GB"/>
              </w:rPr>
              <w:t xml:space="preserve">Entry into force of a law setting an obligation </w:t>
            </w:r>
            <w:r w:rsidRPr="00E0193B">
              <w:rPr>
                <w:rFonts w:eastAsia="Calibri"/>
                <w:color w:val="FF0000"/>
                <w:lang w:val="en-GB"/>
              </w:rPr>
              <w:t xml:space="preserve">for operators and organizers of public transport </w:t>
            </w:r>
            <w:r w:rsidRPr="00E0193B">
              <w:rPr>
                <w:rFonts w:eastAsia="Calibri"/>
                <w:lang w:val="en-GB"/>
              </w:rPr>
              <w:t>to exclusively purchase low and zero-emission buses in cities above 100,000 inhabitants as of 202</w:t>
            </w:r>
            <w:r w:rsidRPr="00E0193B">
              <w:rPr>
                <w:rFonts w:eastAsia="Calibri"/>
                <w:strike/>
                <w:color w:val="FF0000"/>
                <w:lang w:val="en-GB"/>
              </w:rPr>
              <w:t>5</w:t>
            </w:r>
            <w:r w:rsidRPr="00E0193B">
              <w:rPr>
                <w:rFonts w:eastAsia="Calibri"/>
                <w:color w:val="FF0000"/>
                <w:lang w:val="en-GB"/>
              </w:rPr>
              <w:t>6.</w:t>
            </w:r>
          </w:p>
          <w:p w14:paraId="08253D40" w14:textId="7BE176D2" w:rsidR="00B72575" w:rsidRPr="00E0193B" w:rsidRDefault="00B72575" w:rsidP="00B72575">
            <w:pPr>
              <w:spacing w:line="240" w:lineRule="auto"/>
              <w:jc w:val="left"/>
              <w:rPr>
                <w:rFonts w:eastAsia="Calibri"/>
                <w:strike/>
                <w:color w:val="FF0000"/>
              </w:rPr>
            </w:pPr>
            <w:r w:rsidRPr="00E0193B">
              <w:rPr>
                <w:rFonts w:eastAsia="Calibri"/>
              </w:rPr>
              <w:t xml:space="preserve">W ustawie zostanie ustanowiony obowiązek od </w:t>
            </w:r>
            <w:r w:rsidRPr="00E0193B">
              <w:rPr>
                <w:rFonts w:eastAsia="Calibri"/>
                <w:color w:val="FF0000"/>
              </w:rPr>
              <w:t xml:space="preserve">2026r. zakupu przez operatorów oraz organizatorów publicznego transportu zbiorowego w miastach powyżej 100 tys. mieszkańców autobusów zeroemisyjnych (elektrycznych i wodorowych) w ilości </w:t>
            </w:r>
            <w:r w:rsidR="0029391F">
              <w:rPr>
                <w:rFonts w:eastAsia="Calibri"/>
                <w:color w:val="FF0000"/>
              </w:rPr>
              <w:t>100</w:t>
            </w:r>
            <w:r w:rsidRPr="00E0193B">
              <w:rPr>
                <w:rFonts w:eastAsia="Calibri"/>
                <w:color w:val="FF0000"/>
              </w:rPr>
              <w:t xml:space="preserve">% nabywanych autobusów. </w:t>
            </w:r>
          </w:p>
          <w:p w14:paraId="17AB80FE" w14:textId="77777777" w:rsidR="00B72575" w:rsidRPr="00E0193B" w:rsidRDefault="00B72575" w:rsidP="00B72575">
            <w:pPr>
              <w:spacing w:line="240" w:lineRule="auto"/>
              <w:jc w:val="left"/>
              <w:rPr>
                <w:rFonts w:eastAsia="Calibri"/>
                <w:color w:val="FF0000"/>
              </w:rPr>
            </w:pPr>
            <w:r w:rsidRPr="00E0193B">
              <w:rPr>
                <w:rFonts w:eastAsia="Calibri"/>
                <w:color w:val="FF0000"/>
              </w:rPr>
              <w:t xml:space="preserve">Dodatkowo od 2026 r. wprowadzony zostanie obowiązek zawierania umów na świadczenie usługi transportu publicznego jedynie z podmiotami, które posiadają w swojej flocie tego rodzaju autobusy. </w:t>
            </w:r>
          </w:p>
          <w:p w14:paraId="2980415A" w14:textId="77777777" w:rsidR="00B72575" w:rsidRPr="00E0193B" w:rsidRDefault="00B72575" w:rsidP="00B72575">
            <w:pPr>
              <w:spacing w:line="240" w:lineRule="auto"/>
              <w:jc w:val="left"/>
              <w:rPr>
                <w:rFonts w:eastAsia="Calibri"/>
                <w:color w:val="FF0000"/>
              </w:rPr>
            </w:pPr>
            <w:r w:rsidRPr="00E0193B">
              <w:rPr>
                <w:rFonts w:eastAsia="Calibri"/>
                <w:color w:val="FF0000"/>
              </w:rPr>
              <w:t xml:space="preserve">Reforma ta zostanie wprowadzona w życie w pierwszym kwartale 2025 r. </w:t>
            </w:r>
          </w:p>
          <w:p w14:paraId="3857F290" w14:textId="28E6E989" w:rsidR="00B72575" w:rsidRPr="00E0193B" w:rsidRDefault="00B72575" w:rsidP="00B72575">
            <w:pPr>
              <w:spacing w:line="240" w:lineRule="auto"/>
              <w:jc w:val="left"/>
              <w:rPr>
                <w:rFonts w:eastAsia="Calibri"/>
                <w:strike/>
                <w:color w:val="FF0000"/>
                <w:lang w:val="en-GB"/>
              </w:rPr>
            </w:pPr>
            <w:r w:rsidRPr="00E0193B">
              <w:rPr>
                <w:rFonts w:eastAsia="Calibri"/>
                <w:lang w:val="en-GB"/>
              </w:rPr>
              <w:t>A law shall set an obligation</w:t>
            </w:r>
            <w:r w:rsidRPr="00E0193B">
              <w:rPr>
                <w:rFonts w:eastAsia="Calibri"/>
                <w:b/>
                <w:bCs/>
                <w:lang w:val="en-GB"/>
              </w:rPr>
              <w:t xml:space="preserve"> </w:t>
            </w:r>
            <w:r w:rsidRPr="00E0193B">
              <w:rPr>
                <w:rFonts w:eastAsia="Calibri"/>
                <w:color w:val="FF0000"/>
                <w:lang w:val="en-GB"/>
              </w:rPr>
              <w:t xml:space="preserve">for operators and organizers of public transport in cities above 100 000 residents to purchase low and zeroemission buses (electric and hydrogen) as of 2026 level of </w:t>
            </w:r>
            <w:r w:rsidR="0029391F">
              <w:rPr>
                <w:rFonts w:eastAsia="Calibri"/>
                <w:color w:val="FF0000"/>
                <w:lang w:val="en-GB"/>
              </w:rPr>
              <w:t>100</w:t>
            </w:r>
            <w:r w:rsidR="003A2154" w:rsidRPr="00E0193B">
              <w:rPr>
                <w:rFonts w:eastAsia="Calibri"/>
                <w:color w:val="FF0000"/>
                <w:lang w:val="en-GB"/>
              </w:rPr>
              <w:t xml:space="preserve"> </w:t>
            </w:r>
            <w:r w:rsidRPr="00E0193B">
              <w:rPr>
                <w:rFonts w:eastAsia="Calibri"/>
                <w:color w:val="FF0000"/>
                <w:lang w:val="en-GB"/>
              </w:rPr>
              <w:t>% of purchased buses.</w:t>
            </w:r>
          </w:p>
          <w:p w14:paraId="21014220" w14:textId="77777777" w:rsidR="00B72575" w:rsidRPr="00E0193B" w:rsidRDefault="00B72575" w:rsidP="00B72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color w:val="FF0000"/>
                <w:lang w:eastAsia="pl-PL"/>
              </w:rPr>
            </w:pPr>
            <w:r w:rsidRPr="00E0193B">
              <w:rPr>
                <w:color w:val="FF0000"/>
                <w:lang w:val="en-GB"/>
              </w:rPr>
              <w:t>Additionally, from 2026, there will be an obligation to award contracts for the provision of public transport services only with entities that have this type of buses in their fleet. This reform will be implemented Q1 2025.</w:t>
            </w:r>
            <w:r w:rsidRPr="00E0193B">
              <w:rPr>
                <w:color w:val="FF0000"/>
                <w:lang w:eastAsia="pl-PL"/>
              </w:rPr>
              <w:t xml:space="preserve"> </w:t>
            </w:r>
          </w:p>
          <w:p w14:paraId="2132F2A4" w14:textId="77777777" w:rsidR="00B72575" w:rsidRPr="00E0193B" w:rsidRDefault="00B72575" w:rsidP="00B72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color w:val="FF0000"/>
                <w:lang w:eastAsia="pl-PL"/>
              </w:rPr>
            </w:pPr>
          </w:p>
          <w:p w14:paraId="3A9350C0" w14:textId="77777777" w:rsidR="00B72575" w:rsidRPr="00E0193B" w:rsidRDefault="00B72575" w:rsidP="00B72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b/>
                <w:bCs/>
                <w:color w:val="70AD47"/>
                <w:lang w:val="en-GB"/>
              </w:rPr>
            </w:pPr>
            <w:r w:rsidRPr="00E0193B">
              <w:rPr>
                <w:color w:val="FF0000"/>
                <w:lang w:eastAsia="pl-PL"/>
              </w:rPr>
              <w:t>I Q 2025 r.</w:t>
            </w:r>
          </w:p>
        </w:tc>
      </w:tr>
      <w:tr w:rsidR="00B9455A" w:rsidRPr="00B9455A" w14:paraId="35578C86" w14:textId="77777777" w:rsidTr="002D1247">
        <w:tc>
          <w:tcPr>
            <w:tcW w:w="1179" w:type="pct"/>
          </w:tcPr>
          <w:p w14:paraId="14685E9F" w14:textId="77777777" w:rsidR="00B9455A" w:rsidRPr="00E0193B" w:rsidRDefault="00B9455A" w:rsidP="00B9455A">
            <w:pPr>
              <w:spacing w:after="120" w:line="240" w:lineRule="auto"/>
              <w:jc w:val="left"/>
              <w:rPr>
                <w:rFonts w:eastAsia="Calibri"/>
              </w:rPr>
            </w:pPr>
            <w:r w:rsidRPr="00E0193B">
              <w:rPr>
                <w:rFonts w:eastAsia="Calibri"/>
              </w:rPr>
              <w:t>Opis komponentu oraz/lub działania (inwestycji/reformy)</w:t>
            </w:r>
          </w:p>
          <w:p w14:paraId="0302A6A6" w14:textId="77777777" w:rsidR="00B9455A" w:rsidRPr="00E0193B" w:rsidRDefault="00B9455A" w:rsidP="00B945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lang w:val="en-GB" w:eastAsia="pl-PL"/>
              </w:rPr>
            </w:pPr>
            <w:r w:rsidRPr="00E0193B">
              <w:rPr>
                <w:rFonts w:eastAsia="Calibri"/>
                <w:lang w:val="en" w:eastAsia="pl-PL"/>
              </w:rPr>
              <w:t>Description of the component</w:t>
            </w:r>
          </w:p>
          <w:p w14:paraId="17BFDA37" w14:textId="77777777" w:rsidR="00B9455A" w:rsidRPr="00E0193B" w:rsidRDefault="00B9455A" w:rsidP="00B9455A">
            <w:pPr>
              <w:spacing w:after="120" w:line="240" w:lineRule="auto"/>
              <w:jc w:val="left"/>
              <w:rPr>
                <w:rFonts w:eastAsia="Calibri"/>
                <w:lang w:val="en-GB"/>
              </w:rPr>
            </w:pPr>
            <w:r w:rsidRPr="00E0193B">
              <w:rPr>
                <w:rFonts w:eastAsia="Calibri"/>
                <w:lang w:val="en-GB"/>
              </w:rPr>
              <w:t>(Reform or Investment)</w:t>
            </w:r>
          </w:p>
        </w:tc>
        <w:tc>
          <w:tcPr>
            <w:tcW w:w="1852" w:type="pct"/>
          </w:tcPr>
          <w:p w14:paraId="4CF5B92E" w14:textId="1E424D4C" w:rsidR="00B9455A" w:rsidRPr="00E0193B" w:rsidRDefault="00B9455A" w:rsidP="00B9455A">
            <w:pPr>
              <w:spacing w:after="120" w:line="240" w:lineRule="auto"/>
              <w:jc w:val="left"/>
              <w:rPr>
                <w:rFonts w:eastAsia="Calibri"/>
                <w:i/>
                <w:iCs/>
              </w:rPr>
            </w:pPr>
            <w:r w:rsidRPr="00E0193B">
              <w:rPr>
                <w:rFonts w:eastAsia="Calibri"/>
              </w:rPr>
              <w:t>E4G</w:t>
            </w:r>
            <w:r w:rsidRPr="00E0193B">
              <w:rPr>
                <w:rFonts w:eastAsia="Calibri"/>
                <w:i/>
                <w:iCs/>
              </w:rPr>
              <w:t xml:space="preserve"> </w:t>
            </w:r>
            <w:r w:rsidRPr="00E0193B">
              <w:rPr>
                <w:rFonts w:eastAsia="Calibri"/>
              </w:rPr>
              <w:t>Wejście w życie aktu prawnego w</w:t>
            </w:r>
            <w:r w:rsidRPr="00E0193B">
              <w:t xml:space="preserve">prowadzającego podatek od posiadania pojazdów </w:t>
            </w:r>
            <w:r w:rsidRPr="00E0193B">
              <w:rPr>
                <w:rFonts w:eastAsia="Calibri"/>
                <w:lang w:eastAsia="pl-PL"/>
              </w:rPr>
              <w:t>emisyjnych</w:t>
            </w:r>
            <w:r w:rsidRPr="00E0193B">
              <w:t xml:space="preserve"> zgodne z zasadą „zanieczyszczający płaci”. </w:t>
            </w:r>
          </w:p>
          <w:p w14:paraId="637FB852" w14:textId="77777777" w:rsidR="00B9455A" w:rsidRPr="00E0193B" w:rsidRDefault="00B9455A" w:rsidP="00B9455A">
            <w:pPr>
              <w:spacing w:after="120" w:line="240" w:lineRule="auto"/>
              <w:jc w:val="left"/>
              <w:rPr>
                <w:rFonts w:eastAsia="Calibri"/>
              </w:rPr>
            </w:pPr>
            <w:r w:rsidRPr="00E0193B">
              <w:rPr>
                <w:rFonts w:eastAsia="Calibri"/>
              </w:rPr>
              <w:t xml:space="preserve">Wprowadzony zostanie podatek od posiadania pojazdów spalinowych, który jest skorelowany z emisjami CO2 i NOx pojazdu. Dochód z tego podatku zostanie przeznaczony na ograniczenie negatywnych efektów zewnętrznych transportu i rozwój niskoemisyjnego transportu publicznego </w:t>
            </w:r>
            <w:r w:rsidRPr="00E0193B">
              <w:rPr>
                <w:rFonts w:eastAsia="Calibri"/>
              </w:rPr>
              <w:lastRenderedPageBreak/>
              <w:t>zarówno na obszarach miejskich, jak i wiejskich.</w:t>
            </w:r>
          </w:p>
          <w:p w14:paraId="1F4BAF04" w14:textId="77777777" w:rsidR="00B9455A" w:rsidRPr="00E0193B" w:rsidRDefault="00B9455A" w:rsidP="00B9455A">
            <w:pPr>
              <w:spacing w:after="120" w:line="240" w:lineRule="auto"/>
              <w:rPr>
                <w:i/>
                <w:iCs/>
                <w:lang w:val="en-GB"/>
              </w:rPr>
            </w:pPr>
            <w:r w:rsidRPr="00E0193B">
              <w:rPr>
                <w:i/>
                <w:iCs/>
                <w:lang w:val="en-GB"/>
              </w:rPr>
              <w:t>Termin:</w:t>
            </w:r>
          </w:p>
          <w:p w14:paraId="3585F177" w14:textId="69C88E26" w:rsidR="00B9455A" w:rsidRPr="00E0193B" w:rsidRDefault="00B9455A" w:rsidP="00B9455A">
            <w:pPr>
              <w:spacing w:after="120" w:line="240" w:lineRule="auto"/>
              <w:jc w:val="left"/>
              <w:rPr>
                <w:lang w:val="en-GB"/>
              </w:rPr>
            </w:pPr>
            <w:r w:rsidRPr="00E0193B">
              <w:rPr>
                <w:lang w:val="en-GB"/>
              </w:rPr>
              <w:t xml:space="preserve">IV </w:t>
            </w:r>
            <w:r>
              <w:rPr>
                <w:lang w:val="en-GB"/>
              </w:rPr>
              <w:t xml:space="preserve">kw. </w:t>
            </w:r>
            <w:r w:rsidRPr="00E0193B">
              <w:rPr>
                <w:lang w:val="en-GB"/>
              </w:rPr>
              <w:t>2022 r.</w:t>
            </w:r>
          </w:p>
          <w:p w14:paraId="2F369370" w14:textId="77777777" w:rsidR="00B9455A" w:rsidRDefault="00B9455A" w:rsidP="00B945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lang w:val="en" w:eastAsia="pl-PL"/>
              </w:rPr>
            </w:pPr>
          </w:p>
          <w:p w14:paraId="6528E803" w14:textId="77777777" w:rsidR="00B9455A" w:rsidRDefault="00B9455A" w:rsidP="00B945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lang w:val="en" w:eastAsia="pl-PL"/>
              </w:rPr>
            </w:pPr>
          </w:p>
          <w:p w14:paraId="260E6272" w14:textId="77777777" w:rsidR="00B9455A" w:rsidRDefault="00B9455A" w:rsidP="00B945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lang w:val="en" w:eastAsia="pl-PL"/>
              </w:rPr>
            </w:pPr>
          </w:p>
          <w:p w14:paraId="02A564D8" w14:textId="77777777" w:rsidR="00B9455A" w:rsidRDefault="00B9455A" w:rsidP="00B945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lang w:val="en" w:eastAsia="pl-PL"/>
              </w:rPr>
            </w:pPr>
          </w:p>
          <w:p w14:paraId="744497EA" w14:textId="77777777" w:rsidR="00B9455A" w:rsidRDefault="00B9455A" w:rsidP="00B945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lang w:val="en" w:eastAsia="pl-PL"/>
              </w:rPr>
            </w:pPr>
          </w:p>
          <w:p w14:paraId="344CC69B" w14:textId="77777777" w:rsidR="00B9455A" w:rsidRDefault="00B9455A" w:rsidP="00B945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lang w:val="en" w:eastAsia="pl-PL"/>
              </w:rPr>
            </w:pPr>
          </w:p>
          <w:p w14:paraId="19310627" w14:textId="0B2E1714" w:rsidR="00B9455A" w:rsidRPr="00E0193B" w:rsidRDefault="00B9455A" w:rsidP="00B945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lang w:val="en" w:eastAsia="pl-PL"/>
              </w:rPr>
            </w:pPr>
            <w:r w:rsidRPr="00E0193B">
              <w:rPr>
                <w:rFonts w:eastAsia="Calibri"/>
                <w:lang w:val="en" w:eastAsia="pl-PL"/>
              </w:rPr>
              <w:t>Entry into force of the legal act introducing a tax on the ownership of emission vehicles in line with the polluter pays principle.</w:t>
            </w:r>
          </w:p>
          <w:p w14:paraId="35CF1F4B" w14:textId="77777777" w:rsidR="00B9455A" w:rsidRPr="00E0193B" w:rsidRDefault="00B9455A" w:rsidP="00B945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lang w:val="en" w:eastAsia="pl-PL"/>
              </w:rPr>
            </w:pPr>
          </w:p>
          <w:p w14:paraId="35135CE5" w14:textId="77777777" w:rsidR="00B9455A" w:rsidRPr="00E0193B" w:rsidRDefault="00B9455A" w:rsidP="00B9455A">
            <w:pPr>
              <w:spacing w:after="120" w:line="240" w:lineRule="auto"/>
              <w:jc w:val="left"/>
              <w:rPr>
                <w:rFonts w:eastAsia="Calibri"/>
                <w:lang w:val="en"/>
              </w:rPr>
            </w:pPr>
            <w:r w:rsidRPr="00E0193B">
              <w:rPr>
                <w:rFonts w:eastAsia="Calibri"/>
                <w:lang w:val="en"/>
              </w:rPr>
              <w:t>Introduction of a emission tax for the ownership of vehicles, which is correlated with the vehicle's CO2 and NOx emissions. The income from this tax will be used for reducing the negative external effect  of transport and developing low-emission public transport in both urban and rural areas.</w:t>
            </w:r>
          </w:p>
          <w:p w14:paraId="048D5B09" w14:textId="77777777" w:rsidR="00707382" w:rsidRPr="00935797" w:rsidRDefault="00707382" w:rsidP="00B9455A">
            <w:pPr>
              <w:spacing w:after="120" w:line="240" w:lineRule="auto"/>
              <w:jc w:val="left"/>
              <w:rPr>
                <w:rFonts w:eastAsia="Calibri"/>
                <w:lang w:val="en-GB"/>
              </w:rPr>
            </w:pPr>
          </w:p>
          <w:p w14:paraId="65F06399" w14:textId="2F41A616" w:rsidR="00B9455A" w:rsidRPr="00E0193B" w:rsidRDefault="00B9455A" w:rsidP="00B9455A">
            <w:pPr>
              <w:spacing w:after="120" w:line="240" w:lineRule="auto"/>
              <w:jc w:val="left"/>
              <w:rPr>
                <w:rFonts w:eastAsia="Calibri"/>
                <w:i/>
                <w:iCs/>
                <w:lang w:val="en-GB"/>
              </w:rPr>
            </w:pPr>
            <w:r w:rsidRPr="00E0193B">
              <w:rPr>
                <w:rFonts w:eastAsia="Calibri"/>
              </w:rPr>
              <w:t>Deadline: IV Q 2022 r.</w:t>
            </w:r>
          </w:p>
        </w:tc>
        <w:tc>
          <w:tcPr>
            <w:tcW w:w="1969" w:type="pct"/>
          </w:tcPr>
          <w:p w14:paraId="3DA3F578" w14:textId="77777777" w:rsidR="00B9455A" w:rsidRPr="00B9455A" w:rsidRDefault="00B9455A" w:rsidP="00B9455A">
            <w:pPr>
              <w:rPr>
                <w:color w:val="FF0000"/>
              </w:rPr>
            </w:pPr>
            <w:r w:rsidRPr="00B9455A">
              <w:rPr>
                <w:color w:val="FF0000"/>
              </w:rPr>
              <w:lastRenderedPageBreak/>
              <w:t xml:space="preserve">Wprowadzenie rocznej opłaty dla przedsiębiorców posiadających pojazdy osobowe i lekkie dostawcze (kategoria M1 i N1) za wprowadzanie zanieczyszczeń do środowiska.   </w:t>
            </w:r>
          </w:p>
          <w:p w14:paraId="4679C743" w14:textId="77777777" w:rsidR="00B9455A" w:rsidRPr="004C6635" w:rsidRDefault="00B9455A" w:rsidP="00B9455A">
            <w:pPr>
              <w:rPr>
                <w:i/>
                <w:iCs/>
              </w:rPr>
            </w:pPr>
            <w:r w:rsidRPr="004C6635">
              <w:rPr>
                <w:i/>
                <w:iCs/>
              </w:rPr>
              <w:t>Opis:</w:t>
            </w:r>
          </w:p>
          <w:p w14:paraId="48DE31F3" w14:textId="77777777" w:rsidR="00B9455A" w:rsidRPr="00B9455A" w:rsidRDefault="00B9455A" w:rsidP="00B9455A">
            <w:pPr>
              <w:rPr>
                <w:color w:val="FF0000"/>
              </w:rPr>
            </w:pPr>
            <w:r w:rsidRPr="00B9455A">
              <w:rPr>
                <w:color w:val="FF0000"/>
              </w:rPr>
              <w:t xml:space="preserve">Wprowadzona zostanie opłata od przedsiębiorców za użytkowanie pojazdów do 3,5 tony kategoria M1 i N1. Wysokość opłaty </w:t>
            </w:r>
            <w:r w:rsidRPr="00B9455A">
              <w:rPr>
                <w:color w:val="FF0000"/>
              </w:rPr>
              <w:lastRenderedPageBreak/>
              <w:t xml:space="preserve">będzie uzależniona od normy EURO pojazdu,  pojemności silnika oraz rodzaju paliwa. Dochód z tej opłaty zostanie przeznaczony na rozwój niskoemisyjnego transportu publicznego zarówno na obszarach miejskich, jak i wiejskich. Z opłaty zwolnione będą przedsiębiorstwa posiadające jeden pojazd oraz pojazdy zeroemisyjne. </w:t>
            </w:r>
          </w:p>
          <w:p w14:paraId="0F2F249A" w14:textId="776E84BD" w:rsidR="00B9455A" w:rsidRPr="00935797" w:rsidRDefault="00B9455A" w:rsidP="00B9455A">
            <w:pPr>
              <w:rPr>
                <w:color w:val="FF0000"/>
                <w:lang w:val="en-GB"/>
              </w:rPr>
            </w:pPr>
            <w:r w:rsidRPr="00935797">
              <w:rPr>
                <w:color w:val="FF0000"/>
                <w:lang w:val="en-GB"/>
              </w:rPr>
              <w:t xml:space="preserve">Termin: II kw. 2026r. </w:t>
            </w:r>
          </w:p>
          <w:p w14:paraId="79353E3A" w14:textId="77777777" w:rsidR="00707382" w:rsidRDefault="00707382" w:rsidP="00B9455A">
            <w:pPr>
              <w:spacing w:after="120" w:line="240" w:lineRule="auto"/>
              <w:jc w:val="left"/>
              <w:rPr>
                <w:color w:val="FF0000"/>
                <w:lang w:val="en-US"/>
              </w:rPr>
            </w:pPr>
          </w:p>
          <w:p w14:paraId="65A16C73" w14:textId="79AF804C" w:rsidR="00707382" w:rsidRDefault="00707382" w:rsidP="00707382">
            <w:pPr>
              <w:rPr>
                <w:color w:val="FF0000"/>
                <w:lang w:val="en-US"/>
              </w:rPr>
            </w:pPr>
            <w:r w:rsidRPr="00B9455A">
              <w:rPr>
                <w:color w:val="FF0000"/>
                <w:lang w:val="en-GB"/>
              </w:rPr>
              <w:t>I</w:t>
            </w:r>
            <w:r w:rsidRPr="00B9455A">
              <w:rPr>
                <w:color w:val="FF0000"/>
                <w:lang w:val="en-US"/>
              </w:rPr>
              <w:t>ntroduction an annual emission fee for company cars (passenger vehicles and light commercial vehicles -  M1 and N1 categories).</w:t>
            </w:r>
          </w:p>
          <w:p w14:paraId="155A786D" w14:textId="5CD9EC0D" w:rsidR="00B9455A" w:rsidRDefault="00B9455A" w:rsidP="00B9455A">
            <w:pPr>
              <w:spacing w:after="120" w:line="240" w:lineRule="auto"/>
              <w:jc w:val="left"/>
              <w:rPr>
                <w:color w:val="FF0000"/>
                <w:lang w:val="en-US"/>
              </w:rPr>
            </w:pPr>
            <w:r w:rsidRPr="00B9455A">
              <w:rPr>
                <w:color w:val="FF0000"/>
                <w:lang w:val="en-US"/>
              </w:rPr>
              <w:t xml:space="preserve">Emission fee will be imposed on company cars weighing up to 3.5 tons (M1, N1 category). The amount of the charge will depend on the EURO standard of the vehicle, its engine capacity and fuel used. The revenue from the fee will be used to develop low-emission public transport in both urban and rural areas. Exemption for zero emission cars and companies with one car will be introduced. </w:t>
            </w:r>
          </w:p>
          <w:p w14:paraId="053DF7C9" w14:textId="2BC2D66B" w:rsidR="00B9455A" w:rsidRPr="00B9455A" w:rsidRDefault="00B9455A" w:rsidP="00B9455A">
            <w:pPr>
              <w:spacing w:after="120" w:line="240" w:lineRule="auto"/>
              <w:jc w:val="left"/>
              <w:rPr>
                <w:rFonts w:eastAsia="Calibri"/>
                <w:color w:val="FF0000"/>
                <w:lang w:val="en-GB"/>
              </w:rPr>
            </w:pPr>
            <w:r w:rsidRPr="00B9455A">
              <w:rPr>
                <w:rFonts w:eastAsia="Calibri"/>
                <w:color w:val="FF0000"/>
              </w:rPr>
              <w:t>Deadline: II Q 2026 r.</w:t>
            </w:r>
          </w:p>
        </w:tc>
      </w:tr>
      <w:tr w:rsidR="00B9455A" w:rsidRPr="00E0193B" w14:paraId="4B3F5AFF" w14:textId="77777777" w:rsidTr="002D1247">
        <w:tc>
          <w:tcPr>
            <w:tcW w:w="1179" w:type="pct"/>
          </w:tcPr>
          <w:p w14:paraId="7AB6B47D" w14:textId="77777777" w:rsidR="00B9455A" w:rsidRPr="00E0193B" w:rsidRDefault="00B9455A" w:rsidP="00B9455A">
            <w:pPr>
              <w:spacing w:after="120" w:line="240" w:lineRule="auto"/>
              <w:jc w:val="left"/>
              <w:rPr>
                <w:rFonts w:eastAsia="Calibri"/>
              </w:rPr>
            </w:pPr>
            <w:r w:rsidRPr="00E0193B">
              <w:rPr>
                <w:rFonts w:eastAsia="Calibri"/>
              </w:rPr>
              <w:lastRenderedPageBreak/>
              <w:t>Uzasadnienie</w:t>
            </w:r>
          </w:p>
          <w:p w14:paraId="4E370802" w14:textId="77777777" w:rsidR="00B9455A" w:rsidRPr="00E0193B" w:rsidRDefault="00B9455A" w:rsidP="00B9455A">
            <w:pPr>
              <w:spacing w:after="120" w:line="240" w:lineRule="auto"/>
              <w:jc w:val="left"/>
              <w:rPr>
                <w:rFonts w:eastAsia="Calibri"/>
              </w:rPr>
            </w:pPr>
          </w:p>
        </w:tc>
        <w:tc>
          <w:tcPr>
            <w:tcW w:w="3821" w:type="pct"/>
            <w:gridSpan w:val="2"/>
          </w:tcPr>
          <w:p w14:paraId="303B2472" w14:textId="77777777" w:rsidR="00B9455A" w:rsidRPr="00E0193B" w:rsidRDefault="00B9455A" w:rsidP="00B9455A">
            <w:pPr>
              <w:spacing w:after="120" w:line="240" w:lineRule="auto"/>
              <w:jc w:val="left"/>
              <w:rPr>
                <w:rFonts w:eastAsia="Calibri"/>
                <w:lang w:eastAsia="pl-PL"/>
              </w:rPr>
            </w:pPr>
            <w:r w:rsidRPr="00E0193B">
              <w:rPr>
                <w:rFonts w:eastAsia="Calibri"/>
                <w:lang w:eastAsia="pl-PL"/>
              </w:rPr>
              <w:t>E1G</w:t>
            </w:r>
          </w:p>
          <w:p w14:paraId="67F1FC95" w14:textId="77777777" w:rsidR="00B9455A" w:rsidRPr="00E0193B" w:rsidRDefault="00B9455A" w:rsidP="00B9455A">
            <w:pPr>
              <w:spacing w:after="120" w:line="240" w:lineRule="auto"/>
              <w:jc w:val="left"/>
              <w:rPr>
                <w:rFonts w:eastAsia="Calibri"/>
                <w:lang w:eastAsia="pl-PL"/>
              </w:rPr>
            </w:pPr>
            <w:r w:rsidRPr="00E0193B">
              <w:rPr>
                <w:rFonts w:eastAsia="Calibri"/>
                <w:lang w:eastAsia="pl-PL"/>
              </w:rPr>
              <w:t xml:space="preserve">Zmiana tego polega na przesunięciu terminu wprowadzenia kamienia milowego E1G na I kwartał 2025 r.,  i wprowadzeniu obowiązku dla miast powyżej 100 tys. od 1 stycznia 2026 r. </w:t>
            </w:r>
          </w:p>
          <w:p w14:paraId="4973D1CB" w14:textId="77777777" w:rsidR="00B9455A" w:rsidRPr="00E0193B" w:rsidRDefault="00B9455A" w:rsidP="00B9455A">
            <w:pPr>
              <w:spacing w:after="120" w:line="240" w:lineRule="auto"/>
              <w:jc w:val="left"/>
              <w:rPr>
                <w:rFonts w:eastAsia="Calibri"/>
                <w:lang w:eastAsia="pl-PL"/>
              </w:rPr>
            </w:pPr>
            <w:r w:rsidRPr="00E0193B">
              <w:rPr>
                <w:rFonts w:eastAsia="Calibri"/>
                <w:lang w:eastAsia="pl-PL"/>
              </w:rPr>
              <w:t xml:space="preserve">Przeprowadzenie procesu legislacyjnego z zachowaniem pełnego zakresu konsultacji jest czasochłonne. Podejmowane są działania mające na celu zakończenie tego procesu w tym roku, jednak skutkować to będzie brakiem czasu dla samorządów na przygotowanie się do realizacji tej reformy. Wprowadzenie tak dużych zmian dla polskich miast wymaga czasu i rozmów z samorządowcami. </w:t>
            </w:r>
          </w:p>
          <w:p w14:paraId="7B4447A3" w14:textId="77777777" w:rsidR="00B9455A" w:rsidRPr="00E0193B" w:rsidRDefault="00B9455A" w:rsidP="00B9455A">
            <w:pPr>
              <w:shd w:val="clear" w:color="auto" w:fill="FFFFFF"/>
              <w:spacing w:after="120" w:line="240" w:lineRule="auto"/>
              <w:jc w:val="left"/>
              <w:rPr>
                <w:rFonts w:eastAsia="Calibri"/>
                <w:lang w:eastAsia="pl-PL"/>
              </w:rPr>
            </w:pPr>
            <w:r w:rsidRPr="00E0193B">
              <w:rPr>
                <w:rFonts w:eastAsia="Calibri"/>
                <w:lang w:eastAsia="pl-PL"/>
              </w:rPr>
              <w:t>Budżety samorządów na 2025 r. nie będą uwzględniać obowiązku wynikającego z przedmiotowej legislacji, gdyż brak będzie podstaw prawnych do takiego działania. Spowoduje to wstrzymanie w 2025 r. wymiany autobusów lub przywróceniem do eksploatacji autobusów starych, o niskich normach EURO. Oznacza to, że efekt reformy będzie odwrotny do zamierzonego i wzrośnie zanieczyszczenie powietrza.</w:t>
            </w:r>
          </w:p>
          <w:p w14:paraId="057D31D4" w14:textId="77777777" w:rsidR="00B9455A" w:rsidRPr="00E0193B" w:rsidRDefault="00B9455A" w:rsidP="00B9455A">
            <w:pPr>
              <w:shd w:val="clear" w:color="auto" w:fill="FFFFFF"/>
              <w:spacing w:after="120" w:line="240" w:lineRule="auto"/>
              <w:jc w:val="left"/>
              <w:rPr>
                <w:rFonts w:eastAsia="Calibri"/>
                <w:lang w:eastAsia="pl-PL"/>
              </w:rPr>
            </w:pPr>
            <w:r w:rsidRPr="00E0193B">
              <w:rPr>
                <w:rFonts w:eastAsia="Calibri"/>
                <w:lang w:eastAsia="pl-PL"/>
              </w:rPr>
              <w:t>Potrzebny jest również czas na przygotowanie odpowiednich programów wsparcia. Samorządy nie udźwigną tak dużych kosztów bez wsparcia państwa. Należy podkreślić, że wbrew oczekiwaniom eksperckim z chwili uzgadniania KPO ceny baterii do autobusów elektrycznych nie spadają, mamy do czynienia wręcz z  trendem wzrostowym. Oznacza to, że część stanowiąca od 30-50% kosztów autobusu w najbliższych latach będzie coraz droższa. Wpływ na to ma sytuacja geopolityczna – ograniczona dostępność metali niezbędnych do produkcji baterii oraz coraz większe zapotrzebowanie na baterie, wykorzystywane w samochodach elektrycznych oraz innych urządzeniach np. elektronice.</w:t>
            </w:r>
          </w:p>
          <w:p w14:paraId="2EED3E00" w14:textId="77777777" w:rsidR="00B9455A" w:rsidRPr="00E0193B" w:rsidRDefault="00B9455A" w:rsidP="00B9455A">
            <w:pPr>
              <w:spacing w:after="120" w:line="240" w:lineRule="auto"/>
              <w:jc w:val="left"/>
              <w:rPr>
                <w:rFonts w:eastAsia="Calibri"/>
                <w:lang w:eastAsia="pl-PL"/>
              </w:rPr>
            </w:pPr>
            <w:r w:rsidRPr="00E0193B">
              <w:rPr>
                <w:rFonts w:eastAsia="Calibri"/>
                <w:lang w:eastAsia="pl-PL"/>
              </w:rPr>
              <w:t xml:space="preserve">Wprowadzana reforma musi zostać skonsultowana z miastami – to one będą realizować obowiązek wynikający z ustawy. Dlatego proponowana zmiana jest konieczna z punktu widzenia proceduralnego, jak i społecznego. Z powyższego uzasadniania wynika, że zmiana jest bezwzględnie niezbędna oraz uzasadnione obiektywnymi okolicznościami. </w:t>
            </w:r>
          </w:p>
          <w:p w14:paraId="5E705160" w14:textId="209B8EAB" w:rsidR="00B9455A" w:rsidRPr="00E0193B" w:rsidRDefault="00B9455A" w:rsidP="00B9455A">
            <w:pPr>
              <w:spacing w:after="120" w:line="240" w:lineRule="auto"/>
              <w:rPr>
                <w:rFonts w:eastAsia="Calibri"/>
                <w:lang w:eastAsia="pl-PL"/>
              </w:rPr>
            </w:pPr>
            <w:r w:rsidRPr="00E0193B">
              <w:rPr>
                <w:rFonts w:eastAsia="Calibri"/>
                <w:lang w:eastAsia="pl-PL"/>
              </w:rPr>
              <w:t>Konieczne jest pozostawienie 8% autobusów spalinowych z uwagi na bezpieczeństwo realizacji usług komunikacji miejskiej. W przypadku problemów z zasilaniem lub z powodu warunków atmosferycznych użytkowanie autobusów elektrycznych i wodorowych będzie niemożliwe.</w:t>
            </w:r>
          </w:p>
          <w:p w14:paraId="0E937D6C" w14:textId="454D4E04" w:rsidR="00B9455A" w:rsidRPr="00E0193B" w:rsidRDefault="00B9455A" w:rsidP="00B9455A">
            <w:pPr>
              <w:spacing w:line="240" w:lineRule="auto"/>
              <w:jc w:val="left"/>
              <w:rPr>
                <w:rFonts w:eastAsia="Calibri"/>
              </w:rPr>
            </w:pPr>
            <w:r w:rsidRPr="00E0193B">
              <w:rPr>
                <w:rFonts w:eastAsia="Calibri"/>
                <w:lang w:eastAsia="pl-PL"/>
              </w:rPr>
              <w:t xml:space="preserve">Warunkiem koniecznym wprowadzenia reformy powinno być zabezpieczenie środków dla samorządów na zakup autobusów po 2026 r.   </w:t>
            </w:r>
          </w:p>
        </w:tc>
      </w:tr>
      <w:tr w:rsidR="00B9455A" w:rsidRPr="00E0193B" w14:paraId="5FCBDECA" w14:textId="77777777" w:rsidTr="002D1247">
        <w:tc>
          <w:tcPr>
            <w:tcW w:w="1179" w:type="pct"/>
          </w:tcPr>
          <w:p w14:paraId="5892BC68" w14:textId="77777777" w:rsidR="00B9455A" w:rsidRPr="00E0193B" w:rsidRDefault="00B9455A" w:rsidP="00B9455A">
            <w:pPr>
              <w:spacing w:after="120" w:line="240" w:lineRule="auto"/>
              <w:jc w:val="left"/>
              <w:rPr>
                <w:rFonts w:eastAsia="Calibri"/>
              </w:rPr>
            </w:pPr>
            <w:r w:rsidRPr="00E0193B">
              <w:rPr>
                <w:rFonts w:eastAsia="Calibri"/>
              </w:rPr>
              <w:t>Uzasadnienie</w:t>
            </w:r>
          </w:p>
          <w:p w14:paraId="1052BE79" w14:textId="77777777" w:rsidR="00B9455A" w:rsidRPr="00E0193B" w:rsidRDefault="00B9455A" w:rsidP="00B9455A">
            <w:pPr>
              <w:spacing w:after="120" w:line="240" w:lineRule="auto"/>
              <w:jc w:val="left"/>
              <w:rPr>
                <w:rFonts w:eastAsia="Calibri"/>
              </w:rPr>
            </w:pPr>
          </w:p>
        </w:tc>
        <w:tc>
          <w:tcPr>
            <w:tcW w:w="3821" w:type="pct"/>
            <w:gridSpan w:val="2"/>
          </w:tcPr>
          <w:p w14:paraId="6D8D2A66" w14:textId="6EBB5D0D" w:rsidR="00B9455A" w:rsidRPr="00E0193B" w:rsidRDefault="00B9455A" w:rsidP="00B9455A">
            <w:r w:rsidRPr="00E0193B">
              <w:t>E4G</w:t>
            </w:r>
          </w:p>
          <w:p w14:paraId="69B0C2F7" w14:textId="77777777" w:rsidR="00B9455A" w:rsidRPr="00B9455A" w:rsidRDefault="00B9455A" w:rsidP="00B9455A">
            <w:r w:rsidRPr="00B9455A">
              <w:t xml:space="preserve">Celem reformy jest popularyzacja napędów zero i niskoemisyjnych wśród społeczeństwa w Polsce oraz ograniczenie szkodliwych emisji pochodzących z sektora transportu. </w:t>
            </w:r>
          </w:p>
          <w:p w14:paraId="3D347A09" w14:textId="77777777" w:rsidR="00B9455A" w:rsidRPr="00B9455A" w:rsidRDefault="00B9455A" w:rsidP="00B9455A">
            <w:r w:rsidRPr="00B9455A">
              <w:t>Propozycja wprowadzenia opłaty dotyczy samochodów firmowych (pojazdów osobowych (M1) i lekkich pojazdów dostawczych (N1)). Pojazdy powyżej 3,5 tony będą wyłączone z tej opłaty, ponieważ są już objęte innymi rocznymi podatkami. Ze względu na ich rolę w transporcie publicznym, autobusy (kategoria M2 i M3) również nie będą objęte opłatą.</w:t>
            </w:r>
          </w:p>
          <w:p w14:paraId="213A9239" w14:textId="77777777" w:rsidR="00B9455A" w:rsidRPr="00B9455A" w:rsidRDefault="00B9455A" w:rsidP="00B9455A">
            <w:r w:rsidRPr="00B9455A">
              <w:t>Przy obliczaniu kwoty brana będzie pod uwagę pojemność silnika i rok produkcji, a także rodzaj paliwa, co oznacza, że wprowadzona zostanie zasada "zanieczyszczający płaci". Im wyższa pojemność silnika i im niższa norma EURO, tym wyższa będzie opłata. Olej napędowy będzie miał wyższy mnożnik niż benzyna.</w:t>
            </w:r>
          </w:p>
          <w:p w14:paraId="150444B0" w14:textId="1171E2C1" w:rsidR="00B9455A" w:rsidRPr="00E0193B" w:rsidRDefault="00B9455A" w:rsidP="00B9455A">
            <w:r w:rsidRPr="00B9455A">
              <w:t xml:space="preserve">Ze względu na znacznie mniejszy wpływ na środowisko firm posiadających jeden samochód, proponuje się zwolnienie takich firm z opłaty. Zwolnione będą również pojazdy zeroemisyjne. </w:t>
            </w:r>
          </w:p>
        </w:tc>
      </w:tr>
      <w:tr w:rsidR="00B9455A" w:rsidRPr="00935797" w14:paraId="4252AFEF" w14:textId="77777777" w:rsidTr="002D1247">
        <w:tc>
          <w:tcPr>
            <w:tcW w:w="1179" w:type="pct"/>
          </w:tcPr>
          <w:p w14:paraId="2B2ED6D5" w14:textId="77777777" w:rsidR="00B9455A" w:rsidRPr="00E0193B" w:rsidRDefault="00B9455A" w:rsidP="00B9455A">
            <w:pPr>
              <w:spacing w:after="120" w:line="240" w:lineRule="auto"/>
              <w:jc w:val="left"/>
              <w:rPr>
                <w:rFonts w:eastAsia="Calibri"/>
              </w:rPr>
            </w:pPr>
            <w:r w:rsidRPr="00E0193B">
              <w:rPr>
                <w:rFonts w:eastAsia="Calibri"/>
              </w:rPr>
              <w:t>Szacowany koszt</w:t>
            </w:r>
          </w:p>
        </w:tc>
        <w:tc>
          <w:tcPr>
            <w:tcW w:w="3821" w:type="pct"/>
            <w:gridSpan w:val="2"/>
          </w:tcPr>
          <w:p w14:paraId="4832A700" w14:textId="7247D668" w:rsidR="00B9455A" w:rsidRPr="00E0193B" w:rsidRDefault="00B9455A" w:rsidP="00B9455A">
            <w:pPr>
              <w:spacing w:after="120" w:line="240" w:lineRule="auto"/>
            </w:pPr>
            <w:r w:rsidRPr="00E0193B">
              <w:t>Proponowana zmiana skutkuje utworzeniem program wsparcia o wartości 373</w:t>
            </w:r>
            <w:r>
              <w:t xml:space="preserve"> 750 000 </w:t>
            </w:r>
            <w:r w:rsidRPr="00E0193B">
              <w:t xml:space="preserve">EUR.  </w:t>
            </w:r>
          </w:p>
          <w:p w14:paraId="3EF46EFD" w14:textId="53A2F0AE" w:rsidR="00B9455A" w:rsidRPr="00E0193B" w:rsidRDefault="00B9455A" w:rsidP="00B9455A">
            <w:pPr>
              <w:spacing w:after="120" w:line="240" w:lineRule="auto"/>
              <w:jc w:val="left"/>
              <w:rPr>
                <w:rFonts w:eastAsia="Calibri"/>
                <w:lang w:val="en-GB"/>
              </w:rPr>
            </w:pPr>
            <w:r w:rsidRPr="00E0193B">
              <w:rPr>
                <w:rStyle w:val="y2iqfc"/>
                <w:color w:val="1F1F1F"/>
                <w:lang w:val="en"/>
              </w:rPr>
              <w:t>The proposed change results in the creation of a support program worth EUR 373</w:t>
            </w:r>
            <w:r>
              <w:rPr>
                <w:rStyle w:val="y2iqfc"/>
                <w:color w:val="1F1F1F"/>
                <w:lang w:val="en"/>
              </w:rPr>
              <w:t> 750 000</w:t>
            </w:r>
          </w:p>
        </w:tc>
      </w:tr>
      <w:tr w:rsidR="00B9455A" w:rsidRPr="00E0193B" w14:paraId="2C1BD1F0" w14:textId="77777777" w:rsidTr="002D1247">
        <w:tc>
          <w:tcPr>
            <w:tcW w:w="1179" w:type="pct"/>
          </w:tcPr>
          <w:p w14:paraId="79343D5C" w14:textId="77777777" w:rsidR="00B9455A" w:rsidRPr="00E0193B" w:rsidRDefault="00B9455A" w:rsidP="00B9455A">
            <w:pPr>
              <w:spacing w:after="120" w:line="240" w:lineRule="auto"/>
              <w:jc w:val="left"/>
              <w:rPr>
                <w:rFonts w:eastAsia="Calibri"/>
                <w:lang w:val="en-GB"/>
              </w:rPr>
            </w:pPr>
            <w:r w:rsidRPr="00E0193B">
              <w:rPr>
                <w:rFonts w:eastAsia="Calibri"/>
                <w:lang w:val="en-GB"/>
              </w:rPr>
              <w:t>Klimatyczny i cyfrowy tagging</w:t>
            </w:r>
          </w:p>
        </w:tc>
        <w:tc>
          <w:tcPr>
            <w:tcW w:w="3821" w:type="pct"/>
            <w:gridSpan w:val="2"/>
          </w:tcPr>
          <w:p w14:paraId="6422F4F2" w14:textId="600CFD6B" w:rsidR="00B9455A" w:rsidRPr="00E0193B" w:rsidRDefault="00B9455A" w:rsidP="00B9455A">
            <w:pPr>
              <w:spacing w:after="120" w:line="240" w:lineRule="auto"/>
              <w:jc w:val="left"/>
              <w:rPr>
                <w:rFonts w:eastAsia="Calibri"/>
              </w:rPr>
            </w:pPr>
            <w:r w:rsidRPr="00E0193B">
              <w:rPr>
                <w:rFonts w:eastAsia="Calibri"/>
              </w:rPr>
              <w:t xml:space="preserve">Zmiana </w:t>
            </w:r>
            <w:r>
              <w:rPr>
                <w:rFonts w:eastAsia="Calibri"/>
              </w:rPr>
              <w:t xml:space="preserve">zwiększa tagging </w:t>
            </w:r>
            <w:r w:rsidRPr="00E0193B">
              <w:rPr>
                <w:rFonts w:eastAsia="Calibri"/>
              </w:rPr>
              <w:t xml:space="preserve">klimatyczny i </w:t>
            </w:r>
            <w:r>
              <w:rPr>
                <w:rFonts w:eastAsia="Calibri"/>
              </w:rPr>
              <w:t xml:space="preserve">nie ma wpływu na tagging </w:t>
            </w:r>
            <w:r w:rsidRPr="00E0193B">
              <w:rPr>
                <w:rFonts w:eastAsia="Calibri"/>
              </w:rPr>
              <w:t xml:space="preserve">cyfrowy </w:t>
            </w:r>
          </w:p>
        </w:tc>
      </w:tr>
      <w:tr w:rsidR="00B9455A" w:rsidRPr="00E0193B" w14:paraId="688D782A" w14:textId="77777777" w:rsidTr="002D1247">
        <w:tc>
          <w:tcPr>
            <w:tcW w:w="1179" w:type="pct"/>
          </w:tcPr>
          <w:p w14:paraId="4251BEDA" w14:textId="77777777" w:rsidR="00B9455A" w:rsidRPr="00E0193B" w:rsidRDefault="00B9455A" w:rsidP="00B9455A">
            <w:pPr>
              <w:spacing w:after="120" w:line="240" w:lineRule="auto"/>
              <w:jc w:val="left"/>
              <w:rPr>
                <w:rFonts w:eastAsia="Calibri"/>
              </w:rPr>
            </w:pPr>
            <w:r w:rsidRPr="00E0193B">
              <w:rPr>
                <w:rFonts w:eastAsia="Calibri"/>
              </w:rPr>
              <w:t>Ocena DNSH</w:t>
            </w:r>
          </w:p>
        </w:tc>
        <w:tc>
          <w:tcPr>
            <w:tcW w:w="3821" w:type="pct"/>
            <w:gridSpan w:val="2"/>
          </w:tcPr>
          <w:p w14:paraId="551382CB" w14:textId="77777777" w:rsidR="00B9455A" w:rsidRPr="00E0193B" w:rsidRDefault="00B9455A" w:rsidP="00B9455A">
            <w:pPr>
              <w:spacing w:after="120" w:line="240" w:lineRule="auto"/>
              <w:jc w:val="left"/>
              <w:rPr>
                <w:rFonts w:eastAsia="Calibri"/>
              </w:rPr>
            </w:pPr>
            <w:r w:rsidRPr="00E0193B">
              <w:rPr>
                <w:rFonts w:eastAsia="Calibri"/>
              </w:rPr>
              <w:t>Zmiana nie ma wpływu na  DNSH</w:t>
            </w:r>
          </w:p>
        </w:tc>
      </w:tr>
    </w:tbl>
    <w:p w14:paraId="3D08DA4B" w14:textId="77777777" w:rsidR="00B72575" w:rsidRPr="00E0193B" w:rsidRDefault="00B72575" w:rsidP="00B72575">
      <w:pPr>
        <w:spacing w:line="240" w:lineRule="auto"/>
        <w:jc w:val="left"/>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6"/>
        <w:gridCol w:w="10"/>
        <w:gridCol w:w="3420"/>
        <w:gridCol w:w="3670"/>
      </w:tblGrid>
      <w:tr w:rsidR="00D94758" w:rsidRPr="00E0193B" w14:paraId="3460EA08" w14:textId="77777777" w:rsidTr="00D94758">
        <w:tc>
          <w:tcPr>
            <w:tcW w:w="1068" w:type="pct"/>
            <w:gridSpan w:val="2"/>
            <w:tcBorders>
              <w:top w:val="single" w:sz="4" w:space="0" w:color="auto"/>
              <w:left w:val="single" w:sz="4" w:space="0" w:color="auto"/>
              <w:bottom w:val="single" w:sz="4" w:space="0" w:color="auto"/>
              <w:right w:val="single" w:sz="4" w:space="0" w:color="auto"/>
            </w:tcBorders>
            <w:shd w:val="clear" w:color="auto" w:fill="FFFFFF"/>
          </w:tcPr>
          <w:p w14:paraId="413B41C4" w14:textId="77777777" w:rsidR="00D94758" w:rsidRPr="00E0193B" w:rsidRDefault="00D94758" w:rsidP="00D94758">
            <w:pPr>
              <w:spacing w:after="0" w:line="240" w:lineRule="auto"/>
              <w:jc w:val="left"/>
              <w:rPr>
                <w:rFonts w:eastAsia="Calibri"/>
                <w:b/>
                <w:bCs/>
              </w:rPr>
            </w:pPr>
            <w:r w:rsidRPr="00E0193B">
              <w:rPr>
                <w:rFonts w:eastAsia="Calibri"/>
                <w:b/>
                <w:bCs/>
              </w:rPr>
              <w:t>Numer inwestycji</w:t>
            </w:r>
          </w:p>
        </w:tc>
        <w:tc>
          <w:tcPr>
            <w:tcW w:w="3932" w:type="pct"/>
            <w:gridSpan w:val="2"/>
            <w:tcBorders>
              <w:top w:val="single" w:sz="4" w:space="0" w:color="auto"/>
              <w:left w:val="single" w:sz="4" w:space="0" w:color="auto"/>
              <w:bottom w:val="single" w:sz="4" w:space="0" w:color="auto"/>
              <w:right w:val="single" w:sz="4" w:space="0" w:color="auto"/>
            </w:tcBorders>
            <w:shd w:val="clear" w:color="auto" w:fill="FFFFFF"/>
          </w:tcPr>
          <w:p w14:paraId="1956DCCA" w14:textId="77777777" w:rsidR="00D94758" w:rsidRPr="00E0193B" w:rsidRDefault="00D94758" w:rsidP="00D94758">
            <w:pPr>
              <w:ind w:left="34"/>
              <w:contextualSpacing/>
              <w:rPr>
                <w:b/>
                <w:bCs/>
              </w:rPr>
            </w:pPr>
            <w:r w:rsidRPr="00E0193B">
              <w:rPr>
                <w:b/>
                <w:bCs/>
              </w:rPr>
              <w:t>E1.1.1</w:t>
            </w:r>
          </w:p>
        </w:tc>
      </w:tr>
      <w:tr w:rsidR="00D94758" w:rsidRPr="00E0193B" w14:paraId="63C331E3" w14:textId="77777777" w:rsidTr="00D94758">
        <w:tc>
          <w:tcPr>
            <w:tcW w:w="1068" w:type="pct"/>
            <w:gridSpan w:val="2"/>
            <w:tcBorders>
              <w:top w:val="single" w:sz="4" w:space="0" w:color="auto"/>
              <w:left w:val="single" w:sz="4" w:space="0" w:color="auto"/>
              <w:bottom w:val="single" w:sz="4" w:space="0" w:color="auto"/>
              <w:right w:val="single" w:sz="4" w:space="0" w:color="auto"/>
            </w:tcBorders>
            <w:shd w:val="clear" w:color="auto" w:fill="FFFFFF"/>
          </w:tcPr>
          <w:p w14:paraId="04FEF4AD" w14:textId="77777777" w:rsidR="00D94758" w:rsidRPr="00E0193B" w:rsidRDefault="00D94758" w:rsidP="00D94758">
            <w:pPr>
              <w:spacing w:line="259" w:lineRule="auto"/>
              <w:jc w:val="left"/>
              <w:rPr>
                <w:rFonts w:eastAsia="Calibri"/>
                <w:b/>
                <w:bCs/>
              </w:rPr>
            </w:pPr>
            <w:r w:rsidRPr="00E0193B">
              <w:rPr>
                <w:rFonts w:eastAsia="Calibri"/>
                <w:b/>
                <w:bCs/>
              </w:rPr>
              <w:t xml:space="preserve">Nazwa inwestycji </w:t>
            </w:r>
          </w:p>
        </w:tc>
        <w:tc>
          <w:tcPr>
            <w:tcW w:w="3932" w:type="pct"/>
            <w:gridSpan w:val="2"/>
            <w:tcBorders>
              <w:top w:val="single" w:sz="4" w:space="0" w:color="auto"/>
              <w:left w:val="single" w:sz="4" w:space="0" w:color="auto"/>
              <w:bottom w:val="single" w:sz="4" w:space="0" w:color="auto"/>
              <w:right w:val="single" w:sz="4" w:space="0" w:color="auto"/>
            </w:tcBorders>
            <w:shd w:val="clear" w:color="auto" w:fill="FFFFFF"/>
          </w:tcPr>
          <w:p w14:paraId="7DDA6F60" w14:textId="77777777" w:rsidR="00D94758" w:rsidRPr="00E0193B" w:rsidRDefault="00D94758" w:rsidP="00D94758">
            <w:pPr>
              <w:ind w:left="34"/>
              <w:contextualSpacing/>
              <w:rPr>
                <w:b/>
                <w:bCs/>
              </w:rPr>
            </w:pPr>
            <w:r w:rsidRPr="00E0193B">
              <w:rPr>
                <w:b/>
                <w:bCs/>
              </w:rPr>
              <w:t>Wsparcie dla gospodarki niskoemisyjnej</w:t>
            </w:r>
          </w:p>
          <w:p w14:paraId="43FD3410" w14:textId="1C9C7BEC" w:rsidR="00970A67" w:rsidRPr="00E0193B" w:rsidRDefault="00970A67" w:rsidP="00D94758">
            <w:pPr>
              <w:ind w:left="34"/>
              <w:contextualSpacing/>
              <w:rPr>
                <w:b/>
                <w:bCs/>
                <w:lang w:val="en-GB"/>
              </w:rPr>
            </w:pPr>
          </w:p>
        </w:tc>
      </w:tr>
      <w:tr w:rsidR="00D94758" w:rsidRPr="00E0193B" w14:paraId="661FEC63" w14:textId="77777777" w:rsidTr="00D94758">
        <w:tc>
          <w:tcPr>
            <w:tcW w:w="1068" w:type="pct"/>
            <w:gridSpan w:val="2"/>
            <w:tcBorders>
              <w:top w:val="single" w:sz="4" w:space="0" w:color="auto"/>
              <w:left w:val="single" w:sz="4" w:space="0" w:color="auto"/>
              <w:bottom w:val="single" w:sz="4" w:space="0" w:color="auto"/>
              <w:right w:val="single" w:sz="4" w:space="0" w:color="auto"/>
            </w:tcBorders>
            <w:shd w:val="clear" w:color="auto" w:fill="FFFFFF"/>
          </w:tcPr>
          <w:p w14:paraId="525DB6C4" w14:textId="77777777" w:rsidR="00D94758" w:rsidRPr="00E0193B" w:rsidRDefault="00D94758" w:rsidP="00D94758">
            <w:pPr>
              <w:spacing w:line="259" w:lineRule="auto"/>
              <w:jc w:val="left"/>
              <w:rPr>
                <w:rFonts w:eastAsia="Calibri"/>
              </w:rPr>
            </w:pPr>
            <w:r w:rsidRPr="00E0193B">
              <w:rPr>
                <w:rFonts w:eastAsia="Calibri"/>
              </w:rPr>
              <w:lastRenderedPageBreak/>
              <w:t>Rodzaj wprowadzonej zmiany w odniesieniu do CID</w:t>
            </w:r>
          </w:p>
        </w:tc>
        <w:tc>
          <w:tcPr>
            <w:tcW w:w="3932" w:type="pct"/>
            <w:gridSpan w:val="2"/>
            <w:tcBorders>
              <w:top w:val="single" w:sz="4" w:space="0" w:color="auto"/>
              <w:left w:val="single" w:sz="4" w:space="0" w:color="auto"/>
              <w:bottom w:val="single" w:sz="4" w:space="0" w:color="auto"/>
              <w:right w:val="single" w:sz="4" w:space="0" w:color="auto"/>
            </w:tcBorders>
            <w:shd w:val="clear" w:color="auto" w:fill="FFFFFF"/>
          </w:tcPr>
          <w:p w14:paraId="2EF6E059" w14:textId="77777777" w:rsidR="00D94758" w:rsidRPr="00E0193B" w:rsidRDefault="00D94758" w:rsidP="00D94758">
            <w:pPr>
              <w:ind w:left="34"/>
              <w:contextualSpacing/>
            </w:pPr>
            <w:r w:rsidRPr="00E0193B">
              <w:t xml:space="preserve">Przeniesienie inwestycji do części pożyczkowej KPO oraz zmiana kamienia milowego E9G oraz wskaźników E10G, E11G, E12G przypisanych do inwestycji. Przesunięcie terminu realizacji inwestycji oraz wskaźników E9G, E10G i E12G. </w:t>
            </w:r>
          </w:p>
          <w:p w14:paraId="70396D38" w14:textId="500974E6" w:rsidR="00970A67" w:rsidRPr="00E0193B" w:rsidRDefault="00970A67" w:rsidP="00401FE8">
            <w:pPr>
              <w:pStyle w:val="HTML-wstpniesformatowany"/>
              <w:rPr>
                <w:rFonts w:ascii="Times New Roman" w:hAnsi="Times New Roman" w:cs="Times New Roman"/>
                <w:sz w:val="24"/>
                <w:szCs w:val="24"/>
              </w:rPr>
            </w:pPr>
          </w:p>
        </w:tc>
      </w:tr>
      <w:tr w:rsidR="00D94758" w:rsidRPr="00E0193B" w14:paraId="468FA4D5" w14:textId="77777777" w:rsidTr="00D94758">
        <w:tc>
          <w:tcPr>
            <w:tcW w:w="1068" w:type="pct"/>
            <w:gridSpan w:val="2"/>
            <w:tcBorders>
              <w:top w:val="single" w:sz="4" w:space="0" w:color="auto"/>
              <w:left w:val="single" w:sz="4" w:space="0" w:color="auto"/>
              <w:bottom w:val="single" w:sz="4" w:space="0" w:color="auto"/>
              <w:right w:val="single" w:sz="4" w:space="0" w:color="auto"/>
            </w:tcBorders>
            <w:shd w:val="clear" w:color="auto" w:fill="FFFFFF"/>
          </w:tcPr>
          <w:p w14:paraId="71BC734B" w14:textId="77777777" w:rsidR="00D94758" w:rsidRPr="00E0193B" w:rsidRDefault="00D94758" w:rsidP="00D94758">
            <w:pPr>
              <w:spacing w:line="259" w:lineRule="auto"/>
              <w:jc w:val="left"/>
              <w:rPr>
                <w:rFonts w:eastAsia="Calibri"/>
              </w:rPr>
            </w:pPr>
            <w:r w:rsidRPr="00E0193B">
              <w:rPr>
                <w:rFonts w:eastAsia="Calibri"/>
              </w:rPr>
              <w:t>Podstawa prawna zmiany</w:t>
            </w:r>
          </w:p>
        </w:tc>
        <w:tc>
          <w:tcPr>
            <w:tcW w:w="3932" w:type="pct"/>
            <w:gridSpan w:val="2"/>
            <w:tcBorders>
              <w:top w:val="single" w:sz="4" w:space="0" w:color="auto"/>
              <w:left w:val="single" w:sz="4" w:space="0" w:color="auto"/>
              <w:bottom w:val="single" w:sz="4" w:space="0" w:color="auto"/>
              <w:right w:val="single" w:sz="4" w:space="0" w:color="auto"/>
            </w:tcBorders>
            <w:shd w:val="clear" w:color="auto" w:fill="FFFFFF"/>
          </w:tcPr>
          <w:p w14:paraId="65A00293" w14:textId="77777777" w:rsidR="00D94758" w:rsidRPr="00E0193B" w:rsidRDefault="00D94758" w:rsidP="00D94758">
            <w:pPr>
              <w:ind w:left="34"/>
              <w:contextualSpacing/>
            </w:pPr>
            <w:r w:rsidRPr="00E0193B">
              <w:t>art. 21 rozporządzenia Parlamentu Europejskiego i Rady (UE) 2021/241 z dnia 12 lutego 2021 r. ustanawiające Instrument na rzecz Odbudowy i Zwiększania Odporności</w:t>
            </w:r>
            <w:r w:rsidRPr="00E0193B" w:rsidDel="00A106E1">
              <w:t xml:space="preserve"> </w:t>
            </w:r>
          </w:p>
        </w:tc>
      </w:tr>
      <w:tr w:rsidR="00D94758" w:rsidRPr="00E0193B" w14:paraId="2A33AD8C" w14:textId="77777777" w:rsidTr="00B72575">
        <w:tc>
          <w:tcPr>
            <w:tcW w:w="1063" w:type="pct"/>
            <w:shd w:val="clear" w:color="auto" w:fill="D9D9D9"/>
          </w:tcPr>
          <w:p w14:paraId="0FB35AA5" w14:textId="77777777" w:rsidR="00D94758" w:rsidRPr="00E0193B" w:rsidRDefault="00D94758" w:rsidP="00D94758">
            <w:pPr>
              <w:spacing w:after="0" w:line="240" w:lineRule="auto"/>
              <w:jc w:val="left"/>
              <w:rPr>
                <w:rFonts w:eastAsia="Calibri"/>
                <w:highlight w:val="lightGray"/>
              </w:rPr>
            </w:pPr>
            <w:r w:rsidRPr="00E0193B">
              <w:rPr>
                <w:rFonts w:eastAsia="Calibri"/>
                <w:highlight w:val="lightGray"/>
              </w:rPr>
              <w:t>Modyfikowany element</w:t>
            </w:r>
          </w:p>
        </w:tc>
        <w:tc>
          <w:tcPr>
            <w:tcW w:w="1902" w:type="pct"/>
            <w:gridSpan w:val="2"/>
            <w:shd w:val="clear" w:color="auto" w:fill="D9D9D9"/>
          </w:tcPr>
          <w:p w14:paraId="6EA9288E" w14:textId="77777777" w:rsidR="00D94758" w:rsidRPr="00E0193B" w:rsidRDefault="00D94758" w:rsidP="00D94758">
            <w:pPr>
              <w:spacing w:after="0" w:line="240" w:lineRule="auto"/>
              <w:jc w:val="center"/>
              <w:rPr>
                <w:rFonts w:eastAsia="Calibri"/>
                <w:highlight w:val="lightGray"/>
              </w:rPr>
            </w:pPr>
            <w:r w:rsidRPr="00E0193B">
              <w:rPr>
                <w:rFonts w:eastAsia="Calibri"/>
                <w:highlight w:val="lightGray"/>
              </w:rPr>
              <w:t>Wersja aktualna</w:t>
            </w:r>
          </w:p>
        </w:tc>
        <w:tc>
          <w:tcPr>
            <w:tcW w:w="2035" w:type="pct"/>
            <w:shd w:val="clear" w:color="auto" w:fill="D9D9D9"/>
          </w:tcPr>
          <w:p w14:paraId="6A85CDC3" w14:textId="77777777" w:rsidR="00D94758" w:rsidRPr="00E0193B" w:rsidRDefault="00D94758" w:rsidP="00D94758">
            <w:pPr>
              <w:spacing w:after="0" w:line="240" w:lineRule="auto"/>
              <w:jc w:val="center"/>
              <w:rPr>
                <w:rFonts w:eastAsia="Calibri"/>
                <w:highlight w:val="lightGray"/>
              </w:rPr>
            </w:pPr>
            <w:r w:rsidRPr="00E0193B">
              <w:rPr>
                <w:rFonts w:eastAsia="Calibri"/>
                <w:highlight w:val="lightGray"/>
              </w:rPr>
              <w:t>Wersja zmieniona</w:t>
            </w:r>
          </w:p>
        </w:tc>
      </w:tr>
      <w:tr w:rsidR="00B439BC" w:rsidRPr="00935797" w14:paraId="29069951" w14:textId="77777777" w:rsidTr="00B72575">
        <w:tc>
          <w:tcPr>
            <w:tcW w:w="1063" w:type="pct"/>
          </w:tcPr>
          <w:p w14:paraId="1B95A96E" w14:textId="77777777" w:rsidR="00B439BC" w:rsidRPr="00E0193B" w:rsidRDefault="00B439BC" w:rsidP="00B439BC">
            <w:pPr>
              <w:spacing w:after="0" w:line="240" w:lineRule="auto"/>
              <w:jc w:val="left"/>
              <w:rPr>
                <w:rFonts w:eastAsia="Calibri"/>
              </w:rPr>
            </w:pPr>
            <w:r w:rsidRPr="00E0193B">
              <w:rPr>
                <w:rFonts w:eastAsia="Calibri"/>
              </w:rPr>
              <w:t xml:space="preserve">Opis inwestycji </w:t>
            </w:r>
          </w:p>
          <w:p w14:paraId="5791A512" w14:textId="77777777" w:rsidR="00B439BC" w:rsidRPr="00E0193B" w:rsidRDefault="00B439BC" w:rsidP="00B439BC">
            <w:pPr>
              <w:spacing w:after="0" w:line="240" w:lineRule="auto"/>
              <w:jc w:val="left"/>
              <w:rPr>
                <w:rFonts w:eastAsia="Calibri"/>
              </w:rPr>
            </w:pPr>
            <w:r w:rsidRPr="00E0193B">
              <w:rPr>
                <w:rFonts w:eastAsia="Calibri"/>
              </w:rPr>
              <w:t>(str. 203 polskiej wersji CID)</w:t>
            </w:r>
          </w:p>
        </w:tc>
        <w:tc>
          <w:tcPr>
            <w:tcW w:w="1902" w:type="pct"/>
            <w:gridSpan w:val="2"/>
          </w:tcPr>
          <w:p w14:paraId="097681A7" w14:textId="77777777" w:rsidR="00B439BC" w:rsidRPr="00E0193B" w:rsidRDefault="00B439BC" w:rsidP="00B439BC">
            <w:pPr>
              <w:spacing w:after="0" w:line="240" w:lineRule="auto"/>
              <w:jc w:val="left"/>
              <w:rPr>
                <w:rFonts w:eastAsia="Calibri"/>
              </w:rPr>
            </w:pPr>
            <w:r w:rsidRPr="00E0193B">
              <w:rPr>
                <w:rFonts w:eastAsia="Calibri"/>
              </w:rPr>
              <w:t xml:space="preserve">Ogólnym celem inwestycji jest przyczynianie się do rozwoju gospodarki niskoemisyjnej i zeroemisyjnej przez wspieranie przemysłu z myślą o sektorze czystej mobilności i sektorze energetycznym. </w:t>
            </w:r>
          </w:p>
          <w:p w14:paraId="22589C8A" w14:textId="77777777" w:rsidR="00B439BC" w:rsidRPr="00E0193B" w:rsidRDefault="00B439BC" w:rsidP="00B439BC">
            <w:pPr>
              <w:spacing w:after="0" w:line="240" w:lineRule="auto"/>
              <w:jc w:val="left"/>
              <w:rPr>
                <w:rFonts w:eastAsia="Calibri"/>
              </w:rPr>
            </w:pPr>
            <w:r w:rsidRPr="00E0193B">
              <w:rPr>
                <w:rFonts w:eastAsia="Calibri"/>
              </w:rPr>
              <w:t>Celem szczegółowym inwestycji jest zwiększenie potencjału wybranych sektorów w zakresie opracowywania zeroemisyjnych i niskoemisyjnych rozwiązań produktowych.</w:t>
            </w:r>
          </w:p>
          <w:p w14:paraId="3C7A2ECD" w14:textId="77777777" w:rsidR="00B439BC" w:rsidRPr="00E0193B" w:rsidRDefault="00B439BC" w:rsidP="00B439BC">
            <w:pPr>
              <w:spacing w:after="0" w:line="240" w:lineRule="auto"/>
              <w:jc w:val="left"/>
              <w:rPr>
                <w:rFonts w:eastAsia="Calibri"/>
              </w:rPr>
            </w:pPr>
            <w:r w:rsidRPr="00E0193B">
              <w:rPr>
                <w:rFonts w:eastAsia="Calibri"/>
              </w:rPr>
              <w:t>Cele te będą realizowane przez ustanowienie specjalnego instrumentu finansowego (funduszu) dla wspomnianych powyżej projektów przemysłowych. Wspierane produkty i technologie mogą w szczególności obejmować procesy badawcze i innowacyjne, transfer technologii i współpracę między przedsiębiorstwami koncentrującymi się na gospodarce niskoemisyjnej, ze szczególnym uwzględnieniem nisko- i zeroemisyjnych rozwiązań innowacyjnych w dziedzinie zrównoważonej mobilności oraz nisko- i zeroemisyjnych źródeł energii.</w:t>
            </w:r>
          </w:p>
          <w:p w14:paraId="3662520E" w14:textId="77777777" w:rsidR="00B439BC" w:rsidRPr="00E0193B" w:rsidRDefault="00B439BC" w:rsidP="00B439BC">
            <w:pPr>
              <w:spacing w:after="0" w:line="240" w:lineRule="auto"/>
              <w:jc w:val="left"/>
              <w:rPr>
                <w:rFonts w:eastAsia="Calibri"/>
              </w:rPr>
            </w:pPr>
            <w:r w:rsidRPr="00E0193B">
              <w:rPr>
                <w:rFonts w:eastAsia="Calibri"/>
              </w:rPr>
              <w:t>Beneficjentami wsparcia będą przede wszystkim MŚP i spółki o średniej kapitalizacji.</w:t>
            </w:r>
          </w:p>
          <w:p w14:paraId="74F2A5EB" w14:textId="77777777" w:rsidR="00B439BC" w:rsidRPr="00E0193B" w:rsidRDefault="00B439BC" w:rsidP="00B439BC">
            <w:pPr>
              <w:spacing w:after="0" w:line="240" w:lineRule="auto"/>
              <w:jc w:val="left"/>
              <w:rPr>
                <w:rFonts w:eastAsia="Calibri"/>
              </w:rPr>
            </w:pPr>
            <w:r w:rsidRPr="00E0193B">
              <w:rPr>
                <w:rFonts w:eastAsia="Calibri"/>
              </w:rPr>
              <w:t>Fundusz, wraz z jego strategią inwestycyjną, zostanie ustanowiony do dnia 30 czerwca 2022 r.</w:t>
            </w:r>
          </w:p>
          <w:p w14:paraId="149B0432" w14:textId="7A4A31DC" w:rsidR="00B439BC" w:rsidRPr="00E0193B" w:rsidRDefault="00B439BC" w:rsidP="00B439BC">
            <w:pPr>
              <w:spacing w:after="0" w:line="240" w:lineRule="auto"/>
              <w:jc w:val="left"/>
              <w:rPr>
                <w:rFonts w:eastAsia="Calibri"/>
              </w:rPr>
            </w:pPr>
            <w:r w:rsidRPr="00E0193B">
              <w:rPr>
                <w:rFonts w:eastAsia="Calibri"/>
              </w:rPr>
              <w:t>Wyniki funduszu w stosunku do jego celów będą monitorowane za pomocą konkretnych wartości docelowych dotyczących zdolności produkcyjnej nowych pojazdów zeroemisyjnych oraz zdolności w zakresie produkcji i magazynowania zeroemisyjnych/niskoemisyjnych instalacji magazynowych, a także za pomocą rozwiązań w zakresie zrównoważonej mobilności oraz zeroemisyjnych i niskoemisyjnych źródeł energii (z wyłączeniem sprężonego gazu ziemnego i skroplonego gazu ziemnego). Aby zapewnić zgodność środka z wytycznymi technicznymi dotyczącymi stosowania zasady „nie czyń poważnych szkód” (2021/C 58/01), kryteria kwalifikacji w odniesieniu do tego instrumentu finansowego wykluczają następujący wykaz działań: (i) działania związane z paliwami kopalnymi, w tym zastosowania niższego szczebla30; (ii) działania w ramach unijnego systemu handlu uprawnieniami do emisji (ETS) prowadzące do osiągnięcia prognozowanych emisji gazów cieplarnianych nie niższych niż odpowiednie wskaźniki emisyjności31; (iii) działalność związana ze składowiskami odpadów, spalarniami32 i zakładami mechaniczno-biologicznego przetwarzania odpadów33 oraz (iv) działania, w przypadku których długoterminowe unieszkodliwianie odpadów może szkodzić środowisku naturalnemu. W zakresie zadań znajduje się dodatkowy wymóg, aby wybierane były tylko te działania, które są zgodne z odpowiednimi unijnymi i krajowymi przepisami dotyczącymi ochrony środowiska.</w:t>
            </w:r>
          </w:p>
          <w:p w14:paraId="19FCA199" w14:textId="77777777" w:rsidR="00B439BC" w:rsidRPr="00E0193B" w:rsidRDefault="00B439BC" w:rsidP="00B439BC">
            <w:pPr>
              <w:spacing w:after="0" w:line="240" w:lineRule="auto"/>
              <w:jc w:val="left"/>
              <w:rPr>
                <w:rFonts w:eastAsia="Calibri"/>
              </w:rPr>
            </w:pPr>
          </w:p>
          <w:p w14:paraId="0BD01D3D" w14:textId="77777777" w:rsidR="00B439BC" w:rsidRPr="00E0193B" w:rsidRDefault="00B439BC" w:rsidP="00B439BC">
            <w:pPr>
              <w:spacing w:after="0" w:line="240" w:lineRule="auto"/>
              <w:jc w:val="left"/>
              <w:rPr>
                <w:rFonts w:eastAsia="Calibri"/>
              </w:rPr>
            </w:pPr>
          </w:p>
          <w:p w14:paraId="49FE588B" w14:textId="77777777" w:rsidR="00B439BC" w:rsidRPr="00E0193B" w:rsidRDefault="00B439BC" w:rsidP="00B439BC">
            <w:pPr>
              <w:spacing w:after="0" w:line="240" w:lineRule="auto"/>
              <w:jc w:val="left"/>
              <w:rPr>
                <w:rFonts w:eastAsia="Calibri"/>
              </w:rPr>
            </w:pPr>
            <w:r w:rsidRPr="00E0193B">
              <w:rPr>
                <w:rFonts w:eastAsia="Calibri"/>
              </w:rPr>
              <w:t>Realizacja inwestycji zostanie zakończona do dnia 30 czerwca 2026 r.</w:t>
            </w:r>
          </w:p>
        </w:tc>
        <w:tc>
          <w:tcPr>
            <w:tcW w:w="2035" w:type="pct"/>
          </w:tcPr>
          <w:p w14:paraId="210D1D4F" w14:textId="77777777" w:rsidR="00B439BC" w:rsidRPr="00E0193B" w:rsidRDefault="00B439BC" w:rsidP="00B439BC">
            <w:pPr>
              <w:spacing w:after="0" w:line="240" w:lineRule="auto"/>
            </w:pPr>
            <w:r w:rsidRPr="00E0193B">
              <w:t xml:space="preserve">Ogólnym celem inwestycji jest przyczynianie się do rozwoju gospodarki niskoemisyjnej i zeroemisyjnej przez wspieranie przemysłu z myślą o sektorze czystej mobilności i sektorze energetycznym. </w:t>
            </w:r>
          </w:p>
          <w:p w14:paraId="0F2A1B7F" w14:textId="77777777" w:rsidR="00B439BC" w:rsidRPr="00E0193B" w:rsidRDefault="00B439BC" w:rsidP="00B439BC">
            <w:pPr>
              <w:spacing w:after="0" w:line="240" w:lineRule="auto"/>
            </w:pPr>
            <w:r w:rsidRPr="00E0193B">
              <w:t>Celem szczegółowym inwestycji jest zwiększenie potencjału wybranych sektorów w zakresie opracowywania zeroemisyjnych i niskoemisyjnych rozwiązań produktowych.</w:t>
            </w:r>
          </w:p>
          <w:p w14:paraId="5D6D88AA" w14:textId="77777777" w:rsidR="00B439BC" w:rsidRPr="00E0193B" w:rsidRDefault="00B439BC" w:rsidP="00B439BC">
            <w:pPr>
              <w:spacing w:after="0" w:line="240" w:lineRule="auto"/>
              <w:rPr>
                <w:color w:val="FF0000"/>
              </w:rPr>
            </w:pPr>
          </w:p>
          <w:p w14:paraId="4E20BE12" w14:textId="77777777" w:rsidR="00B439BC" w:rsidRPr="00E0193B" w:rsidRDefault="00B439BC" w:rsidP="00B439BC">
            <w:pPr>
              <w:spacing w:after="0" w:line="240" w:lineRule="auto"/>
              <w:rPr>
                <w:color w:val="FF0000"/>
              </w:rPr>
            </w:pPr>
            <w:r w:rsidRPr="00E0193B">
              <w:rPr>
                <w:color w:val="FF0000"/>
              </w:rPr>
              <w:t>Wspierane będą przedsięwzięcia, które przyczyniają się do ograniczenia emisji gazów cieplarnianych i zwiększają alternatywy dla rozwiązań nisko- i zeroemisyjnych (z wyłączeniem sprężonego gazu ziemnego i skroplonego gazu ziemnego), przede wszystkim w zakresie:</w:t>
            </w:r>
          </w:p>
          <w:p w14:paraId="592889FC" w14:textId="77777777" w:rsidR="00B439BC" w:rsidRPr="00E0193B" w:rsidRDefault="00B439BC" w:rsidP="00B439BC">
            <w:pPr>
              <w:spacing w:after="0" w:line="240" w:lineRule="auto"/>
              <w:jc w:val="left"/>
              <w:rPr>
                <w:color w:val="FF0000"/>
              </w:rPr>
            </w:pPr>
            <w:r w:rsidRPr="00E0193B">
              <w:rPr>
                <w:color w:val="FF0000"/>
              </w:rPr>
              <w:t xml:space="preserve">1. Odnawialnych źródeł energii, </w:t>
            </w:r>
          </w:p>
          <w:p w14:paraId="03427366" w14:textId="77777777" w:rsidR="00B439BC" w:rsidRPr="00E0193B" w:rsidRDefault="00B439BC" w:rsidP="00B439BC">
            <w:pPr>
              <w:spacing w:after="0" w:line="240" w:lineRule="auto"/>
              <w:jc w:val="left"/>
              <w:rPr>
                <w:color w:val="FF0000"/>
              </w:rPr>
            </w:pPr>
            <w:r w:rsidRPr="00E0193B">
              <w:rPr>
                <w:color w:val="FF0000"/>
              </w:rPr>
              <w:t>2. Magazynowania energii,</w:t>
            </w:r>
          </w:p>
          <w:p w14:paraId="2751C448" w14:textId="77777777" w:rsidR="00B439BC" w:rsidRPr="00E0193B" w:rsidRDefault="00B439BC" w:rsidP="00B439BC">
            <w:pPr>
              <w:spacing w:after="0" w:line="240" w:lineRule="auto"/>
              <w:jc w:val="left"/>
              <w:rPr>
                <w:color w:val="FF0000"/>
              </w:rPr>
            </w:pPr>
            <w:r w:rsidRPr="00E0193B">
              <w:rPr>
                <w:color w:val="FF0000"/>
              </w:rPr>
              <w:t>3. Mobilności, zrównoważonego transportu.</w:t>
            </w:r>
          </w:p>
          <w:p w14:paraId="06E3C8CA" w14:textId="77777777" w:rsidR="00B439BC" w:rsidRPr="00E0193B" w:rsidRDefault="00B439BC" w:rsidP="00B439BC">
            <w:pPr>
              <w:spacing w:after="0" w:line="240" w:lineRule="auto"/>
              <w:rPr>
                <w:color w:val="FF0000"/>
              </w:rPr>
            </w:pPr>
          </w:p>
          <w:p w14:paraId="6B9AB490" w14:textId="77777777" w:rsidR="00B439BC" w:rsidRPr="00E0193B" w:rsidRDefault="00B439BC" w:rsidP="00B439BC">
            <w:pPr>
              <w:spacing w:after="0" w:line="240" w:lineRule="auto"/>
              <w:rPr>
                <w:color w:val="FF0000"/>
              </w:rPr>
            </w:pPr>
            <w:r w:rsidRPr="00E0193B">
              <w:rPr>
                <w:color w:val="FF0000"/>
              </w:rPr>
              <w:t>Działanie to obejmuje inwestycje publiczne w określony Instrument – Fundusz „Przemysł dla transformacji” – w celu zachęcenia do realizacji inwestycji oraz poprawy dostępu do finansowania przemysłu w sektorach energii i transportu.</w:t>
            </w:r>
          </w:p>
          <w:p w14:paraId="290DE795" w14:textId="77777777" w:rsidR="00B439BC" w:rsidRPr="00E0193B" w:rsidRDefault="00B439BC" w:rsidP="00B439BC">
            <w:pPr>
              <w:spacing w:after="0" w:line="240" w:lineRule="auto"/>
              <w:rPr>
                <w:color w:val="FF0000"/>
              </w:rPr>
            </w:pPr>
          </w:p>
          <w:p w14:paraId="157A0EEE" w14:textId="77777777" w:rsidR="00B439BC" w:rsidRPr="00E0193B" w:rsidRDefault="00B439BC" w:rsidP="00B439BC">
            <w:pPr>
              <w:spacing w:after="0" w:line="240" w:lineRule="auto"/>
              <w:rPr>
                <w:color w:val="FF0000"/>
              </w:rPr>
            </w:pPr>
            <w:r w:rsidRPr="00E0193B">
              <w:rPr>
                <w:color w:val="FF0000"/>
              </w:rPr>
              <w:t>Instrumentem zarządza partner  wykonawczy, wyznaczony przez instytucję właściwą do realizacji inwestycji.</w:t>
            </w:r>
          </w:p>
          <w:p w14:paraId="069B8519" w14:textId="77777777" w:rsidR="00B439BC" w:rsidRPr="00E0193B" w:rsidRDefault="00B439BC" w:rsidP="00B439BC">
            <w:pPr>
              <w:spacing w:after="0" w:line="240" w:lineRule="auto"/>
              <w:rPr>
                <w:color w:val="FF0000"/>
              </w:rPr>
            </w:pPr>
          </w:p>
          <w:p w14:paraId="174DD23F" w14:textId="77777777" w:rsidR="00B439BC" w:rsidRPr="00E0193B" w:rsidRDefault="00B439BC" w:rsidP="00B439BC">
            <w:pPr>
              <w:spacing w:after="0" w:line="240" w:lineRule="auto"/>
              <w:rPr>
                <w:color w:val="FF0000"/>
              </w:rPr>
            </w:pPr>
            <w:r w:rsidRPr="00E0193B">
              <w:rPr>
                <w:color w:val="FF0000"/>
              </w:rPr>
              <w:t xml:space="preserve">Zadaniem Instrumentu jest przyczynienie się do zwiększenia mocy produkcyjnej w zakresie nowych pojazdów zeroemisyjnych oraz infrastruktury na potrzeby rozwoju elektromobilności, a także instalacji przemysłowych oraz innowacyjnych rozwiązań nastawionych na produkcję i magazynowanie zeroemisyjnej energii poprzez: </w:t>
            </w:r>
          </w:p>
          <w:p w14:paraId="1F877D47" w14:textId="77777777" w:rsidR="00B439BC" w:rsidRPr="00E0193B" w:rsidRDefault="00B439BC" w:rsidP="00A1213F">
            <w:pPr>
              <w:pStyle w:val="Akapitzlist"/>
              <w:numPr>
                <w:ilvl w:val="0"/>
                <w:numId w:val="24"/>
              </w:numPr>
              <w:spacing w:after="0" w:line="240" w:lineRule="auto"/>
              <w:rPr>
                <w:color w:val="FF0000"/>
              </w:rPr>
            </w:pPr>
            <w:r w:rsidRPr="00E0193B">
              <w:rPr>
                <w:color w:val="FF0000"/>
              </w:rPr>
              <w:t>finansowanie budowy, rozbudowy lub zmiany technologii linii do produkcji pojazdów zeroemisyjnych (samochodów, autobusów, ciężarówek, lokomotyw, tramwajów, motorów, skuterów, rowerów lub innych pojazdów); oraz urządzeń do ich produkcji i eksploatacji (finansowanie budowy, rozbudowy lub zmiany technologii linii produkcyjnych lub produkcji m.in.: akumulatorów do pojazdów elektrycznych, gniazd ładowania pojazdów elektrycznych, układów hamulcowych, układów kierowniczych, układów elektrycznych, oprogramowania do urządzeń, oprogramowania do zarządzania w pojazdach zeroemisyjnych);</w:t>
            </w:r>
          </w:p>
          <w:p w14:paraId="2BDDBDB9" w14:textId="77777777" w:rsidR="00B439BC" w:rsidRPr="00E0193B" w:rsidRDefault="00B439BC" w:rsidP="00A1213F">
            <w:pPr>
              <w:pStyle w:val="Akapitzlist"/>
              <w:numPr>
                <w:ilvl w:val="0"/>
                <w:numId w:val="24"/>
              </w:numPr>
              <w:spacing w:after="0" w:line="240" w:lineRule="auto"/>
              <w:rPr>
                <w:color w:val="FF0000"/>
              </w:rPr>
            </w:pPr>
            <w:r w:rsidRPr="00E0193B">
              <w:rPr>
                <w:color w:val="FF0000"/>
              </w:rPr>
              <w:t xml:space="preserve">finansowanie instalacji przemysłowych oraz innowacyjnych rozwiązań nastawionych na produkcję zeroemisyjnych źródeł energii </w:t>
            </w:r>
            <w:r w:rsidRPr="00E0193B">
              <w:rPr>
                <w:color w:val="FF0000"/>
              </w:rPr>
              <w:br/>
              <w:t>(np. OZE) i urządzeń do magazynowania energii oraz części dla tych instalacji (m.in. do: produkcji instalacji fotowoltaicznych, produkcji instalacji wiatrowych na lądzie i morzu, produkcji instalacji wodorowych, produkcji instalacji do biogazu, produkcji instalacji do biopaliw z OZE, produkcji pomp ciepła, produkcji urządzeń do magazynowania energii oraz produkcję stacji transformatorowych, produkcję akcesoriów elektrycznych do instalacji OZE, produkcję falowników, produkcję liczników i inteligentnych liczników, produkcję przewodów i kabli elektrycznych);</w:t>
            </w:r>
          </w:p>
          <w:p w14:paraId="74C42D22" w14:textId="77777777" w:rsidR="00B439BC" w:rsidRPr="00E0193B" w:rsidRDefault="00B439BC" w:rsidP="00A1213F">
            <w:pPr>
              <w:pStyle w:val="Akapitzlist"/>
              <w:numPr>
                <w:ilvl w:val="0"/>
                <w:numId w:val="24"/>
              </w:numPr>
              <w:spacing w:after="0" w:line="240" w:lineRule="auto"/>
              <w:rPr>
                <w:color w:val="FF0000"/>
              </w:rPr>
            </w:pPr>
            <w:r w:rsidRPr="00E0193B">
              <w:rPr>
                <w:color w:val="FF0000"/>
              </w:rPr>
              <w:t xml:space="preserve">finansowanie rozwiązań technologicznych służących gospodarce niskoemisyjnej, odporności i przystosowaniu się do zmiany klimatu oraz finansowanie wdrożeń innowacji, wdrożeń technologii z zakresu zrównoważonej mobilności lub energii, które wpłyną na zmniejszenie emisyjności produkcji lub ograniczenie wykorzystania paliw kopalnych w procesach produkcyjnych, w tym: wdrożenie rozwiązań opartych o pompy ciepła, magazyny energii, </w:t>
            </w:r>
            <w:r w:rsidRPr="00E0193B">
              <w:rPr>
                <w:color w:val="FF0000"/>
              </w:rPr>
              <w:lastRenderedPageBreak/>
              <w:t>ładowarki do pojazdów nisko- i zeroemisyjnych i innych instalacji przyczyniających się do obniżenia śladu węglowego lub adaptacji do zmian klimatu w przedsiębiorstwach.</w:t>
            </w:r>
          </w:p>
          <w:p w14:paraId="250463C5" w14:textId="77777777" w:rsidR="00B439BC" w:rsidRPr="00E0193B" w:rsidRDefault="00B439BC" w:rsidP="00B439BC">
            <w:pPr>
              <w:spacing w:after="0" w:line="240" w:lineRule="auto"/>
              <w:rPr>
                <w:color w:val="FF0000"/>
              </w:rPr>
            </w:pPr>
          </w:p>
          <w:p w14:paraId="34743E21" w14:textId="77777777" w:rsidR="00B439BC" w:rsidRPr="00E0193B" w:rsidRDefault="00B439BC" w:rsidP="00B439BC">
            <w:pPr>
              <w:spacing w:after="0" w:line="240" w:lineRule="auto"/>
              <w:rPr>
                <w:color w:val="FF0000"/>
              </w:rPr>
            </w:pPr>
            <w:r w:rsidRPr="00E0193B">
              <w:rPr>
                <w:color w:val="FF0000"/>
              </w:rPr>
              <w:t xml:space="preserve">W ramach Instrumentu udzielane będą pożyczki przedsiębiorcom rynku rozwiązań zeroemisyjnych oraz paliw alternatywnych. </w:t>
            </w:r>
          </w:p>
          <w:p w14:paraId="6A804F5A" w14:textId="77777777" w:rsidR="00B439BC" w:rsidRPr="00E0193B" w:rsidRDefault="00B439BC" w:rsidP="00B439BC">
            <w:pPr>
              <w:spacing w:after="0" w:line="240" w:lineRule="auto"/>
              <w:rPr>
                <w:color w:val="FF0000"/>
              </w:rPr>
            </w:pPr>
          </w:p>
          <w:p w14:paraId="577127F4" w14:textId="77777777" w:rsidR="00B439BC" w:rsidRPr="00E0193B" w:rsidRDefault="00B439BC" w:rsidP="00B439BC">
            <w:pPr>
              <w:spacing w:after="0" w:line="240" w:lineRule="auto"/>
              <w:rPr>
                <w:color w:val="FF0000"/>
              </w:rPr>
            </w:pPr>
            <w:r w:rsidRPr="00E0193B">
              <w:rPr>
                <w:color w:val="FF0000"/>
              </w:rPr>
              <w:t>Aby objąć inwestycję Instrumentem, instytucja właściwa do realizacji inwestycji i partner wykonawczy podpiszą umowę wykonawczą zawierającą:</w:t>
            </w:r>
          </w:p>
          <w:p w14:paraId="2B16A9F0" w14:textId="77777777" w:rsidR="00B439BC" w:rsidRPr="00E0193B" w:rsidRDefault="00B439BC" w:rsidP="00B439BC">
            <w:pPr>
              <w:spacing w:after="0" w:line="240" w:lineRule="auto"/>
              <w:rPr>
                <w:color w:val="FF0000"/>
              </w:rPr>
            </w:pPr>
            <w:r w:rsidRPr="00E0193B">
              <w:rPr>
                <w:color w:val="FF0000"/>
              </w:rPr>
              <w:t>1. Opis procesu decyzyjnego w ramach Instrumentu: Ostateczną decyzję inwestycyjną w ramach Instrumentu podejmuje komitet inwestycyjny lub inny odpowiedni równoważny organ zarządzający – musi ona zostać następnie zatwierdzona większością głosów członków niezależnych od rządu.</w:t>
            </w:r>
          </w:p>
          <w:p w14:paraId="1F821E0D" w14:textId="77777777" w:rsidR="00B439BC" w:rsidRPr="00E0193B" w:rsidRDefault="00B439BC" w:rsidP="00B439BC">
            <w:pPr>
              <w:spacing w:after="0" w:line="240" w:lineRule="auto"/>
              <w:rPr>
                <w:color w:val="FF0000"/>
              </w:rPr>
            </w:pPr>
            <w:r w:rsidRPr="00E0193B">
              <w:rPr>
                <w:color w:val="FF0000"/>
              </w:rPr>
              <w:t>2. Najważniejsze wymogi ustanowione w powiązanej polityce inwestycyjnej, które obejmują:</w:t>
            </w:r>
          </w:p>
          <w:p w14:paraId="5DC7A599" w14:textId="77777777" w:rsidR="00B439BC" w:rsidRPr="00E0193B" w:rsidRDefault="00B439BC" w:rsidP="00B439BC">
            <w:pPr>
              <w:spacing w:after="0" w:line="240" w:lineRule="auto"/>
              <w:rPr>
                <w:color w:val="FF0000"/>
              </w:rPr>
            </w:pPr>
            <w:r w:rsidRPr="00E0193B">
              <w:rPr>
                <w:color w:val="FF0000"/>
              </w:rPr>
              <w:t>a. Opis produktów finansowych i kwalifikujących się beneficjentów końcowych.</w:t>
            </w:r>
          </w:p>
          <w:p w14:paraId="4F28C65B" w14:textId="77777777" w:rsidR="00B439BC" w:rsidRPr="00E0193B" w:rsidRDefault="00B439BC" w:rsidP="00B439BC">
            <w:pPr>
              <w:spacing w:after="0" w:line="240" w:lineRule="auto"/>
              <w:rPr>
                <w:color w:val="FF0000"/>
              </w:rPr>
            </w:pPr>
            <w:r w:rsidRPr="00E0193B">
              <w:rPr>
                <w:color w:val="FF0000"/>
              </w:rPr>
              <w:t>b. Wymóg, zgodnie z którym wszystkie inwestycje objęte wsparciem muszą być opłacalne z ekonomicznego punktu widzenia.</w:t>
            </w:r>
          </w:p>
          <w:p w14:paraId="6A4E80D9" w14:textId="77777777" w:rsidR="00B439BC" w:rsidRPr="00E0193B" w:rsidRDefault="00B439BC" w:rsidP="00B439BC">
            <w:pPr>
              <w:spacing w:after="0" w:line="240" w:lineRule="auto"/>
              <w:rPr>
                <w:color w:val="FF0000"/>
              </w:rPr>
            </w:pPr>
            <w:r w:rsidRPr="00E0193B">
              <w:rPr>
                <w:color w:val="FF0000"/>
              </w:rPr>
              <w:t>c. Wymóg poszanowania zasady „nie czyń poważnych szkód” ustanowionej w wytycznych technicznych dotyczących stosowania zasady „nie czyń poważnych szkód” (C(2023) 6454 final).</w:t>
            </w:r>
          </w:p>
          <w:p w14:paraId="60B20555" w14:textId="77777777" w:rsidR="00B439BC" w:rsidRPr="00E0193B" w:rsidRDefault="00B439BC" w:rsidP="00B439BC">
            <w:pPr>
              <w:spacing w:after="0" w:line="240" w:lineRule="auto"/>
              <w:rPr>
                <w:color w:val="FF0000"/>
              </w:rPr>
            </w:pPr>
            <w:r w:rsidRPr="00E0193B">
              <w:rPr>
                <w:color w:val="FF0000"/>
              </w:rPr>
              <w:t>d. Wymóg, zgodnie z którym beneficjenci końcowi Instrumentu nie mogą otrzymywać wsparcia w ramach innych instrumentów Unii na pokrycie tych samych kosztów.</w:t>
            </w:r>
          </w:p>
          <w:p w14:paraId="28837B6D" w14:textId="77777777" w:rsidR="00B439BC" w:rsidRPr="00E0193B" w:rsidRDefault="00B439BC" w:rsidP="00B439BC">
            <w:pPr>
              <w:spacing w:after="0" w:line="240" w:lineRule="auto"/>
              <w:rPr>
                <w:color w:val="FF0000"/>
              </w:rPr>
            </w:pPr>
            <w:r w:rsidRPr="00E0193B">
              <w:rPr>
                <w:color w:val="FF0000"/>
              </w:rPr>
              <w:t>3. Kwotę objętą umową wykonawczą, strukturę opłat dla partnera wykonawczego oraz wymóg ponownego zainwestowania wszelkich środków powracających zgodnie z polityką inwestycyjną Instrumentu, chyba że wykorzystuje się je do obsługi spłaty pożyczek w ramach Instrumentu na rzecz Odbudowy i Zwiększania Odporności.</w:t>
            </w:r>
          </w:p>
          <w:p w14:paraId="5722CD80" w14:textId="77777777" w:rsidR="00B439BC" w:rsidRPr="00E0193B" w:rsidRDefault="00B439BC" w:rsidP="00B439BC">
            <w:pPr>
              <w:spacing w:after="0" w:line="240" w:lineRule="auto"/>
              <w:rPr>
                <w:color w:val="FF0000"/>
              </w:rPr>
            </w:pPr>
            <w:r w:rsidRPr="00E0193B">
              <w:rPr>
                <w:color w:val="FF0000"/>
              </w:rPr>
              <w:t xml:space="preserve">4. Wymogi w zakresie monitorowania, audytu i kontroli. </w:t>
            </w:r>
          </w:p>
          <w:p w14:paraId="6D329D96" w14:textId="77777777" w:rsidR="00B439BC" w:rsidRPr="00E0193B" w:rsidRDefault="00B439BC" w:rsidP="00B439BC">
            <w:pPr>
              <w:spacing w:after="0" w:line="240" w:lineRule="auto"/>
              <w:rPr>
                <w:color w:val="FF0000"/>
              </w:rPr>
            </w:pPr>
          </w:p>
          <w:p w14:paraId="2E262E4C" w14:textId="7285B3D2" w:rsidR="00B439BC" w:rsidRPr="00E0193B" w:rsidRDefault="00B439BC" w:rsidP="00B439BC">
            <w:pPr>
              <w:spacing w:after="0" w:line="240" w:lineRule="auto"/>
              <w:rPr>
                <w:color w:val="FF0000"/>
              </w:rPr>
            </w:pPr>
            <w:r w:rsidRPr="00E0193B">
              <w:rPr>
                <w:color w:val="FF0000"/>
              </w:rPr>
              <w:t>Wdrażanie tego działania zostanie zakończone do dnia 31 sierpnia 2026 r.</w:t>
            </w:r>
          </w:p>
          <w:p w14:paraId="09CADEFF" w14:textId="77777777" w:rsidR="00B439BC" w:rsidRPr="00E0193B" w:rsidRDefault="00B439BC" w:rsidP="00B439BC">
            <w:pPr>
              <w:shd w:val="clear" w:color="auto" w:fill="FDFDFD"/>
              <w:spacing w:after="0" w:line="240" w:lineRule="auto"/>
              <w:jc w:val="left"/>
              <w:rPr>
                <w:lang w:val="en" w:eastAsia="pl-PL"/>
              </w:rPr>
            </w:pPr>
            <w:r w:rsidRPr="00E0193B">
              <w:rPr>
                <w:lang w:val="en" w:eastAsia="pl-PL"/>
              </w:rPr>
              <w:t>The overall objective of the investment is to contribute to the development of a low- and zero-carbon economy by supporting industry for the clean mobility and energy sectors. The specific objective of the investment is to increase the potential of selected sectors in the development of zero- and low-emission product solutions.</w:t>
            </w:r>
          </w:p>
          <w:p w14:paraId="46D997C1" w14:textId="77777777" w:rsidR="00B439BC" w:rsidRPr="00E0193B" w:rsidRDefault="00B439BC" w:rsidP="00B439BC">
            <w:pPr>
              <w:spacing w:after="0" w:line="240" w:lineRule="auto"/>
              <w:rPr>
                <w:lang w:val="en-GB"/>
              </w:rPr>
            </w:pPr>
          </w:p>
          <w:p w14:paraId="249FAD05" w14:textId="77777777" w:rsidR="00B439BC" w:rsidRPr="00E0193B" w:rsidRDefault="00B439BC" w:rsidP="00B439BC">
            <w:pPr>
              <w:shd w:val="clear" w:color="auto" w:fill="FDFDFD"/>
              <w:spacing w:after="0" w:line="240" w:lineRule="auto"/>
              <w:jc w:val="left"/>
              <w:rPr>
                <w:color w:val="FF0000"/>
                <w:lang w:val="en" w:eastAsia="pl-PL"/>
              </w:rPr>
            </w:pPr>
            <w:r w:rsidRPr="00E0193B">
              <w:rPr>
                <w:color w:val="FF0000"/>
                <w:lang w:val="en" w:eastAsia="pl-PL"/>
              </w:rPr>
              <w:t>Support will be given to projects that contribute to the reduction of greenhouse gas emissions and increase alternatives to low- and zero-emission solutions (excluding compressed natural gas and liquefied natural gas), in particular in the following areas:</w:t>
            </w:r>
          </w:p>
          <w:p w14:paraId="1CBD4D7E" w14:textId="77777777" w:rsidR="00B439BC" w:rsidRPr="00E0193B" w:rsidRDefault="00B439BC" w:rsidP="00B439BC">
            <w:pPr>
              <w:shd w:val="clear" w:color="auto" w:fill="FDFDFD"/>
              <w:spacing w:after="0" w:line="240" w:lineRule="auto"/>
              <w:jc w:val="left"/>
              <w:rPr>
                <w:color w:val="FF0000"/>
                <w:lang w:val="en" w:eastAsia="pl-PL"/>
              </w:rPr>
            </w:pPr>
            <w:r w:rsidRPr="00E0193B">
              <w:rPr>
                <w:color w:val="FF0000"/>
                <w:lang w:val="en" w:eastAsia="pl-PL"/>
              </w:rPr>
              <w:t xml:space="preserve">1. Renewable energy sources, </w:t>
            </w:r>
          </w:p>
          <w:p w14:paraId="2552A8DA" w14:textId="77777777" w:rsidR="00B439BC" w:rsidRPr="00E0193B" w:rsidRDefault="00B439BC" w:rsidP="00B439BC">
            <w:pPr>
              <w:shd w:val="clear" w:color="auto" w:fill="FDFDFD"/>
              <w:spacing w:after="0" w:line="240" w:lineRule="auto"/>
              <w:jc w:val="left"/>
              <w:rPr>
                <w:color w:val="FF0000"/>
                <w:lang w:val="en" w:eastAsia="pl-PL"/>
              </w:rPr>
            </w:pPr>
            <w:r w:rsidRPr="00E0193B">
              <w:rPr>
                <w:color w:val="FF0000"/>
                <w:lang w:val="en" w:eastAsia="pl-PL"/>
              </w:rPr>
              <w:t xml:space="preserve">2. Energy storage, </w:t>
            </w:r>
          </w:p>
          <w:p w14:paraId="6F247102" w14:textId="77777777" w:rsidR="00B439BC" w:rsidRPr="00E0193B" w:rsidRDefault="00B439BC" w:rsidP="00B439BC">
            <w:pPr>
              <w:shd w:val="clear" w:color="auto" w:fill="FDFDFD"/>
              <w:spacing w:after="0" w:line="240" w:lineRule="auto"/>
              <w:jc w:val="left"/>
              <w:rPr>
                <w:color w:val="FF0000"/>
                <w:lang w:val="en" w:eastAsia="pl-PL"/>
              </w:rPr>
            </w:pPr>
            <w:r w:rsidRPr="00E0193B">
              <w:rPr>
                <w:color w:val="FF0000"/>
                <w:lang w:val="en" w:eastAsia="pl-PL"/>
              </w:rPr>
              <w:t>3. Mobility of sustainable transport.</w:t>
            </w:r>
          </w:p>
          <w:p w14:paraId="6410544F" w14:textId="77777777" w:rsidR="00B439BC" w:rsidRPr="00E0193B" w:rsidRDefault="00B439BC" w:rsidP="00B439BC">
            <w:pPr>
              <w:spacing w:after="0" w:line="240" w:lineRule="auto"/>
              <w:rPr>
                <w:color w:val="FF0000"/>
                <w:lang w:val="en-GB"/>
              </w:rPr>
            </w:pPr>
          </w:p>
          <w:p w14:paraId="617F3AD5" w14:textId="77777777" w:rsidR="00B439BC" w:rsidRPr="00E0193B" w:rsidRDefault="00B439BC" w:rsidP="00B439BC">
            <w:pPr>
              <w:shd w:val="clear" w:color="auto" w:fill="FDFDFD"/>
              <w:spacing w:after="0" w:line="240" w:lineRule="auto"/>
              <w:jc w:val="left"/>
              <w:rPr>
                <w:color w:val="FF0000"/>
                <w:lang w:val="en" w:eastAsia="pl-PL"/>
              </w:rPr>
            </w:pPr>
            <w:r w:rsidRPr="00E0193B">
              <w:rPr>
                <w:color w:val="FF0000"/>
                <w:lang w:val="en" w:eastAsia="pl-PL"/>
              </w:rPr>
              <w:t>This includes public investment in a defined Instrument - Fund the “Industry for Transformation” - to encourage for the implementation of investment and improve access to industrial finance in the energy and transport sectors.</w:t>
            </w:r>
          </w:p>
          <w:p w14:paraId="6900D8F0" w14:textId="77777777" w:rsidR="00B439BC" w:rsidRPr="00E0193B" w:rsidRDefault="00B439BC" w:rsidP="00B439BC">
            <w:pPr>
              <w:shd w:val="clear" w:color="auto" w:fill="FDFDFD"/>
              <w:spacing w:after="0" w:line="240" w:lineRule="auto"/>
              <w:jc w:val="left"/>
              <w:rPr>
                <w:color w:val="FF0000"/>
                <w:lang w:val="en" w:eastAsia="pl-PL"/>
              </w:rPr>
            </w:pPr>
            <w:r w:rsidRPr="00E0193B">
              <w:rPr>
                <w:color w:val="FF0000"/>
                <w:lang w:val="en" w:eastAsia="pl-PL"/>
              </w:rPr>
              <w:t>The instrument is managed by a executive partner designated by the institution competent to implement the investment.</w:t>
            </w:r>
          </w:p>
          <w:p w14:paraId="608F6E0A" w14:textId="77777777" w:rsidR="00B439BC" w:rsidRPr="00E0193B" w:rsidRDefault="00B439BC" w:rsidP="00B439BC">
            <w:pPr>
              <w:shd w:val="clear" w:color="auto" w:fill="FDFDFD"/>
              <w:spacing w:after="0" w:line="240" w:lineRule="auto"/>
              <w:jc w:val="left"/>
              <w:rPr>
                <w:lang w:val="en" w:eastAsia="pl-PL"/>
              </w:rPr>
            </w:pPr>
            <w:r w:rsidRPr="00E0193B">
              <w:rPr>
                <w:color w:val="FF0000"/>
                <w:lang w:val="en" w:eastAsia="pl-PL"/>
              </w:rPr>
              <w:t>The goal of the Instrument is to contribute to the achievement of increasing the production capacity of new zero-emission vehicles and infrastructure for the development of electromobility, as well as industrial installations and innovative solutions aimed at the production and storage of zero-emission energy through:</w:t>
            </w:r>
            <w:r w:rsidRPr="00E0193B">
              <w:rPr>
                <w:lang w:val="en" w:eastAsia="pl-PL"/>
              </w:rPr>
              <w:t xml:space="preserve"> </w:t>
            </w:r>
          </w:p>
          <w:p w14:paraId="797D6353" w14:textId="77777777" w:rsidR="00B439BC" w:rsidRPr="00E0193B" w:rsidRDefault="00B439BC" w:rsidP="00A1213F">
            <w:pPr>
              <w:pStyle w:val="Akapitzlist"/>
              <w:numPr>
                <w:ilvl w:val="0"/>
                <w:numId w:val="25"/>
              </w:numPr>
              <w:shd w:val="clear" w:color="auto" w:fill="FDFDFD"/>
              <w:spacing w:after="0" w:line="240" w:lineRule="auto"/>
              <w:jc w:val="left"/>
              <w:rPr>
                <w:color w:val="FF0000"/>
                <w:lang w:val="en" w:eastAsia="pl-PL"/>
              </w:rPr>
            </w:pPr>
            <w:r w:rsidRPr="00E0193B">
              <w:rPr>
                <w:color w:val="FF0000"/>
                <w:lang w:val="en" w:eastAsia="pl-PL"/>
              </w:rPr>
              <w:t xml:space="preserve">financing the construction, extension or change of technology of lines for the production of zero-emission vehicles (cars, buses, trucks, locomotives, trams, motorbikes, scooters, bicycles or other vehicles); and equipment for their </w:t>
            </w:r>
            <w:r w:rsidRPr="00E0193B">
              <w:rPr>
                <w:color w:val="FF0000"/>
                <w:lang w:val="en" w:eastAsia="pl-PL"/>
              </w:rPr>
              <w:lastRenderedPageBreak/>
              <w:t>production and operation (financing the construction, expansion or change of technology of production lines or production, i.a. batteries for electric vehicles, charging sockets for electric vehicles, braking systems, steering systems, electrical systems, software for devices, management software for zero-emission vehicles);</w:t>
            </w:r>
          </w:p>
          <w:p w14:paraId="5A58645B" w14:textId="77777777" w:rsidR="00B439BC" w:rsidRPr="00E0193B" w:rsidRDefault="00B439BC" w:rsidP="00A1213F">
            <w:pPr>
              <w:pStyle w:val="Akapitzlist"/>
              <w:numPr>
                <w:ilvl w:val="0"/>
                <w:numId w:val="25"/>
              </w:numPr>
              <w:shd w:val="clear" w:color="auto" w:fill="FDFDFD"/>
              <w:spacing w:after="0" w:line="240" w:lineRule="auto"/>
              <w:jc w:val="left"/>
              <w:rPr>
                <w:color w:val="FF0000"/>
                <w:lang w:val="en" w:eastAsia="pl-PL"/>
              </w:rPr>
            </w:pPr>
            <w:r w:rsidRPr="00E0193B">
              <w:rPr>
                <w:color w:val="FF0000"/>
                <w:lang w:val="en" w:eastAsia="pl-PL"/>
              </w:rPr>
              <w:t>financing of industrial installations and innovative solutions focused on the production of zero-emission energy sources (e.g. RES renewable energy sources) and energy storage devices and parts for these installations (i.e.: production of photovoltaic installations, production of onshore and offshore wind installations, production of hydrogen installations, production of biogas installations, production of biofuel installations from RES,</w:t>
            </w:r>
            <w:r w:rsidRPr="00E0193B">
              <w:rPr>
                <w:lang w:val="en" w:eastAsia="pl-PL"/>
              </w:rPr>
              <w:t xml:space="preserve"> </w:t>
            </w:r>
            <w:r w:rsidRPr="00E0193B">
              <w:rPr>
                <w:color w:val="FF0000"/>
                <w:lang w:val="en" w:eastAsia="pl-PL"/>
              </w:rPr>
              <w:t>production of heat pumps, production of energy storage devices and production of transformer stations, production of electrical accessories for RES installations, production of inverters, production of meters and smart meters, production of electrical wires and cables)</w:t>
            </w:r>
          </w:p>
          <w:p w14:paraId="0C0EE4FB" w14:textId="77777777" w:rsidR="00B439BC" w:rsidRPr="00E0193B" w:rsidRDefault="00B439BC" w:rsidP="00A1213F">
            <w:pPr>
              <w:pStyle w:val="Akapitzlist"/>
              <w:numPr>
                <w:ilvl w:val="0"/>
                <w:numId w:val="25"/>
              </w:numPr>
              <w:shd w:val="clear" w:color="auto" w:fill="FDFDFD"/>
              <w:spacing w:after="0" w:line="240" w:lineRule="auto"/>
              <w:jc w:val="left"/>
              <w:rPr>
                <w:color w:val="FF0000"/>
                <w:lang w:val="en" w:eastAsia="pl-PL"/>
              </w:rPr>
            </w:pPr>
            <w:r w:rsidRPr="00E0193B">
              <w:rPr>
                <w:color w:val="FF0000"/>
                <w:lang w:val="en" w:eastAsia="pl-PL"/>
              </w:rPr>
              <w:t>financing technological solutions for the low-carbon economy, resilience and adaptation to climate change, and financing the implementation of innovations, implementation of sustainable mobility or energy technologies that will decarbonize production or reduce the use of fossil fuels in production processes, including: implementation of solutions based on heat pumps, energy storage, chargers for low- and zero-emission vehicles and other installations contributing to the reduction of the carbon footprint or adaptation to climate change in enterprises</w:t>
            </w:r>
            <w:r w:rsidRPr="00E0193B">
              <w:rPr>
                <w:lang w:val="en" w:eastAsia="pl-PL"/>
              </w:rPr>
              <w:t>.</w:t>
            </w:r>
          </w:p>
          <w:p w14:paraId="32733691" w14:textId="77777777" w:rsidR="00B439BC" w:rsidRPr="00E0193B" w:rsidRDefault="00B439BC" w:rsidP="00B439BC">
            <w:pPr>
              <w:shd w:val="clear" w:color="auto" w:fill="FDFDFD"/>
              <w:spacing w:after="0" w:line="240" w:lineRule="auto"/>
              <w:jc w:val="left"/>
              <w:rPr>
                <w:color w:val="FF0000"/>
                <w:lang w:val="en" w:eastAsia="pl-PL"/>
              </w:rPr>
            </w:pPr>
          </w:p>
          <w:p w14:paraId="09013A29" w14:textId="77777777" w:rsidR="00B439BC" w:rsidRPr="00E0193B" w:rsidRDefault="00B439BC" w:rsidP="00B439BC">
            <w:pPr>
              <w:shd w:val="clear" w:color="auto" w:fill="FDFDFD"/>
              <w:spacing w:after="0" w:line="240" w:lineRule="auto"/>
              <w:jc w:val="left"/>
              <w:rPr>
                <w:color w:val="FF0000"/>
                <w:lang w:val="en" w:eastAsia="pl-PL"/>
              </w:rPr>
            </w:pPr>
            <w:r w:rsidRPr="00E0193B">
              <w:rPr>
                <w:color w:val="FF0000"/>
                <w:lang w:val="en" w:eastAsia="pl-PL"/>
              </w:rPr>
              <w:t>Under the Instrument, loans will be granted to entrepreneurs on the market of zero-emission solutions and alternative fuels.</w:t>
            </w:r>
          </w:p>
          <w:p w14:paraId="0F20F670" w14:textId="77777777" w:rsidR="00B439BC" w:rsidRPr="00E0193B" w:rsidRDefault="00B439BC" w:rsidP="00B439BC">
            <w:pPr>
              <w:shd w:val="clear" w:color="auto" w:fill="FDFDFD"/>
              <w:spacing w:after="0" w:line="240" w:lineRule="auto"/>
              <w:jc w:val="left"/>
              <w:rPr>
                <w:color w:val="FF0000"/>
                <w:lang w:val="en" w:eastAsia="pl-PL"/>
              </w:rPr>
            </w:pPr>
          </w:p>
          <w:p w14:paraId="7E9ADB5C" w14:textId="77777777" w:rsidR="00B439BC" w:rsidRPr="00E0193B" w:rsidRDefault="00B439BC" w:rsidP="00B439BC">
            <w:pPr>
              <w:shd w:val="clear" w:color="auto" w:fill="FDFDFD"/>
              <w:spacing w:after="0" w:line="240" w:lineRule="auto"/>
              <w:jc w:val="left"/>
              <w:rPr>
                <w:color w:val="FF0000"/>
                <w:lang w:val="en"/>
              </w:rPr>
            </w:pPr>
            <w:r w:rsidRPr="00E0193B">
              <w:rPr>
                <w:rStyle w:val="ts-alignment-element"/>
                <w:color w:val="FF0000"/>
                <w:lang w:val="en"/>
              </w:rPr>
              <w:t>In</w:t>
            </w:r>
            <w:r w:rsidRPr="00E0193B">
              <w:rPr>
                <w:color w:val="FF0000"/>
                <w:lang w:val="en"/>
              </w:rPr>
              <w:t xml:space="preserve"> </w:t>
            </w:r>
            <w:r w:rsidRPr="00E0193B">
              <w:rPr>
                <w:rStyle w:val="ts-alignment-element"/>
                <w:color w:val="FF0000"/>
                <w:lang w:val="en"/>
              </w:rPr>
              <w:t>order</w:t>
            </w:r>
            <w:r w:rsidRPr="00E0193B">
              <w:rPr>
                <w:color w:val="FF0000"/>
                <w:lang w:val="en"/>
              </w:rPr>
              <w:t xml:space="preserve"> to </w:t>
            </w:r>
            <w:r w:rsidRPr="00E0193B">
              <w:rPr>
                <w:rStyle w:val="ts-alignment-element"/>
                <w:color w:val="FF0000"/>
                <w:lang w:val="en"/>
              </w:rPr>
              <w:t>include</w:t>
            </w:r>
            <w:r w:rsidRPr="00E0193B">
              <w:rPr>
                <w:color w:val="FF0000"/>
                <w:lang w:val="en"/>
              </w:rPr>
              <w:t xml:space="preserve"> the investment </w:t>
            </w:r>
            <w:r w:rsidRPr="00E0193B">
              <w:rPr>
                <w:rStyle w:val="ts-alignment-element"/>
                <w:color w:val="FF0000"/>
                <w:lang w:val="en"/>
              </w:rPr>
              <w:t>in</w:t>
            </w:r>
            <w:r w:rsidRPr="00E0193B">
              <w:rPr>
                <w:color w:val="FF0000"/>
                <w:lang w:val="en"/>
              </w:rPr>
              <w:t xml:space="preserve"> the I</w:t>
            </w:r>
            <w:r w:rsidRPr="00E0193B">
              <w:rPr>
                <w:color w:val="FF0000"/>
                <w:lang w:val="en-GB"/>
              </w:rPr>
              <w:t>nstrument</w:t>
            </w:r>
            <w:r w:rsidRPr="00E0193B">
              <w:rPr>
                <w:rStyle w:val="ts-alignment-element"/>
                <w:color w:val="FF0000"/>
                <w:lang w:val="en"/>
              </w:rPr>
              <w:t>,</w:t>
            </w:r>
            <w:r w:rsidRPr="00E0193B">
              <w:rPr>
                <w:color w:val="FF0000"/>
                <w:lang w:val="en"/>
              </w:rPr>
              <w:t xml:space="preserve"> the </w:t>
            </w:r>
            <w:r w:rsidRPr="00E0193B">
              <w:rPr>
                <w:rStyle w:val="ts-alignment-element"/>
                <w:color w:val="FF0000"/>
                <w:lang w:val="en"/>
              </w:rPr>
              <w:t>institution</w:t>
            </w:r>
            <w:r w:rsidRPr="00E0193B">
              <w:rPr>
                <w:color w:val="FF0000"/>
                <w:lang w:val="en"/>
              </w:rPr>
              <w:t xml:space="preserve"> </w:t>
            </w:r>
            <w:r w:rsidRPr="00E0193B">
              <w:rPr>
                <w:rStyle w:val="ts-alignment-element"/>
                <w:color w:val="FF0000"/>
                <w:lang w:val="en"/>
              </w:rPr>
              <w:t>competent</w:t>
            </w:r>
            <w:r w:rsidRPr="00E0193B">
              <w:rPr>
                <w:color w:val="FF0000"/>
                <w:lang w:val="en"/>
              </w:rPr>
              <w:t xml:space="preserve"> </w:t>
            </w:r>
            <w:r w:rsidRPr="00E0193B">
              <w:rPr>
                <w:rStyle w:val="ts-alignment-element"/>
                <w:color w:val="FF0000"/>
                <w:lang w:val="en"/>
              </w:rPr>
              <w:t>to</w:t>
            </w:r>
            <w:r w:rsidRPr="00E0193B">
              <w:rPr>
                <w:color w:val="FF0000"/>
                <w:lang w:val="en"/>
              </w:rPr>
              <w:t xml:space="preserve"> </w:t>
            </w:r>
            <w:r w:rsidRPr="00E0193B">
              <w:rPr>
                <w:rStyle w:val="ts-alignment-element"/>
                <w:color w:val="FF0000"/>
                <w:lang w:val="en"/>
              </w:rPr>
              <w:t>implement</w:t>
            </w:r>
            <w:r w:rsidRPr="00E0193B">
              <w:rPr>
                <w:color w:val="FF0000"/>
                <w:lang w:val="en"/>
              </w:rPr>
              <w:t xml:space="preserve"> the </w:t>
            </w:r>
            <w:r w:rsidRPr="00E0193B">
              <w:rPr>
                <w:rStyle w:val="ts-alignment-element"/>
                <w:color w:val="FF0000"/>
                <w:lang w:val="en"/>
              </w:rPr>
              <w:t>investment</w:t>
            </w:r>
            <w:r w:rsidRPr="00E0193B">
              <w:rPr>
                <w:color w:val="FF0000"/>
                <w:lang w:val="en"/>
              </w:rPr>
              <w:t xml:space="preserve"> </w:t>
            </w:r>
            <w:r w:rsidRPr="00E0193B">
              <w:rPr>
                <w:rStyle w:val="ts-alignment-element"/>
                <w:color w:val="FF0000"/>
                <w:lang w:val="en"/>
              </w:rPr>
              <w:t>and</w:t>
            </w:r>
            <w:r w:rsidRPr="00E0193B">
              <w:rPr>
                <w:color w:val="FF0000"/>
                <w:lang w:val="en"/>
              </w:rPr>
              <w:t xml:space="preserve"> </w:t>
            </w:r>
            <w:r w:rsidRPr="00E0193B">
              <w:rPr>
                <w:rStyle w:val="ts-alignment-element"/>
                <w:color w:val="FF0000"/>
                <w:lang w:val="en"/>
              </w:rPr>
              <w:t>the</w:t>
            </w:r>
            <w:r w:rsidRPr="00E0193B">
              <w:rPr>
                <w:color w:val="FF0000"/>
                <w:lang w:val="en"/>
              </w:rPr>
              <w:t xml:space="preserve"> e</w:t>
            </w:r>
            <w:r w:rsidRPr="00E0193B">
              <w:rPr>
                <w:color w:val="FF0000"/>
                <w:lang w:val="en-GB"/>
              </w:rPr>
              <w:t>xecutive</w:t>
            </w:r>
            <w:r w:rsidRPr="00E0193B">
              <w:rPr>
                <w:color w:val="FF0000"/>
                <w:lang w:val="en"/>
              </w:rPr>
              <w:t xml:space="preserve"> </w:t>
            </w:r>
            <w:r w:rsidRPr="00E0193B">
              <w:rPr>
                <w:rStyle w:val="ts-alignment-element"/>
                <w:color w:val="FF0000"/>
                <w:lang w:val="en"/>
              </w:rPr>
              <w:t>partner</w:t>
            </w:r>
            <w:r w:rsidRPr="00E0193B">
              <w:rPr>
                <w:color w:val="FF0000"/>
                <w:lang w:val="en"/>
              </w:rPr>
              <w:t xml:space="preserve"> </w:t>
            </w:r>
            <w:r w:rsidRPr="00E0193B">
              <w:rPr>
                <w:rStyle w:val="ts-alignment-element"/>
                <w:color w:val="FF0000"/>
                <w:lang w:val="en"/>
              </w:rPr>
              <w:t>will</w:t>
            </w:r>
            <w:r w:rsidRPr="00E0193B">
              <w:rPr>
                <w:color w:val="FF0000"/>
                <w:lang w:val="en"/>
              </w:rPr>
              <w:t xml:space="preserve"> </w:t>
            </w:r>
            <w:r w:rsidRPr="00E0193B">
              <w:rPr>
                <w:rStyle w:val="ts-alignment-element"/>
                <w:color w:val="FF0000"/>
                <w:lang w:val="en"/>
              </w:rPr>
              <w:t>sign</w:t>
            </w:r>
            <w:r w:rsidRPr="00E0193B">
              <w:rPr>
                <w:color w:val="FF0000"/>
                <w:lang w:val="en"/>
              </w:rPr>
              <w:t xml:space="preserve"> </w:t>
            </w:r>
            <w:r w:rsidRPr="00E0193B">
              <w:rPr>
                <w:rStyle w:val="ts-alignment-element"/>
                <w:color w:val="FF0000"/>
                <w:lang w:val="en"/>
              </w:rPr>
              <w:t>an</w:t>
            </w:r>
            <w:r w:rsidRPr="00E0193B">
              <w:rPr>
                <w:color w:val="FF0000"/>
                <w:lang w:val="en"/>
              </w:rPr>
              <w:t xml:space="preserve"> e</w:t>
            </w:r>
            <w:r w:rsidRPr="00E0193B">
              <w:rPr>
                <w:color w:val="FF0000"/>
                <w:lang w:val="en-GB"/>
              </w:rPr>
              <w:t>xecutive</w:t>
            </w:r>
            <w:r w:rsidRPr="00E0193B">
              <w:rPr>
                <w:color w:val="FF0000"/>
                <w:lang w:val="en"/>
              </w:rPr>
              <w:t xml:space="preserve"> c</w:t>
            </w:r>
            <w:r w:rsidRPr="00E0193B">
              <w:rPr>
                <w:color w:val="FF0000"/>
                <w:lang w:val="en-GB"/>
              </w:rPr>
              <w:t xml:space="preserve">ontract </w:t>
            </w:r>
            <w:r w:rsidRPr="00E0193B">
              <w:rPr>
                <w:rStyle w:val="ts-alignment-element"/>
                <w:color w:val="FF0000"/>
                <w:lang w:val="en"/>
              </w:rPr>
              <w:t>containing:</w:t>
            </w:r>
            <w:r w:rsidRPr="00E0193B">
              <w:rPr>
                <w:color w:val="FF0000"/>
                <w:lang w:val="en"/>
              </w:rPr>
              <w:t xml:space="preserve"> </w:t>
            </w:r>
          </w:p>
          <w:p w14:paraId="15DE4CDD" w14:textId="77777777" w:rsidR="00B439BC" w:rsidRPr="00E0193B" w:rsidRDefault="00B439BC" w:rsidP="00B439BC">
            <w:pPr>
              <w:shd w:val="clear" w:color="auto" w:fill="FDFDFD"/>
              <w:spacing w:after="0" w:line="240" w:lineRule="auto"/>
              <w:jc w:val="left"/>
              <w:rPr>
                <w:color w:val="FF0000"/>
                <w:lang w:val="en"/>
              </w:rPr>
            </w:pPr>
            <w:r w:rsidRPr="00E0193B">
              <w:rPr>
                <w:rStyle w:val="ts-alignment-element"/>
                <w:color w:val="FF0000"/>
                <w:lang w:val="en"/>
              </w:rPr>
              <w:t>1</w:t>
            </w:r>
            <w:r w:rsidRPr="00E0193B">
              <w:rPr>
                <w:color w:val="FF0000"/>
                <w:lang w:val="en"/>
              </w:rPr>
              <w:t xml:space="preserve">. </w:t>
            </w:r>
            <w:r w:rsidRPr="00E0193B">
              <w:rPr>
                <w:rStyle w:val="ts-alignment-element"/>
                <w:color w:val="FF0000"/>
                <w:lang w:val="en"/>
              </w:rPr>
              <w:t>Description</w:t>
            </w:r>
            <w:r w:rsidRPr="00E0193B">
              <w:rPr>
                <w:color w:val="FF0000"/>
                <w:lang w:val="en"/>
              </w:rPr>
              <w:t xml:space="preserve"> of the Instrument's decision-making </w:t>
            </w:r>
            <w:r w:rsidRPr="00E0193B">
              <w:rPr>
                <w:rStyle w:val="ts-alignment-element"/>
                <w:color w:val="FF0000"/>
                <w:lang w:val="en"/>
              </w:rPr>
              <w:t>process:</w:t>
            </w:r>
            <w:r w:rsidRPr="00E0193B">
              <w:rPr>
                <w:color w:val="FF0000"/>
                <w:lang w:val="en"/>
              </w:rPr>
              <w:t xml:space="preserve"> </w:t>
            </w:r>
            <w:r w:rsidRPr="00E0193B">
              <w:rPr>
                <w:rStyle w:val="ts-alignment-element"/>
                <w:color w:val="FF0000"/>
                <w:lang w:val="en"/>
              </w:rPr>
              <w:t>The</w:t>
            </w:r>
            <w:r w:rsidRPr="00E0193B">
              <w:rPr>
                <w:color w:val="FF0000"/>
                <w:lang w:val="en"/>
              </w:rPr>
              <w:t xml:space="preserve"> final </w:t>
            </w:r>
            <w:r w:rsidRPr="00E0193B">
              <w:rPr>
                <w:rStyle w:val="ts-alignment-element"/>
                <w:color w:val="FF0000"/>
                <w:lang w:val="en"/>
              </w:rPr>
              <w:t>investment</w:t>
            </w:r>
            <w:r w:rsidRPr="00E0193B">
              <w:rPr>
                <w:color w:val="FF0000"/>
                <w:lang w:val="en"/>
              </w:rPr>
              <w:t xml:space="preserve"> </w:t>
            </w:r>
            <w:r w:rsidRPr="00E0193B">
              <w:rPr>
                <w:rStyle w:val="ts-alignment-element"/>
                <w:color w:val="FF0000"/>
                <w:lang w:val="en"/>
              </w:rPr>
              <w:t>decision</w:t>
            </w:r>
            <w:r w:rsidRPr="00E0193B">
              <w:rPr>
                <w:color w:val="FF0000"/>
                <w:lang w:val="en"/>
              </w:rPr>
              <w:t xml:space="preserve"> </w:t>
            </w:r>
            <w:r w:rsidRPr="00E0193B">
              <w:rPr>
                <w:rStyle w:val="ts-alignment-element"/>
                <w:color w:val="FF0000"/>
                <w:lang w:val="en"/>
              </w:rPr>
              <w:t>under</w:t>
            </w:r>
            <w:r w:rsidRPr="00E0193B">
              <w:rPr>
                <w:color w:val="FF0000"/>
                <w:lang w:val="en"/>
              </w:rPr>
              <w:t xml:space="preserve"> the I</w:t>
            </w:r>
            <w:r w:rsidRPr="00E0193B">
              <w:rPr>
                <w:color w:val="FF0000"/>
                <w:lang w:val="en-GB"/>
              </w:rPr>
              <w:t>nstrument</w:t>
            </w:r>
            <w:r w:rsidRPr="00E0193B">
              <w:rPr>
                <w:color w:val="FF0000"/>
                <w:lang w:val="en"/>
              </w:rPr>
              <w:t xml:space="preserve"> shall be </w:t>
            </w:r>
            <w:r w:rsidRPr="00E0193B">
              <w:rPr>
                <w:rStyle w:val="ts-alignment-element"/>
                <w:color w:val="FF0000"/>
                <w:lang w:val="en"/>
              </w:rPr>
              <w:t>taken</w:t>
            </w:r>
            <w:r w:rsidRPr="00E0193B">
              <w:rPr>
                <w:color w:val="FF0000"/>
                <w:lang w:val="en"/>
              </w:rPr>
              <w:t xml:space="preserve"> by the </w:t>
            </w:r>
            <w:r w:rsidRPr="00E0193B">
              <w:rPr>
                <w:rStyle w:val="ts-alignment-element"/>
                <w:color w:val="FF0000"/>
                <w:lang w:val="en"/>
              </w:rPr>
              <w:t>Investment</w:t>
            </w:r>
            <w:r w:rsidRPr="00E0193B">
              <w:rPr>
                <w:color w:val="FF0000"/>
                <w:lang w:val="en"/>
              </w:rPr>
              <w:t xml:space="preserve"> </w:t>
            </w:r>
            <w:r w:rsidRPr="00E0193B">
              <w:rPr>
                <w:rStyle w:val="ts-alignment-element"/>
                <w:color w:val="FF0000"/>
                <w:lang w:val="en"/>
              </w:rPr>
              <w:t>Committee</w:t>
            </w:r>
            <w:r w:rsidRPr="00E0193B">
              <w:rPr>
                <w:color w:val="FF0000"/>
                <w:lang w:val="en"/>
              </w:rPr>
              <w:t xml:space="preserve"> </w:t>
            </w:r>
            <w:r w:rsidRPr="00E0193B">
              <w:rPr>
                <w:rStyle w:val="ts-alignment-element"/>
                <w:color w:val="FF0000"/>
                <w:lang w:val="en"/>
              </w:rPr>
              <w:t>or</w:t>
            </w:r>
            <w:r w:rsidRPr="00E0193B">
              <w:rPr>
                <w:color w:val="FF0000"/>
                <w:lang w:val="en"/>
              </w:rPr>
              <w:t xml:space="preserve"> </w:t>
            </w:r>
            <w:r w:rsidRPr="00E0193B">
              <w:rPr>
                <w:rStyle w:val="ts-alignment-element"/>
                <w:color w:val="FF0000"/>
                <w:lang w:val="en"/>
              </w:rPr>
              <w:t>other</w:t>
            </w:r>
            <w:r w:rsidRPr="00E0193B">
              <w:rPr>
                <w:color w:val="FF0000"/>
                <w:lang w:val="en"/>
              </w:rPr>
              <w:t xml:space="preserve"> </w:t>
            </w:r>
            <w:r w:rsidRPr="00E0193B">
              <w:rPr>
                <w:rStyle w:val="ts-alignment-element"/>
                <w:color w:val="FF0000"/>
                <w:lang w:val="en"/>
              </w:rPr>
              <w:t>relevant</w:t>
            </w:r>
            <w:r w:rsidRPr="00E0193B">
              <w:rPr>
                <w:color w:val="FF0000"/>
                <w:lang w:val="en"/>
              </w:rPr>
              <w:t xml:space="preserve"> </w:t>
            </w:r>
            <w:r w:rsidRPr="00E0193B">
              <w:rPr>
                <w:rStyle w:val="ts-alignment-element"/>
                <w:color w:val="FF0000"/>
                <w:lang w:val="en"/>
              </w:rPr>
              <w:t>equivalent</w:t>
            </w:r>
            <w:r w:rsidRPr="00E0193B">
              <w:rPr>
                <w:color w:val="FF0000"/>
                <w:lang w:val="en"/>
              </w:rPr>
              <w:t xml:space="preserve"> </w:t>
            </w:r>
            <w:r w:rsidRPr="00E0193B">
              <w:rPr>
                <w:rStyle w:val="ts-alignment-element"/>
                <w:color w:val="FF0000"/>
                <w:lang w:val="en"/>
              </w:rPr>
              <w:t>management</w:t>
            </w:r>
            <w:r w:rsidRPr="00E0193B">
              <w:rPr>
                <w:color w:val="FF0000"/>
                <w:lang w:val="en"/>
              </w:rPr>
              <w:t xml:space="preserve"> </w:t>
            </w:r>
            <w:r w:rsidRPr="00E0193B">
              <w:rPr>
                <w:rStyle w:val="ts-alignment-element"/>
                <w:color w:val="FF0000"/>
                <w:lang w:val="en"/>
              </w:rPr>
              <w:t>body</w:t>
            </w:r>
            <w:r w:rsidRPr="00E0193B">
              <w:rPr>
                <w:color w:val="FF0000"/>
                <w:lang w:val="en"/>
              </w:rPr>
              <w:t xml:space="preserve"> </w:t>
            </w:r>
            <w:r w:rsidRPr="00E0193B">
              <w:rPr>
                <w:rStyle w:val="ts-alignment-element"/>
                <w:color w:val="FF0000"/>
                <w:lang w:val="en"/>
              </w:rPr>
              <w:t>and</w:t>
            </w:r>
            <w:r w:rsidRPr="00E0193B">
              <w:rPr>
                <w:color w:val="FF0000"/>
                <w:lang w:val="en"/>
              </w:rPr>
              <w:t xml:space="preserve"> </w:t>
            </w:r>
            <w:r w:rsidRPr="00E0193B">
              <w:rPr>
                <w:rStyle w:val="ts-alignment-element"/>
                <w:color w:val="FF0000"/>
                <w:lang w:val="en"/>
              </w:rPr>
              <w:t>shall</w:t>
            </w:r>
            <w:r w:rsidRPr="00E0193B">
              <w:rPr>
                <w:color w:val="FF0000"/>
                <w:lang w:val="en"/>
              </w:rPr>
              <w:t xml:space="preserve"> </w:t>
            </w:r>
            <w:r w:rsidRPr="00E0193B">
              <w:rPr>
                <w:rStyle w:val="ts-alignment-element"/>
                <w:color w:val="FF0000"/>
                <w:lang w:val="en"/>
              </w:rPr>
              <w:t>then</w:t>
            </w:r>
            <w:r w:rsidRPr="00E0193B">
              <w:rPr>
                <w:color w:val="FF0000"/>
                <w:lang w:val="en"/>
              </w:rPr>
              <w:t xml:space="preserve"> </w:t>
            </w:r>
            <w:r w:rsidRPr="00E0193B">
              <w:rPr>
                <w:rStyle w:val="ts-alignment-element"/>
                <w:color w:val="FF0000"/>
                <w:lang w:val="en"/>
              </w:rPr>
              <w:t>be</w:t>
            </w:r>
            <w:r w:rsidRPr="00E0193B">
              <w:rPr>
                <w:color w:val="FF0000"/>
                <w:lang w:val="en"/>
              </w:rPr>
              <w:t xml:space="preserve"> </w:t>
            </w:r>
            <w:r w:rsidRPr="00E0193B">
              <w:rPr>
                <w:rStyle w:val="ts-alignment-element"/>
                <w:color w:val="FF0000"/>
                <w:lang w:val="en"/>
              </w:rPr>
              <w:t>approved</w:t>
            </w:r>
            <w:r w:rsidRPr="00E0193B">
              <w:rPr>
                <w:color w:val="FF0000"/>
                <w:lang w:val="en"/>
              </w:rPr>
              <w:t xml:space="preserve"> </w:t>
            </w:r>
            <w:r w:rsidRPr="00E0193B">
              <w:rPr>
                <w:rStyle w:val="ts-alignment-element"/>
                <w:color w:val="FF0000"/>
                <w:lang w:val="en"/>
              </w:rPr>
              <w:t>by</w:t>
            </w:r>
            <w:r w:rsidRPr="00E0193B">
              <w:rPr>
                <w:color w:val="FF0000"/>
                <w:lang w:val="en"/>
              </w:rPr>
              <w:t xml:space="preserve"> </w:t>
            </w:r>
            <w:r w:rsidRPr="00E0193B">
              <w:rPr>
                <w:rStyle w:val="ts-alignment-element"/>
                <w:color w:val="FF0000"/>
                <w:lang w:val="en"/>
              </w:rPr>
              <w:t>a</w:t>
            </w:r>
            <w:r w:rsidRPr="00E0193B">
              <w:rPr>
                <w:color w:val="FF0000"/>
                <w:lang w:val="en"/>
              </w:rPr>
              <w:t xml:space="preserve"> majority </w:t>
            </w:r>
            <w:r w:rsidRPr="00E0193B">
              <w:rPr>
                <w:rStyle w:val="ts-alignment-element"/>
                <w:color w:val="FF0000"/>
                <w:lang w:val="en"/>
              </w:rPr>
              <w:t>of</w:t>
            </w:r>
            <w:r w:rsidRPr="00E0193B">
              <w:rPr>
                <w:color w:val="FF0000"/>
                <w:lang w:val="en"/>
              </w:rPr>
              <w:t xml:space="preserve"> </w:t>
            </w:r>
            <w:r w:rsidRPr="00E0193B">
              <w:rPr>
                <w:rStyle w:val="ts-alignment-element"/>
                <w:color w:val="FF0000"/>
                <w:lang w:val="en"/>
              </w:rPr>
              <w:t>members</w:t>
            </w:r>
            <w:r w:rsidRPr="00E0193B">
              <w:rPr>
                <w:color w:val="FF0000"/>
                <w:lang w:val="en"/>
              </w:rPr>
              <w:t xml:space="preserve"> </w:t>
            </w:r>
            <w:r w:rsidRPr="00E0193B">
              <w:rPr>
                <w:rStyle w:val="ts-alignment-element"/>
                <w:color w:val="FF0000"/>
                <w:lang w:val="en"/>
              </w:rPr>
              <w:t>independent</w:t>
            </w:r>
            <w:r w:rsidRPr="00E0193B">
              <w:rPr>
                <w:color w:val="FF0000"/>
                <w:lang w:val="en"/>
              </w:rPr>
              <w:t xml:space="preserve"> from </w:t>
            </w:r>
            <w:r w:rsidRPr="00E0193B">
              <w:rPr>
                <w:rStyle w:val="ts-alignment-element"/>
                <w:color w:val="FF0000"/>
                <w:lang w:val="en"/>
              </w:rPr>
              <w:t>the</w:t>
            </w:r>
            <w:r w:rsidRPr="00E0193B">
              <w:rPr>
                <w:color w:val="FF0000"/>
                <w:lang w:val="en"/>
              </w:rPr>
              <w:t xml:space="preserve"> </w:t>
            </w:r>
            <w:r w:rsidRPr="00E0193B">
              <w:rPr>
                <w:rStyle w:val="ts-alignment-element"/>
                <w:color w:val="FF0000"/>
                <w:lang w:val="en"/>
              </w:rPr>
              <w:t>government.</w:t>
            </w:r>
            <w:r w:rsidRPr="00E0193B">
              <w:rPr>
                <w:color w:val="FF0000"/>
                <w:lang w:val="en"/>
              </w:rPr>
              <w:t xml:space="preserve"> </w:t>
            </w:r>
          </w:p>
          <w:p w14:paraId="0C377841" w14:textId="77777777" w:rsidR="00B439BC" w:rsidRPr="00E0193B" w:rsidRDefault="00B439BC" w:rsidP="00B439BC">
            <w:pPr>
              <w:shd w:val="clear" w:color="auto" w:fill="FDFDFD"/>
              <w:spacing w:after="0" w:line="240" w:lineRule="auto"/>
              <w:jc w:val="left"/>
              <w:rPr>
                <w:color w:val="FF0000"/>
                <w:lang w:val="en"/>
              </w:rPr>
            </w:pPr>
            <w:r w:rsidRPr="00E0193B">
              <w:rPr>
                <w:rStyle w:val="ts-alignment-element"/>
                <w:color w:val="FF0000"/>
                <w:lang w:val="en"/>
              </w:rPr>
              <w:t>2.</w:t>
            </w:r>
            <w:r w:rsidRPr="00E0193B">
              <w:rPr>
                <w:color w:val="FF0000"/>
                <w:lang w:val="en"/>
              </w:rPr>
              <w:t xml:space="preserve"> </w:t>
            </w:r>
            <w:r w:rsidRPr="00E0193B">
              <w:rPr>
                <w:rStyle w:val="ts-alignment-element"/>
                <w:color w:val="FF0000"/>
                <w:lang w:val="en"/>
              </w:rPr>
              <w:t>The</w:t>
            </w:r>
            <w:r w:rsidRPr="00E0193B">
              <w:rPr>
                <w:color w:val="FF0000"/>
                <w:lang w:val="en"/>
              </w:rPr>
              <w:t xml:space="preserve"> </w:t>
            </w:r>
            <w:r w:rsidRPr="00E0193B">
              <w:rPr>
                <w:rStyle w:val="ts-alignment-element"/>
                <w:color w:val="FF0000"/>
                <w:lang w:val="en"/>
              </w:rPr>
              <w:t>main</w:t>
            </w:r>
            <w:r w:rsidRPr="00E0193B">
              <w:rPr>
                <w:color w:val="FF0000"/>
                <w:lang w:val="en"/>
              </w:rPr>
              <w:t xml:space="preserve"> </w:t>
            </w:r>
            <w:r w:rsidRPr="00E0193B">
              <w:rPr>
                <w:rStyle w:val="ts-alignment-element"/>
                <w:color w:val="FF0000"/>
                <w:lang w:val="en"/>
              </w:rPr>
              <w:t>requirements</w:t>
            </w:r>
            <w:r w:rsidRPr="00E0193B">
              <w:rPr>
                <w:color w:val="FF0000"/>
                <w:lang w:val="en"/>
              </w:rPr>
              <w:t xml:space="preserve"> </w:t>
            </w:r>
            <w:r w:rsidRPr="00E0193B">
              <w:rPr>
                <w:rStyle w:val="ts-alignment-element"/>
                <w:color w:val="FF0000"/>
                <w:lang w:val="en"/>
              </w:rPr>
              <w:t>laid</w:t>
            </w:r>
            <w:r w:rsidRPr="00E0193B">
              <w:rPr>
                <w:color w:val="FF0000"/>
                <w:lang w:val="en"/>
              </w:rPr>
              <w:t xml:space="preserve"> </w:t>
            </w:r>
            <w:r w:rsidRPr="00E0193B">
              <w:rPr>
                <w:rStyle w:val="ts-alignment-element"/>
                <w:color w:val="FF0000"/>
                <w:lang w:val="en"/>
              </w:rPr>
              <w:t>down</w:t>
            </w:r>
            <w:r w:rsidRPr="00E0193B">
              <w:rPr>
                <w:color w:val="FF0000"/>
                <w:lang w:val="en"/>
              </w:rPr>
              <w:t xml:space="preserve"> </w:t>
            </w:r>
            <w:r w:rsidRPr="00E0193B">
              <w:rPr>
                <w:rStyle w:val="ts-alignment-element"/>
                <w:color w:val="FF0000"/>
                <w:lang w:val="en"/>
              </w:rPr>
              <w:t>in</w:t>
            </w:r>
            <w:r w:rsidRPr="00E0193B">
              <w:rPr>
                <w:color w:val="FF0000"/>
                <w:lang w:val="en"/>
              </w:rPr>
              <w:t xml:space="preserve"> </w:t>
            </w:r>
            <w:r w:rsidRPr="00E0193B">
              <w:rPr>
                <w:rStyle w:val="ts-alignment-element"/>
                <w:color w:val="FF0000"/>
                <w:lang w:val="en"/>
              </w:rPr>
              <w:t>the</w:t>
            </w:r>
            <w:r w:rsidRPr="00E0193B">
              <w:rPr>
                <w:color w:val="FF0000"/>
                <w:lang w:val="en"/>
              </w:rPr>
              <w:t xml:space="preserve"> </w:t>
            </w:r>
            <w:r w:rsidRPr="00E0193B">
              <w:rPr>
                <w:rStyle w:val="ts-alignment-element"/>
                <w:color w:val="FF0000"/>
                <w:lang w:val="en"/>
              </w:rPr>
              <w:t>related</w:t>
            </w:r>
            <w:r w:rsidRPr="00E0193B">
              <w:rPr>
                <w:color w:val="FF0000"/>
                <w:lang w:val="en"/>
              </w:rPr>
              <w:t xml:space="preserve"> I</w:t>
            </w:r>
            <w:r w:rsidRPr="00E0193B">
              <w:rPr>
                <w:rStyle w:val="ts-alignment-element"/>
                <w:color w:val="FF0000"/>
                <w:lang w:val="en"/>
              </w:rPr>
              <w:t>nvestment</w:t>
            </w:r>
            <w:r w:rsidRPr="00E0193B">
              <w:rPr>
                <w:color w:val="FF0000"/>
                <w:lang w:val="en"/>
              </w:rPr>
              <w:t xml:space="preserve"> P</w:t>
            </w:r>
            <w:r w:rsidRPr="00E0193B">
              <w:rPr>
                <w:rStyle w:val="ts-alignment-element"/>
                <w:color w:val="FF0000"/>
                <w:lang w:val="en"/>
              </w:rPr>
              <w:t>olicy,</w:t>
            </w:r>
            <w:r w:rsidRPr="00E0193B">
              <w:rPr>
                <w:color w:val="FF0000"/>
                <w:lang w:val="en"/>
              </w:rPr>
              <w:t xml:space="preserve"> </w:t>
            </w:r>
            <w:r w:rsidRPr="00E0193B">
              <w:rPr>
                <w:rStyle w:val="ts-alignment-element"/>
                <w:color w:val="FF0000"/>
                <w:lang w:val="en"/>
              </w:rPr>
              <w:t>which</w:t>
            </w:r>
            <w:r w:rsidRPr="00E0193B">
              <w:rPr>
                <w:color w:val="FF0000"/>
                <w:lang w:val="en"/>
              </w:rPr>
              <w:t xml:space="preserve"> </w:t>
            </w:r>
            <w:r w:rsidRPr="00E0193B">
              <w:rPr>
                <w:rStyle w:val="ts-alignment-element"/>
                <w:color w:val="FF0000"/>
                <w:lang w:val="en"/>
              </w:rPr>
              <w:t>shall</w:t>
            </w:r>
            <w:r w:rsidRPr="00E0193B">
              <w:rPr>
                <w:color w:val="FF0000"/>
                <w:lang w:val="en"/>
              </w:rPr>
              <w:t xml:space="preserve"> </w:t>
            </w:r>
            <w:r w:rsidRPr="00E0193B">
              <w:rPr>
                <w:rStyle w:val="ts-alignment-element"/>
                <w:color w:val="FF0000"/>
                <w:lang w:val="en"/>
              </w:rPr>
              <w:t>include:</w:t>
            </w:r>
            <w:r w:rsidRPr="00E0193B">
              <w:rPr>
                <w:color w:val="FF0000"/>
                <w:lang w:val="en"/>
              </w:rPr>
              <w:t xml:space="preserve"> </w:t>
            </w:r>
          </w:p>
          <w:p w14:paraId="470D1168" w14:textId="77777777" w:rsidR="00B439BC" w:rsidRPr="00E0193B" w:rsidRDefault="00B439BC" w:rsidP="00B439BC">
            <w:pPr>
              <w:shd w:val="clear" w:color="auto" w:fill="FDFDFD"/>
              <w:spacing w:after="0" w:line="240" w:lineRule="auto"/>
              <w:jc w:val="left"/>
              <w:rPr>
                <w:color w:val="FF0000"/>
                <w:lang w:val="en"/>
              </w:rPr>
            </w:pPr>
            <w:r w:rsidRPr="00E0193B">
              <w:rPr>
                <w:rStyle w:val="ts-alignment-element"/>
                <w:color w:val="FF0000"/>
                <w:lang w:val="en"/>
              </w:rPr>
              <w:t>a.</w:t>
            </w:r>
            <w:r w:rsidRPr="00E0193B">
              <w:rPr>
                <w:color w:val="FF0000"/>
                <w:lang w:val="en"/>
              </w:rPr>
              <w:t xml:space="preserve"> </w:t>
            </w:r>
            <w:r w:rsidRPr="00E0193B">
              <w:rPr>
                <w:rStyle w:val="ts-alignment-element"/>
                <w:color w:val="FF0000"/>
                <w:lang w:val="en"/>
              </w:rPr>
              <w:t>Description</w:t>
            </w:r>
            <w:r w:rsidRPr="00E0193B">
              <w:rPr>
                <w:color w:val="FF0000"/>
                <w:lang w:val="en"/>
              </w:rPr>
              <w:t xml:space="preserve"> </w:t>
            </w:r>
            <w:r w:rsidRPr="00E0193B">
              <w:rPr>
                <w:rStyle w:val="ts-alignment-element"/>
                <w:color w:val="FF0000"/>
                <w:lang w:val="en"/>
              </w:rPr>
              <w:t>of</w:t>
            </w:r>
            <w:r w:rsidRPr="00E0193B">
              <w:rPr>
                <w:color w:val="FF0000"/>
                <w:lang w:val="en"/>
              </w:rPr>
              <w:t xml:space="preserve"> </w:t>
            </w:r>
            <w:r w:rsidRPr="00E0193B">
              <w:rPr>
                <w:rStyle w:val="ts-alignment-element"/>
                <w:color w:val="FF0000"/>
                <w:lang w:val="en"/>
              </w:rPr>
              <w:t>the</w:t>
            </w:r>
            <w:r w:rsidRPr="00E0193B">
              <w:rPr>
                <w:color w:val="FF0000"/>
                <w:lang w:val="en"/>
              </w:rPr>
              <w:t xml:space="preserve"> </w:t>
            </w:r>
            <w:r w:rsidRPr="00E0193B">
              <w:rPr>
                <w:rStyle w:val="ts-alignment-element"/>
                <w:color w:val="FF0000"/>
                <w:lang w:val="en"/>
              </w:rPr>
              <w:t>financial</w:t>
            </w:r>
            <w:r w:rsidRPr="00E0193B">
              <w:rPr>
                <w:color w:val="FF0000"/>
                <w:lang w:val="en"/>
              </w:rPr>
              <w:t xml:space="preserve"> </w:t>
            </w:r>
            <w:r w:rsidRPr="00E0193B">
              <w:rPr>
                <w:rStyle w:val="ts-alignment-element"/>
                <w:color w:val="FF0000"/>
                <w:lang w:val="en"/>
              </w:rPr>
              <w:t>products</w:t>
            </w:r>
            <w:r w:rsidRPr="00E0193B">
              <w:rPr>
                <w:color w:val="FF0000"/>
                <w:lang w:val="en"/>
              </w:rPr>
              <w:t xml:space="preserve"> </w:t>
            </w:r>
            <w:r w:rsidRPr="00E0193B">
              <w:rPr>
                <w:rStyle w:val="ts-alignment-element"/>
                <w:color w:val="FF0000"/>
                <w:lang w:val="en"/>
              </w:rPr>
              <w:t>and</w:t>
            </w:r>
            <w:r w:rsidRPr="00E0193B">
              <w:rPr>
                <w:color w:val="FF0000"/>
                <w:lang w:val="en"/>
              </w:rPr>
              <w:t xml:space="preserve"> </w:t>
            </w:r>
            <w:r w:rsidRPr="00E0193B">
              <w:rPr>
                <w:rStyle w:val="ts-alignment-element"/>
                <w:color w:val="FF0000"/>
                <w:lang w:val="en"/>
              </w:rPr>
              <w:t>eligible</w:t>
            </w:r>
            <w:r w:rsidRPr="00E0193B">
              <w:rPr>
                <w:color w:val="FF0000"/>
                <w:lang w:val="en"/>
              </w:rPr>
              <w:t xml:space="preserve"> </w:t>
            </w:r>
            <w:r w:rsidRPr="00E0193B">
              <w:rPr>
                <w:rStyle w:val="ts-alignment-element"/>
                <w:color w:val="FF0000"/>
                <w:lang w:val="en"/>
              </w:rPr>
              <w:t>final</w:t>
            </w:r>
            <w:r w:rsidRPr="00E0193B">
              <w:rPr>
                <w:color w:val="FF0000"/>
                <w:lang w:val="en"/>
              </w:rPr>
              <w:t xml:space="preserve"> </w:t>
            </w:r>
            <w:r w:rsidRPr="00E0193B">
              <w:rPr>
                <w:rStyle w:val="ts-alignment-element"/>
                <w:color w:val="FF0000"/>
                <w:lang w:val="en"/>
              </w:rPr>
              <w:t>beneficiaries.</w:t>
            </w:r>
            <w:r w:rsidRPr="00E0193B">
              <w:rPr>
                <w:color w:val="FF0000"/>
                <w:lang w:val="en"/>
              </w:rPr>
              <w:t xml:space="preserve"> </w:t>
            </w:r>
          </w:p>
          <w:p w14:paraId="5B619AAC" w14:textId="77777777" w:rsidR="00B439BC" w:rsidRPr="00E0193B" w:rsidRDefault="00B439BC" w:rsidP="00B439BC">
            <w:pPr>
              <w:shd w:val="clear" w:color="auto" w:fill="FDFDFD"/>
              <w:spacing w:after="0" w:line="240" w:lineRule="auto"/>
              <w:jc w:val="left"/>
              <w:rPr>
                <w:rStyle w:val="ts-alignment-element"/>
                <w:color w:val="FF0000"/>
                <w:lang w:val="en-GB"/>
              </w:rPr>
            </w:pPr>
            <w:r w:rsidRPr="00E0193B">
              <w:rPr>
                <w:rStyle w:val="ts-alignment-element"/>
                <w:color w:val="FF0000"/>
                <w:lang w:val="en"/>
              </w:rPr>
              <w:t>b.</w:t>
            </w:r>
            <w:r w:rsidRPr="00E0193B">
              <w:rPr>
                <w:color w:val="FF0000"/>
                <w:lang w:val="en"/>
              </w:rPr>
              <w:t xml:space="preserve"> Requirement </w:t>
            </w:r>
            <w:r w:rsidRPr="00E0193B">
              <w:rPr>
                <w:rStyle w:val="ts-alignment-element"/>
                <w:color w:val="FF0000"/>
                <w:lang w:val="en"/>
              </w:rPr>
              <w:t>that</w:t>
            </w:r>
            <w:r w:rsidRPr="00E0193B">
              <w:rPr>
                <w:color w:val="FF0000"/>
                <w:lang w:val="en"/>
              </w:rPr>
              <w:t xml:space="preserve"> </w:t>
            </w:r>
            <w:r w:rsidRPr="00E0193B">
              <w:rPr>
                <w:rStyle w:val="ts-alignment-element"/>
                <w:color w:val="FF0000"/>
                <w:lang w:val="en"/>
              </w:rPr>
              <w:t>all</w:t>
            </w:r>
            <w:r w:rsidRPr="00E0193B">
              <w:rPr>
                <w:color w:val="FF0000"/>
                <w:lang w:val="en"/>
              </w:rPr>
              <w:t xml:space="preserve"> </w:t>
            </w:r>
            <w:r w:rsidRPr="00E0193B">
              <w:rPr>
                <w:rStyle w:val="ts-alignment-element"/>
                <w:color w:val="FF0000"/>
                <w:lang w:val="en"/>
              </w:rPr>
              <w:t>supported</w:t>
            </w:r>
            <w:r w:rsidRPr="00E0193B">
              <w:rPr>
                <w:color w:val="FF0000"/>
                <w:lang w:val="en"/>
              </w:rPr>
              <w:t xml:space="preserve"> </w:t>
            </w:r>
            <w:r w:rsidRPr="00E0193B">
              <w:rPr>
                <w:rStyle w:val="ts-alignment-element"/>
                <w:color w:val="FF0000"/>
                <w:lang w:val="en"/>
              </w:rPr>
              <w:t>investments</w:t>
            </w:r>
            <w:r w:rsidRPr="00E0193B">
              <w:rPr>
                <w:color w:val="FF0000"/>
                <w:lang w:val="en"/>
              </w:rPr>
              <w:t xml:space="preserve"> </w:t>
            </w:r>
            <w:r w:rsidRPr="00E0193B">
              <w:rPr>
                <w:rStyle w:val="ts-alignment-element"/>
                <w:color w:val="FF0000"/>
                <w:lang w:val="en"/>
              </w:rPr>
              <w:t>must</w:t>
            </w:r>
            <w:r w:rsidRPr="00E0193B">
              <w:rPr>
                <w:color w:val="FF0000"/>
                <w:lang w:val="en"/>
              </w:rPr>
              <w:t xml:space="preserve"> </w:t>
            </w:r>
            <w:r w:rsidRPr="00E0193B">
              <w:rPr>
                <w:rStyle w:val="ts-alignment-element"/>
                <w:color w:val="FF0000"/>
                <w:lang w:val="en"/>
              </w:rPr>
              <w:t>be</w:t>
            </w:r>
            <w:r w:rsidRPr="00E0193B">
              <w:rPr>
                <w:color w:val="FF0000"/>
                <w:lang w:val="en"/>
              </w:rPr>
              <w:t xml:space="preserve"> </w:t>
            </w:r>
            <w:r w:rsidRPr="00E0193B">
              <w:rPr>
                <w:rStyle w:val="ts-alignment-element"/>
                <w:color w:val="FF0000"/>
                <w:lang w:val="en"/>
              </w:rPr>
              <w:t>economically</w:t>
            </w:r>
            <w:r w:rsidRPr="00E0193B">
              <w:rPr>
                <w:color w:val="FF0000"/>
                <w:lang w:val="en"/>
              </w:rPr>
              <w:t xml:space="preserve"> </w:t>
            </w:r>
            <w:r w:rsidRPr="00E0193B">
              <w:rPr>
                <w:rStyle w:val="ts-alignment-element"/>
                <w:color w:val="FF0000"/>
                <w:lang w:val="en"/>
              </w:rPr>
              <w:t>viable.</w:t>
            </w:r>
          </w:p>
          <w:p w14:paraId="4A7794CC" w14:textId="77777777" w:rsidR="00B439BC" w:rsidRPr="00E0193B" w:rsidRDefault="00B439BC" w:rsidP="00B439BC">
            <w:pPr>
              <w:shd w:val="clear" w:color="auto" w:fill="FDFDFD"/>
              <w:spacing w:after="0" w:line="240" w:lineRule="auto"/>
              <w:jc w:val="left"/>
              <w:rPr>
                <w:color w:val="FF0000"/>
                <w:lang w:val="en"/>
              </w:rPr>
            </w:pPr>
            <w:r w:rsidRPr="00E0193B">
              <w:rPr>
                <w:rStyle w:val="ts-alignment-element"/>
                <w:color w:val="FF0000"/>
                <w:lang w:val="en"/>
              </w:rPr>
              <w:t>c.</w:t>
            </w:r>
            <w:r w:rsidRPr="00E0193B">
              <w:rPr>
                <w:color w:val="FF0000"/>
                <w:lang w:val="en"/>
              </w:rPr>
              <w:t xml:space="preserve"> T</w:t>
            </w:r>
            <w:r w:rsidRPr="00E0193B">
              <w:rPr>
                <w:color w:val="FF0000"/>
                <w:lang w:val="en-GB"/>
              </w:rPr>
              <w:t xml:space="preserve">he </w:t>
            </w:r>
            <w:r w:rsidRPr="00E0193B">
              <w:rPr>
                <w:rStyle w:val="ts-alignment-element"/>
                <w:color w:val="FF0000"/>
                <w:lang w:val="en"/>
              </w:rPr>
              <w:t>requirement</w:t>
            </w:r>
            <w:r w:rsidRPr="00E0193B">
              <w:rPr>
                <w:color w:val="FF0000"/>
                <w:lang w:val="en"/>
              </w:rPr>
              <w:t xml:space="preserve"> </w:t>
            </w:r>
            <w:r w:rsidRPr="00E0193B">
              <w:rPr>
                <w:rStyle w:val="ts-alignment-element"/>
                <w:color w:val="FF0000"/>
                <w:lang w:val="en"/>
              </w:rPr>
              <w:t>to</w:t>
            </w:r>
            <w:r w:rsidRPr="00E0193B">
              <w:rPr>
                <w:color w:val="FF0000"/>
                <w:lang w:val="en"/>
              </w:rPr>
              <w:t xml:space="preserve"> </w:t>
            </w:r>
            <w:r w:rsidRPr="00E0193B">
              <w:rPr>
                <w:rStyle w:val="ts-alignment-element"/>
                <w:color w:val="FF0000"/>
                <w:lang w:val="en"/>
              </w:rPr>
              <w:t>respect</w:t>
            </w:r>
            <w:r w:rsidRPr="00E0193B">
              <w:rPr>
                <w:color w:val="FF0000"/>
                <w:lang w:val="en"/>
              </w:rPr>
              <w:t xml:space="preserve"> the D</w:t>
            </w:r>
            <w:r w:rsidRPr="00E0193B">
              <w:rPr>
                <w:color w:val="FF0000"/>
                <w:lang w:val="en-GB"/>
              </w:rPr>
              <w:t>NSH „</w:t>
            </w:r>
            <w:r w:rsidRPr="00E0193B">
              <w:rPr>
                <w:color w:val="FF0000"/>
                <w:lang w:val="en"/>
              </w:rPr>
              <w:t xml:space="preserve">do </w:t>
            </w:r>
            <w:r w:rsidRPr="00E0193B">
              <w:rPr>
                <w:rStyle w:val="ts-alignment-element"/>
                <w:color w:val="FF0000"/>
                <w:lang w:val="en"/>
              </w:rPr>
              <w:t>no</w:t>
            </w:r>
            <w:r w:rsidRPr="00E0193B">
              <w:rPr>
                <w:color w:val="FF0000"/>
                <w:lang w:val="en"/>
              </w:rPr>
              <w:t xml:space="preserve"> significant harm” </w:t>
            </w:r>
            <w:r w:rsidRPr="00E0193B">
              <w:rPr>
                <w:rStyle w:val="ts-alignment-element"/>
                <w:color w:val="FF0000"/>
                <w:lang w:val="en"/>
              </w:rPr>
              <w:t>principle,</w:t>
            </w:r>
            <w:r w:rsidRPr="00E0193B">
              <w:rPr>
                <w:color w:val="FF0000"/>
                <w:lang w:val="en"/>
              </w:rPr>
              <w:t xml:space="preserve"> </w:t>
            </w:r>
            <w:r w:rsidRPr="00E0193B">
              <w:rPr>
                <w:rStyle w:val="ts-alignment-element"/>
                <w:color w:val="FF0000"/>
                <w:lang w:val="en"/>
              </w:rPr>
              <w:t>set</w:t>
            </w:r>
            <w:r w:rsidRPr="00E0193B">
              <w:rPr>
                <w:color w:val="FF0000"/>
                <w:lang w:val="en"/>
              </w:rPr>
              <w:t xml:space="preserve"> </w:t>
            </w:r>
            <w:r w:rsidRPr="00E0193B">
              <w:rPr>
                <w:rStyle w:val="ts-alignment-element"/>
                <w:color w:val="FF0000"/>
                <w:lang w:val="en"/>
              </w:rPr>
              <w:t>out</w:t>
            </w:r>
            <w:r w:rsidRPr="00E0193B">
              <w:rPr>
                <w:color w:val="FF0000"/>
                <w:lang w:val="en"/>
              </w:rPr>
              <w:t xml:space="preserve"> </w:t>
            </w:r>
            <w:r w:rsidRPr="00E0193B">
              <w:rPr>
                <w:rStyle w:val="ts-alignment-element"/>
                <w:color w:val="FF0000"/>
                <w:lang w:val="en"/>
              </w:rPr>
              <w:t>in</w:t>
            </w:r>
            <w:r w:rsidRPr="00E0193B">
              <w:rPr>
                <w:color w:val="FF0000"/>
                <w:lang w:val="en"/>
              </w:rPr>
              <w:t xml:space="preserve"> the </w:t>
            </w:r>
            <w:r w:rsidRPr="00E0193B">
              <w:rPr>
                <w:rStyle w:val="ts-alignment-element"/>
                <w:color w:val="FF0000"/>
                <w:lang w:val="en"/>
              </w:rPr>
              <w:t>Technical Guidance</w:t>
            </w:r>
            <w:r w:rsidRPr="00E0193B">
              <w:rPr>
                <w:color w:val="FF0000"/>
                <w:lang w:val="en"/>
              </w:rPr>
              <w:t xml:space="preserve"> </w:t>
            </w:r>
            <w:r w:rsidRPr="00E0193B">
              <w:rPr>
                <w:rStyle w:val="ts-alignment-element"/>
                <w:color w:val="FF0000"/>
                <w:lang w:val="en"/>
              </w:rPr>
              <w:t>on</w:t>
            </w:r>
            <w:r w:rsidRPr="00E0193B">
              <w:rPr>
                <w:color w:val="FF0000"/>
                <w:lang w:val="en"/>
              </w:rPr>
              <w:t xml:space="preserve"> the </w:t>
            </w:r>
            <w:r w:rsidRPr="00E0193B">
              <w:rPr>
                <w:rStyle w:val="ts-alignment-element"/>
                <w:color w:val="FF0000"/>
                <w:lang w:val="en"/>
              </w:rPr>
              <w:t>application</w:t>
            </w:r>
            <w:r w:rsidRPr="00E0193B">
              <w:rPr>
                <w:color w:val="FF0000"/>
                <w:lang w:val="en"/>
              </w:rPr>
              <w:t xml:space="preserve"> </w:t>
            </w:r>
            <w:r w:rsidRPr="00E0193B">
              <w:rPr>
                <w:rStyle w:val="ts-alignment-element"/>
                <w:color w:val="FF0000"/>
                <w:lang w:val="en"/>
              </w:rPr>
              <w:t>of</w:t>
            </w:r>
            <w:r w:rsidRPr="00E0193B">
              <w:rPr>
                <w:color w:val="FF0000"/>
                <w:lang w:val="en"/>
              </w:rPr>
              <w:t xml:space="preserve"> </w:t>
            </w:r>
            <w:r w:rsidRPr="00E0193B">
              <w:rPr>
                <w:rStyle w:val="ts-alignment-element"/>
                <w:color w:val="FF0000"/>
                <w:lang w:val="en"/>
              </w:rPr>
              <w:t>the</w:t>
            </w:r>
            <w:r w:rsidRPr="00E0193B">
              <w:rPr>
                <w:color w:val="FF0000"/>
                <w:lang w:val="en"/>
              </w:rPr>
              <w:t xml:space="preserve"> “</w:t>
            </w:r>
            <w:r w:rsidRPr="00E0193B">
              <w:rPr>
                <w:rStyle w:val="ts-alignment-element"/>
                <w:color w:val="FF0000"/>
                <w:lang w:val="en"/>
              </w:rPr>
              <w:t>do</w:t>
            </w:r>
            <w:r w:rsidRPr="00E0193B">
              <w:rPr>
                <w:color w:val="FF0000"/>
                <w:lang w:val="en"/>
              </w:rPr>
              <w:t xml:space="preserve"> </w:t>
            </w:r>
            <w:r w:rsidRPr="00E0193B">
              <w:rPr>
                <w:rStyle w:val="ts-alignment-element"/>
                <w:color w:val="FF0000"/>
                <w:lang w:val="en"/>
              </w:rPr>
              <w:t>no</w:t>
            </w:r>
            <w:r w:rsidRPr="00E0193B">
              <w:rPr>
                <w:color w:val="FF0000"/>
                <w:lang w:val="en"/>
              </w:rPr>
              <w:t xml:space="preserve"> </w:t>
            </w:r>
            <w:r w:rsidRPr="00E0193B">
              <w:rPr>
                <w:rStyle w:val="ts-alignment-element"/>
                <w:color w:val="FF0000"/>
                <w:lang w:val="en"/>
              </w:rPr>
              <w:t>significant</w:t>
            </w:r>
            <w:r w:rsidRPr="00E0193B">
              <w:rPr>
                <w:color w:val="FF0000"/>
                <w:lang w:val="en"/>
              </w:rPr>
              <w:t xml:space="preserve"> </w:t>
            </w:r>
            <w:r w:rsidRPr="00E0193B">
              <w:rPr>
                <w:rStyle w:val="ts-alignment-element"/>
                <w:color w:val="FF0000"/>
                <w:lang w:val="en"/>
              </w:rPr>
              <w:t>harm”principle</w:t>
            </w:r>
            <w:r w:rsidRPr="00E0193B">
              <w:rPr>
                <w:color w:val="FF0000"/>
                <w:lang w:val="en"/>
              </w:rPr>
              <w:t xml:space="preserve"> (</w:t>
            </w:r>
            <w:r w:rsidRPr="00E0193B">
              <w:rPr>
                <w:rStyle w:val="ts-alignment-element"/>
                <w:color w:val="FF0000"/>
                <w:lang w:val="en"/>
              </w:rPr>
              <w:t>C(2023)</w:t>
            </w:r>
            <w:r w:rsidRPr="00E0193B">
              <w:rPr>
                <w:color w:val="FF0000"/>
                <w:lang w:val="en"/>
              </w:rPr>
              <w:t xml:space="preserve"> </w:t>
            </w:r>
            <w:r w:rsidRPr="00E0193B">
              <w:rPr>
                <w:rStyle w:val="ts-alignment-element"/>
                <w:color w:val="FF0000"/>
                <w:lang w:val="en"/>
              </w:rPr>
              <w:t>6454</w:t>
            </w:r>
            <w:r w:rsidRPr="00E0193B">
              <w:rPr>
                <w:color w:val="FF0000"/>
                <w:lang w:val="en"/>
              </w:rPr>
              <w:t xml:space="preserve"> </w:t>
            </w:r>
            <w:r w:rsidRPr="00E0193B">
              <w:rPr>
                <w:rStyle w:val="ts-alignment-element"/>
                <w:color w:val="FF0000"/>
                <w:lang w:val="en"/>
              </w:rPr>
              <w:t>final).</w:t>
            </w:r>
            <w:r w:rsidRPr="00E0193B">
              <w:rPr>
                <w:color w:val="FF0000"/>
                <w:lang w:val="en"/>
              </w:rPr>
              <w:t xml:space="preserve"> </w:t>
            </w:r>
          </w:p>
          <w:p w14:paraId="6894278E" w14:textId="77777777" w:rsidR="00B439BC" w:rsidRPr="00E0193B" w:rsidRDefault="00B439BC" w:rsidP="00B439BC">
            <w:pPr>
              <w:shd w:val="clear" w:color="auto" w:fill="FDFDFD"/>
              <w:spacing w:after="0" w:line="240" w:lineRule="auto"/>
              <w:jc w:val="left"/>
              <w:rPr>
                <w:color w:val="FF0000"/>
                <w:lang w:val="en" w:eastAsia="pl-PL"/>
              </w:rPr>
            </w:pPr>
            <w:r w:rsidRPr="00E0193B">
              <w:rPr>
                <w:rStyle w:val="ts-alignment-element"/>
                <w:color w:val="FF0000"/>
                <w:lang w:val="en"/>
              </w:rPr>
              <w:t>d</w:t>
            </w:r>
            <w:r w:rsidRPr="00E0193B">
              <w:rPr>
                <w:color w:val="FF0000"/>
                <w:lang w:val="en"/>
              </w:rPr>
              <w:t xml:space="preserve">. </w:t>
            </w:r>
            <w:r w:rsidRPr="00E0193B">
              <w:rPr>
                <w:rStyle w:val="ts-alignment-element"/>
                <w:color w:val="FF0000"/>
                <w:lang w:val="en"/>
              </w:rPr>
              <w:t>The</w:t>
            </w:r>
            <w:r w:rsidRPr="00E0193B">
              <w:rPr>
                <w:color w:val="FF0000"/>
                <w:lang w:val="en"/>
              </w:rPr>
              <w:t xml:space="preserve"> requirement </w:t>
            </w:r>
            <w:r w:rsidRPr="00E0193B">
              <w:rPr>
                <w:rStyle w:val="ts-alignment-element"/>
                <w:color w:val="FF0000"/>
                <w:lang w:val="en"/>
              </w:rPr>
              <w:t>that</w:t>
            </w:r>
            <w:r w:rsidRPr="00E0193B">
              <w:rPr>
                <w:color w:val="FF0000"/>
                <w:lang w:val="en"/>
              </w:rPr>
              <w:t xml:space="preserve"> </w:t>
            </w:r>
            <w:r w:rsidRPr="00E0193B">
              <w:rPr>
                <w:rStyle w:val="ts-alignment-element"/>
                <w:color w:val="FF0000"/>
                <w:lang w:val="en"/>
              </w:rPr>
              <w:t>final</w:t>
            </w:r>
            <w:r w:rsidRPr="00E0193B">
              <w:rPr>
                <w:color w:val="FF0000"/>
                <w:lang w:val="en"/>
              </w:rPr>
              <w:t xml:space="preserve"> </w:t>
            </w:r>
            <w:r w:rsidRPr="00E0193B">
              <w:rPr>
                <w:rStyle w:val="ts-alignment-element"/>
                <w:color w:val="FF0000"/>
                <w:lang w:val="en"/>
              </w:rPr>
              <w:t>beneficiaries</w:t>
            </w:r>
            <w:r w:rsidRPr="00E0193B">
              <w:rPr>
                <w:color w:val="FF0000"/>
                <w:lang w:val="en"/>
              </w:rPr>
              <w:t xml:space="preserve"> </w:t>
            </w:r>
            <w:r w:rsidRPr="00E0193B">
              <w:rPr>
                <w:rStyle w:val="ts-alignment-element"/>
                <w:color w:val="FF0000"/>
                <w:lang w:val="en"/>
              </w:rPr>
              <w:t>of</w:t>
            </w:r>
            <w:r w:rsidRPr="00E0193B">
              <w:rPr>
                <w:color w:val="FF0000"/>
                <w:lang w:val="en"/>
              </w:rPr>
              <w:t xml:space="preserve"> the I</w:t>
            </w:r>
            <w:r w:rsidRPr="00E0193B">
              <w:rPr>
                <w:color w:val="FF0000"/>
                <w:lang w:val="en-GB"/>
              </w:rPr>
              <w:t>nstrument</w:t>
            </w:r>
            <w:r w:rsidRPr="00E0193B">
              <w:rPr>
                <w:color w:val="FF0000"/>
                <w:lang w:val="en"/>
              </w:rPr>
              <w:t xml:space="preserve"> </w:t>
            </w:r>
            <w:r w:rsidRPr="00E0193B">
              <w:rPr>
                <w:rStyle w:val="ts-alignment-element"/>
                <w:color w:val="FF0000"/>
                <w:lang w:val="en"/>
              </w:rPr>
              <w:t>may</w:t>
            </w:r>
            <w:r w:rsidRPr="00E0193B">
              <w:rPr>
                <w:color w:val="FF0000"/>
                <w:lang w:val="en"/>
              </w:rPr>
              <w:t xml:space="preserve"> </w:t>
            </w:r>
            <w:r w:rsidRPr="00E0193B">
              <w:rPr>
                <w:rStyle w:val="ts-alignment-element"/>
                <w:color w:val="FF0000"/>
                <w:lang w:val="en"/>
              </w:rPr>
              <w:t>not</w:t>
            </w:r>
            <w:r w:rsidRPr="00E0193B">
              <w:rPr>
                <w:color w:val="FF0000"/>
                <w:lang w:val="en"/>
              </w:rPr>
              <w:t xml:space="preserve"> </w:t>
            </w:r>
            <w:r w:rsidRPr="00E0193B">
              <w:rPr>
                <w:rStyle w:val="ts-alignment-element"/>
                <w:color w:val="FF0000"/>
                <w:lang w:val="en"/>
              </w:rPr>
              <w:t>receive</w:t>
            </w:r>
            <w:r w:rsidRPr="00E0193B">
              <w:rPr>
                <w:color w:val="FF0000"/>
                <w:lang w:val="en"/>
              </w:rPr>
              <w:t xml:space="preserve"> </w:t>
            </w:r>
            <w:r w:rsidRPr="00E0193B">
              <w:rPr>
                <w:rStyle w:val="ts-alignment-element"/>
                <w:color w:val="FF0000"/>
                <w:lang w:val="en"/>
              </w:rPr>
              <w:t>support</w:t>
            </w:r>
            <w:r w:rsidRPr="00E0193B">
              <w:rPr>
                <w:color w:val="FF0000"/>
                <w:lang w:val="en"/>
              </w:rPr>
              <w:t xml:space="preserve"> </w:t>
            </w:r>
            <w:r w:rsidRPr="00E0193B">
              <w:rPr>
                <w:rStyle w:val="ts-alignment-element"/>
                <w:color w:val="FF0000"/>
                <w:lang w:val="en"/>
              </w:rPr>
              <w:t>from</w:t>
            </w:r>
            <w:r w:rsidRPr="00E0193B">
              <w:rPr>
                <w:color w:val="FF0000"/>
                <w:lang w:val="en"/>
              </w:rPr>
              <w:t xml:space="preserve"> </w:t>
            </w:r>
            <w:r w:rsidRPr="00E0193B">
              <w:rPr>
                <w:rStyle w:val="ts-alignment-element"/>
                <w:color w:val="FF0000"/>
                <w:lang w:val="en"/>
              </w:rPr>
              <w:t>other</w:t>
            </w:r>
            <w:r w:rsidRPr="00E0193B">
              <w:rPr>
                <w:color w:val="FF0000"/>
                <w:lang w:val="en"/>
              </w:rPr>
              <w:t xml:space="preserve"> </w:t>
            </w:r>
            <w:r w:rsidRPr="00E0193B">
              <w:rPr>
                <w:rStyle w:val="ts-alignment-element"/>
                <w:color w:val="FF0000"/>
                <w:lang w:val="en"/>
              </w:rPr>
              <w:t>Union</w:t>
            </w:r>
            <w:r w:rsidRPr="00E0193B">
              <w:rPr>
                <w:color w:val="FF0000"/>
                <w:lang w:val="en"/>
              </w:rPr>
              <w:t xml:space="preserve"> I</w:t>
            </w:r>
            <w:r w:rsidRPr="00E0193B">
              <w:rPr>
                <w:rStyle w:val="ts-alignment-element"/>
                <w:color w:val="FF0000"/>
                <w:lang w:val="en"/>
              </w:rPr>
              <w:t>nstruments</w:t>
            </w:r>
            <w:r w:rsidRPr="00E0193B">
              <w:rPr>
                <w:color w:val="FF0000"/>
                <w:lang w:val="en"/>
              </w:rPr>
              <w:t xml:space="preserve"> </w:t>
            </w:r>
            <w:r w:rsidRPr="00E0193B">
              <w:rPr>
                <w:rStyle w:val="ts-alignment-element"/>
                <w:color w:val="FF0000"/>
                <w:lang w:val="en"/>
              </w:rPr>
              <w:t>to</w:t>
            </w:r>
            <w:r w:rsidRPr="00E0193B">
              <w:rPr>
                <w:color w:val="FF0000"/>
                <w:lang w:val="en"/>
              </w:rPr>
              <w:t xml:space="preserve"> </w:t>
            </w:r>
            <w:r w:rsidRPr="00E0193B">
              <w:rPr>
                <w:rStyle w:val="ts-alignment-element"/>
                <w:color w:val="FF0000"/>
                <w:lang w:val="en"/>
              </w:rPr>
              <w:t>cover</w:t>
            </w:r>
            <w:r w:rsidRPr="00E0193B">
              <w:rPr>
                <w:color w:val="FF0000"/>
                <w:lang w:val="en"/>
              </w:rPr>
              <w:t xml:space="preserve"> the </w:t>
            </w:r>
            <w:r w:rsidRPr="00E0193B">
              <w:rPr>
                <w:rStyle w:val="ts-alignment-element"/>
                <w:color w:val="FF0000"/>
                <w:lang w:val="en"/>
              </w:rPr>
              <w:t>same</w:t>
            </w:r>
            <w:r w:rsidRPr="00E0193B">
              <w:rPr>
                <w:color w:val="FF0000"/>
                <w:lang w:val="en"/>
              </w:rPr>
              <w:t xml:space="preserve"> </w:t>
            </w:r>
            <w:r w:rsidRPr="00E0193B">
              <w:rPr>
                <w:rStyle w:val="ts-alignment-element"/>
                <w:color w:val="FF0000"/>
                <w:lang w:val="en"/>
              </w:rPr>
              <w:t>costs.</w:t>
            </w:r>
          </w:p>
          <w:p w14:paraId="16BE5D70" w14:textId="77777777" w:rsidR="00B439BC" w:rsidRPr="00E0193B" w:rsidRDefault="00B439BC" w:rsidP="00B439BC">
            <w:pPr>
              <w:shd w:val="clear" w:color="auto" w:fill="FDFDFD"/>
              <w:spacing w:after="0" w:line="240" w:lineRule="auto"/>
              <w:jc w:val="left"/>
              <w:rPr>
                <w:color w:val="FF0000"/>
                <w:lang w:val="en" w:eastAsia="pl-PL"/>
              </w:rPr>
            </w:pPr>
            <w:r w:rsidRPr="00E0193B">
              <w:rPr>
                <w:color w:val="FF0000"/>
                <w:lang w:val="en" w:eastAsia="pl-PL"/>
              </w:rPr>
              <w:t xml:space="preserve">3. The amount covered by the executive agreement, the fee structure for the executive partner and the requirement to reinvest any reflow funds in line with the Instrument's Investment Policy, unless they are used for the repayment of loans under the Recovery and Resilience Facility. </w:t>
            </w:r>
          </w:p>
          <w:p w14:paraId="201345EA" w14:textId="77777777" w:rsidR="00B439BC" w:rsidRPr="00E0193B" w:rsidRDefault="00B439BC" w:rsidP="00B439BC">
            <w:pPr>
              <w:shd w:val="clear" w:color="auto" w:fill="FDFDFD"/>
              <w:spacing w:after="0" w:line="240" w:lineRule="auto"/>
              <w:jc w:val="left"/>
              <w:rPr>
                <w:color w:val="FF0000"/>
                <w:lang w:val="en" w:eastAsia="pl-PL"/>
              </w:rPr>
            </w:pPr>
            <w:r w:rsidRPr="00E0193B">
              <w:rPr>
                <w:color w:val="FF0000"/>
                <w:lang w:val="en" w:eastAsia="pl-PL"/>
              </w:rPr>
              <w:t xml:space="preserve">4. Monitoring, auditing and control requirements. </w:t>
            </w:r>
          </w:p>
          <w:p w14:paraId="1E6DECA4" w14:textId="77777777" w:rsidR="00B439BC" w:rsidRPr="00E0193B" w:rsidRDefault="00B439BC" w:rsidP="00B439BC">
            <w:pPr>
              <w:shd w:val="clear" w:color="auto" w:fill="FDFDFD"/>
              <w:spacing w:after="0" w:line="240" w:lineRule="auto"/>
              <w:jc w:val="left"/>
              <w:rPr>
                <w:lang w:val="en" w:eastAsia="pl-PL"/>
              </w:rPr>
            </w:pPr>
          </w:p>
          <w:p w14:paraId="7A1BFFC1" w14:textId="77777777" w:rsidR="00B439BC" w:rsidRPr="00E0193B" w:rsidRDefault="00B439BC" w:rsidP="00B439BC">
            <w:pPr>
              <w:shd w:val="clear" w:color="auto" w:fill="FDFDFD"/>
              <w:spacing w:after="0" w:line="240" w:lineRule="auto"/>
              <w:jc w:val="left"/>
              <w:rPr>
                <w:color w:val="FF0000"/>
                <w:lang w:val="en" w:eastAsia="pl-PL"/>
              </w:rPr>
            </w:pPr>
            <w:r w:rsidRPr="00E0193B">
              <w:rPr>
                <w:color w:val="FF0000"/>
                <w:lang w:val="en" w:eastAsia="pl-PL"/>
              </w:rPr>
              <w:t>The implementation of this investment shall be completed by 31 August 2026</w:t>
            </w:r>
            <w:r w:rsidRPr="00E0193B">
              <w:rPr>
                <w:lang w:val="en" w:eastAsia="pl-PL"/>
              </w:rPr>
              <w:t>.</w:t>
            </w:r>
          </w:p>
          <w:p w14:paraId="4D073845" w14:textId="688C28B1" w:rsidR="00B439BC" w:rsidRPr="00E0193B" w:rsidRDefault="00B439BC" w:rsidP="00B439BC">
            <w:pPr>
              <w:spacing w:after="0" w:line="240" w:lineRule="auto"/>
              <w:jc w:val="left"/>
              <w:rPr>
                <w:rFonts w:eastAsia="Calibri"/>
                <w:lang w:val="en-GB"/>
              </w:rPr>
            </w:pPr>
          </w:p>
        </w:tc>
      </w:tr>
      <w:tr w:rsidR="00B439BC" w:rsidRPr="00E0193B" w14:paraId="486A8C4F" w14:textId="77777777" w:rsidTr="00B72575">
        <w:tc>
          <w:tcPr>
            <w:tcW w:w="1063" w:type="pct"/>
            <w:vMerge w:val="restart"/>
          </w:tcPr>
          <w:p w14:paraId="7D3481A1" w14:textId="77777777" w:rsidR="00B439BC" w:rsidRPr="00E0193B" w:rsidRDefault="00B439BC" w:rsidP="00B439BC">
            <w:pPr>
              <w:spacing w:after="0" w:line="240" w:lineRule="auto"/>
              <w:jc w:val="left"/>
              <w:rPr>
                <w:rFonts w:eastAsia="Calibri"/>
              </w:rPr>
            </w:pPr>
            <w:r w:rsidRPr="00E0193B">
              <w:rPr>
                <w:rFonts w:eastAsia="Calibri"/>
              </w:rPr>
              <w:lastRenderedPageBreak/>
              <w:t>Opis kamienia milowego lub wskaźnika.</w:t>
            </w:r>
          </w:p>
        </w:tc>
        <w:tc>
          <w:tcPr>
            <w:tcW w:w="1902" w:type="pct"/>
            <w:gridSpan w:val="2"/>
          </w:tcPr>
          <w:p w14:paraId="625DE915" w14:textId="77777777" w:rsidR="00B439BC" w:rsidRPr="00E0193B" w:rsidRDefault="00B439BC" w:rsidP="00B439BC">
            <w:pPr>
              <w:spacing w:after="0" w:line="240" w:lineRule="auto"/>
              <w:jc w:val="left"/>
              <w:rPr>
                <w:rFonts w:eastAsia="Calibri"/>
                <w:i/>
                <w:iCs/>
              </w:rPr>
            </w:pPr>
            <w:r w:rsidRPr="00E0193B">
              <w:rPr>
                <w:rFonts w:eastAsia="Calibri"/>
              </w:rPr>
              <w:t xml:space="preserve">E9G </w:t>
            </w:r>
          </w:p>
          <w:p w14:paraId="47C3C489" w14:textId="77777777" w:rsidR="00B439BC" w:rsidRPr="00E0193B" w:rsidRDefault="00B439BC" w:rsidP="00B439BC">
            <w:pPr>
              <w:spacing w:after="0" w:line="240" w:lineRule="auto"/>
              <w:jc w:val="left"/>
              <w:rPr>
                <w:rFonts w:eastAsia="Calibri"/>
                <w:i/>
                <w:iCs/>
              </w:rPr>
            </w:pPr>
            <w:r w:rsidRPr="00E0193B">
              <w:rPr>
                <w:rFonts w:eastAsia="Calibri"/>
              </w:rPr>
              <w:t>Wybór pośredników finansowych</w:t>
            </w:r>
            <w:r w:rsidRPr="00E0193B">
              <w:rPr>
                <w:rFonts w:eastAsia="Calibri"/>
              </w:rPr>
              <w:cr/>
            </w:r>
          </w:p>
          <w:p w14:paraId="3C57A9EA" w14:textId="77777777" w:rsidR="00B439BC" w:rsidRPr="00E0193B" w:rsidRDefault="00B439BC" w:rsidP="00B439BC">
            <w:pPr>
              <w:spacing w:after="0" w:line="240" w:lineRule="auto"/>
              <w:jc w:val="left"/>
              <w:rPr>
                <w:rFonts w:eastAsia="Calibri"/>
              </w:rPr>
            </w:pPr>
            <w:r w:rsidRPr="00E0193B">
              <w:rPr>
                <w:rFonts w:eastAsia="Calibri"/>
              </w:rPr>
              <w:t>Wybór przez zarządcę Funduszu pośredników finansowych, którzy są uprawnieni do udzielania wsparcia finansowego z Funduszu.</w:t>
            </w:r>
          </w:p>
          <w:p w14:paraId="0A1E504D" w14:textId="77777777" w:rsidR="00B439BC" w:rsidRPr="00E0193B" w:rsidRDefault="00B439BC" w:rsidP="00B439BC">
            <w:pPr>
              <w:spacing w:after="0" w:line="240" w:lineRule="auto"/>
              <w:jc w:val="left"/>
              <w:rPr>
                <w:rFonts w:eastAsia="Calibri"/>
              </w:rPr>
            </w:pPr>
            <w:r w:rsidRPr="00E0193B">
              <w:rPr>
                <w:rFonts w:eastAsia="Calibri"/>
              </w:rPr>
              <w:lastRenderedPageBreak/>
              <w:t>Proces wyboru będzie przebiegał zgodnie z otwartą i konkurencyjną procedurą i zakończy się podpisaniem umów z pośrednikami finansowymi w celu wsparcia określonych zdolności innowacyjnych i produkcyjnych w zakresie mobilności zeroemisyjnej/niskoemisyjnej i źródeł energii (z wyłączeniem sprężonego gazu ziemnego i skroplonego gazu ziemnego), dostępnych dla wszystkich rodzajów przedsiębiorstw, ze szczególnym uwzględnieniem MŚP i spółek o średniej kapitalizacji. Umowy zawarte z pośrednikami finansowymi określają kryteria kwalifikowalności projektu zapewniające przestrzeganie zasady „nie czyń poważnych szkód” oraz zgodność z obowiązującymi kryteriami dotyczącymi klimatu i znakowania cyfrowego przewidzianymi w załączniku VI do rozporządzenia ustanawiającego RRF.</w:t>
            </w:r>
          </w:p>
          <w:p w14:paraId="47FB48BA" w14:textId="77777777" w:rsidR="00B439BC" w:rsidRPr="00E0193B" w:rsidRDefault="00B439BC" w:rsidP="00B439BC">
            <w:pPr>
              <w:spacing w:after="0" w:line="240" w:lineRule="auto"/>
              <w:jc w:val="left"/>
              <w:rPr>
                <w:rFonts w:eastAsia="Calibri"/>
              </w:rPr>
            </w:pPr>
            <w:r w:rsidRPr="00E0193B">
              <w:rPr>
                <w:rFonts w:eastAsia="Calibri"/>
              </w:rPr>
              <w:t>Termin realizacji: III kw. 2022 r.</w:t>
            </w:r>
          </w:p>
        </w:tc>
        <w:tc>
          <w:tcPr>
            <w:tcW w:w="2035" w:type="pct"/>
          </w:tcPr>
          <w:p w14:paraId="0E21EE9A" w14:textId="77777777" w:rsidR="00B439BC" w:rsidRPr="00E0193B" w:rsidRDefault="00B439BC" w:rsidP="00B439BC">
            <w:pPr>
              <w:spacing w:after="0" w:line="240" w:lineRule="auto"/>
              <w:jc w:val="left"/>
              <w:rPr>
                <w:rFonts w:eastAsia="Calibri"/>
                <w:color w:val="FF0000"/>
              </w:rPr>
            </w:pPr>
            <w:r w:rsidRPr="00E0193B">
              <w:rPr>
                <w:rFonts w:eastAsia="Calibri"/>
                <w:color w:val="FF0000"/>
              </w:rPr>
              <w:lastRenderedPageBreak/>
              <w:t xml:space="preserve">E9L </w:t>
            </w:r>
          </w:p>
          <w:p w14:paraId="46CB340E" w14:textId="77777777" w:rsidR="00B439BC" w:rsidRPr="00E0193B" w:rsidRDefault="00B439BC" w:rsidP="00B439BC">
            <w:pPr>
              <w:spacing w:after="0" w:line="240" w:lineRule="auto"/>
              <w:jc w:val="left"/>
              <w:rPr>
                <w:rFonts w:eastAsia="Calibri"/>
                <w:color w:val="FF0000"/>
              </w:rPr>
            </w:pPr>
            <w:r w:rsidRPr="00E0193B">
              <w:rPr>
                <w:rFonts w:eastAsia="Calibri"/>
                <w:color w:val="FF0000"/>
              </w:rPr>
              <w:t xml:space="preserve">Wejście w życie umowy wykonawczej </w:t>
            </w:r>
          </w:p>
          <w:p w14:paraId="7C98DA12" w14:textId="77777777" w:rsidR="00B439BC" w:rsidRPr="00E0193B" w:rsidRDefault="00B439BC" w:rsidP="00B439BC">
            <w:pPr>
              <w:spacing w:after="0" w:line="240" w:lineRule="auto"/>
              <w:jc w:val="left"/>
              <w:rPr>
                <w:rFonts w:eastAsia="Calibri"/>
                <w:i/>
                <w:iCs/>
              </w:rPr>
            </w:pPr>
          </w:p>
          <w:p w14:paraId="0EF2CE57" w14:textId="77777777" w:rsidR="00B439BC" w:rsidRPr="00E0193B" w:rsidRDefault="00B439BC" w:rsidP="00B439BC">
            <w:pPr>
              <w:spacing w:after="0" w:line="240" w:lineRule="auto"/>
              <w:jc w:val="left"/>
              <w:rPr>
                <w:rFonts w:eastAsia="Calibri"/>
                <w:color w:val="FF0000"/>
              </w:rPr>
            </w:pPr>
            <w:r w:rsidRPr="00E0193B">
              <w:rPr>
                <w:rFonts w:eastAsia="Calibri"/>
                <w:color w:val="FF0000"/>
              </w:rPr>
              <w:t xml:space="preserve">Wejście w życie umowy z partnerem wykonawczym </w:t>
            </w:r>
          </w:p>
          <w:p w14:paraId="13E2A55E" w14:textId="77777777" w:rsidR="00B439BC" w:rsidRPr="00E0193B" w:rsidRDefault="00B439BC" w:rsidP="00B439BC">
            <w:pPr>
              <w:spacing w:after="0" w:line="240" w:lineRule="auto"/>
              <w:jc w:val="left"/>
              <w:rPr>
                <w:rFonts w:eastAsia="Calibri"/>
              </w:rPr>
            </w:pPr>
          </w:p>
          <w:p w14:paraId="3EF03DBE" w14:textId="2B170178" w:rsidR="00B439BC" w:rsidRPr="00E0193B" w:rsidRDefault="00B439BC" w:rsidP="00B439BC">
            <w:pPr>
              <w:spacing w:after="0" w:line="240" w:lineRule="auto"/>
              <w:jc w:val="left"/>
              <w:rPr>
                <w:rFonts w:eastAsia="Calibri"/>
              </w:rPr>
            </w:pPr>
            <w:r w:rsidRPr="00E0193B">
              <w:rPr>
                <w:rFonts w:eastAsia="Calibri"/>
              </w:rPr>
              <w:t>Termin realizacji:</w:t>
            </w:r>
            <w:r w:rsidRPr="00E0193B">
              <w:rPr>
                <w:rFonts w:eastAsia="Calibri"/>
                <w:color w:val="FF0000"/>
              </w:rPr>
              <w:t xml:space="preserve"> II kw. 2024 r.</w:t>
            </w:r>
          </w:p>
          <w:p w14:paraId="1B231610" w14:textId="77777777" w:rsidR="00B439BC" w:rsidRPr="00E0193B" w:rsidRDefault="00B439BC" w:rsidP="00B439BC">
            <w:pPr>
              <w:spacing w:after="0" w:line="240" w:lineRule="auto"/>
              <w:rPr>
                <w:color w:val="FF0000"/>
              </w:rPr>
            </w:pPr>
          </w:p>
          <w:p w14:paraId="7CC31128" w14:textId="1D1DCBE0" w:rsidR="00B439BC" w:rsidRPr="00E0193B" w:rsidRDefault="00B439BC" w:rsidP="00B439BC">
            <w:pPr>
              <w:spacing w:after="0" w:line="240" w:lineRule="auto"/>
              <w:rPr>
                <w:lang w:val="en-GB"/>
              </w:rPr>
            </w:pPr>
            <w:r w:rsidRPr="00E0193B">
              <w:rPr>
                <w:color w:val="FF0000"/>
                <w:lang w:val="en-GB"/>
              </w:rPr>
              <w:lastRenderedPageBreak/>
              <w:t>E9L</w:t>
            </w:r>
            <w:r w:rsidRPr="00E0193B">
              <w:rPr>
                <w:lang w:val="en-GB"/>
              </w:rPr>
              <w:t xml:space="preserve"> </w:t>
            </w:r>
          </w:p>
          <w:p w14:paraId="6856759D" w14:textId="77777777" w:rsidR="00B439BC" w:rsidRPr="00E0193B" w:rsidRDefault="00B439BC" w:rsidP="00B439BC">
            <w:pPr>
              <w:shd w:val="clear" w:color="auto" w:fill="FDFDFD"/>
              <w:spacing w:after="0" w:line="240" w:lineRule="auto"/>
              <w:jc w:val="left"/>
              <w:rPr>
                <w:color w:val="FF0000"/>
                <w:lang w:val="en-GB" w:eastAsia="pl-PL"/>
              </w:rPr>
            </w:pPr>
            <w:r w:rsidRPr="00E0193B">
              <w:rPr>
                <w:color w:val="FF0000"/>
                <w:lang w:val="en" w:eastAsia="pl-PL"/>
              </w:rPr>
              <w:t xml:space="preserve">Entry into force the </w:t>
            </w:r>
            <w:r w:rsidRPr="00E0193B">
              <w:rPr>
                <w:color w:val="FF0000"/>
                <w:lang w:val="en-GB" w:eastAsia="pl-PL"/>
              </w:rPr>
              <w:t>executive contract</w:t>
            </w:r>
          </w:p>
          <w:p w14:paraId="1A8FE3AB" w14:textId="77777777" w:rsidR="00B439BC" w:rsidRPr="00E0193B" w:rsidRDefault="00B439BC" w:rsidP="00B439BC">
            <w:pPr>
              <w:shd w:val="clear" w:color="auto" w:fill="FDFDFD"/>
              <w:spacing w:after="0" w:line="240" w:lineRule="auto"/>
              <w:jc w:val="left"/>
              <w:rPr>
                <w:color w:val="FF0000"/>
                <w:lang w:val="en" w:eastAsia="pl-PL"/>
              </w:rPr>
            </w:pPr>
          </w:p>
          <w:p w14:paraId="6C3DD9A2" w14:textId="77777777" w:rsidR="00B439BC" w:rsidRPr="00E0193B" w:rsidRDefault="00B439BC" w:rsidP="00B439BC">
            <w:pPr>
              <w:shd w:val="clear" w:color="auto" w:fill="FDFDFD"/>
              <w:spacing w:after="0" w:line="240" w:lineRule="auto"/>
              <w:jc w:val="left"/>
              <w:rPr>
                <w:color w:val="FF0000"/>
                <w:lang w:val="en" w:eastAsia="pl-PL"/>
              </w:rPr>
            </w:pPr>
            <w:r w:rsidRPr="00E0193B">
              <w:rPr>
                <w:color w:val="FF0000"/>
                <w:lang w:val="en" w:eastAsia="pl-PL"/>
              </w:rPr>
              <w:t xml:space="preserve">Entry into force the </w:t>
            </w:r>
            <w:r w:rsidRPr="00E0193B">
              <w:rPr>
                <w:color w:val="FF0000"/>
                <w:lang w:val="en-GB" w:eastAsia="pl-PL"/>
              </w:rPr>
              <w:t>executive contract</w:t>
            </w:r>
            <w:r w:rsidRPr="00E0193B">
              <w:rPr>
                <w:color w:val="FF0000"/>
                <w:lang w:val="en" w:eastAsia="pl-PL"/>
              </w:rPr>
              <w:t xml:space="preserve"> with the executive partner </w:t>
            </w:r>
          </w:p>
          <w:p w14:paraId="4CA70878" w14:textId="77777777" w:rsidR="00B439BC" w:rsidRPr="00E0193B" w:rsidRDefault="00B439BC" w:rsidP="00B439BC">
            <w:pPr>
              <w:spacing w:after="0" w:line="240" w:lineRule="auto"/>
              <w:rPr>
                <w:lang w:val="en-GB"/>
              </w:rPr>
            </w:pPr>
          </w:p>
          <w:p w14:paraId="03FC1DF9" w14:textId="77777777" w:rsidR="00D63482" w:rsidRDefault="00D63482" w:rsidP="00B439BC">
            <w:pPr>
              <w:spacing w:after="0" w:line="240" w:lineRule="auto"/>
              <w:rPr>
                <w:lang w:val="en-GB"/>
              </w:rPr>
            </w:pPr>
            <w:r>
              <w:rPr>
                <w:lang w:val="en-GB"/>
              </w:rPr>
              <w:br/>
            </w:r>
          </w:p>
          <w:p w14:paraId="4F09B468" w14:textId="77777777" w:rsidR="00D63482" w:rsidRDefault="00D63482" w:rsidP="00B439BC">
            <w:pPr>
              <w:spacing w:after="0" w:line="240" w:lineRule="auto"/>
              <w:rPr>
                <w:lang w:val="en-GB"/>
              </w:rPr>
            </w:pPr>
          </w:p>
          <w:p w14:paraId="34F62416" w14:textId="77777777" w:rsidR="00D63482" w:rsidRDefault="00D63482" w:rsidP="00B439BC">
            <w:pPr>
              <w:spacing w:after="0" w:line="240" w:lineRule="auto"/>
              <w:rPr>
                <w:lang w:val="en-GB"/>
              </w:rPr>
            </w:pPr>
          </w:p>
          <w:p w14:paraId="7C5654F7" w14:textId="77777777" w:rsidR="00D63482" w:rsidRDefault="00D63482" w:rsidP="00B439BC">
            <w:pPr>
              <w:spacing w:after="0" w:line="240" w:lineRule="auto"/>
              <w:rPr>
                <w:lang w:val="en-GB"/>
              </w:rPr>
            </w:pPr>
          </w:p>
          <w:p w14:paraId="708E2E16" w14:textId="77777777" w:rsidR="00D63482" w:rsidRDefault="00D63482" w:rsidP="00B439BC">
            <w:pPr>
              <w:spacing w:after="0" w:line="240" w:lineRule="auto"/>
              <w:rPr>
                <w:lang w:val="en-GB"/>
              </w:rPr>
            </w:pPr>
          </w:p>
          <w:p w14:paraId="0292C480" w14:textId="77777777" w:rsidR="00D63482" w:rsidRDefault="00D63482" w:rsidP="00B439BC">
            <w:pPr>
              <w:spacing w:after="0" w:line="240" w:lineRule="auto"/>
              <w:rPr>
                <w:lang w:val="en-GB"/>
              </w:rPr>
            </w:pPr>
          </w:p>
          <w:p w14:paraId="4F41F0CB" w14:textId="77777777" w:rsidR="00D63482" w:rsidRDefault="00D63482" w:rsidP="00B439BC">
            <w:pPr>
              <w:spacing w:after="0" w:line="240" w:lineRule="auto"/>
              <w:rPr>
                <w:lang w:val="en-GB"/>
              </w:rPr>
            </w:pPr>
          </w:p>
          <w:p w14:paraId="5F764882" w14:textId="77777777" w:rsidR="00D63482" w:rsidRDefault="00D63482" w:rsidP="00B439BC">
            <w:pPr>
              <w:spacing w:after="0" w:line="240" w:lineRule="auto"/>
              <w:rPr>
                <w:lang w:val="en-GB"/>
              </w:rPr>
            </w:pPr>
          </w:p>
          <w:p w14:paraId="4224FED4" w14:textId="77777777" w:rsidR="00D63482" w:rsidRDefault="00D63482" w:rsidP="00B439BC">
            <w:pPr>
              <w:spacing w:after="0" w:line="240" w:lineRule="auto"/>
              <w:rPr>
                <w:lang w:val="en-GB"/>
              </w:rPr>
            </w:pPr>
          </w:p>
          <w:p w14:paraId="5C4B6181" w14:textId="77777777" w:rsidR="00D63482" w:rsidRDefault="00D63482" w:rsidP="00B439BC">
            <w:pPr>
              <w:spacing w:after="0" w:line="240" w:lineRule="auto"/>
              <w:rPr>
                <w:lang w:val="en-GB"/>
              </w:rPr>
            </w:pPr>
          </w:p>
          <w:p w14:paraId="39226DF1" w14:textId="77777777" w:rsidR="00D63482" w:rsidRDefault="00D63482" w:rsidP="00B439BC">
            <w:pPr>
              <w:spacing w:after="0" w:line="240" w:lineRule="auto"/>
              <w:rPr>
                <w:lang w:val="en-GB"/>
              </w:rPr>
            </w:pPr>
          </w:p>
          <w:p w14:paraId="5B469008" w14:textId="77777777" w:rsidR="00D63482" w:rsidRDefault="00D63482" w:rsidP="00B439BC">
            <w:pPr>
              <w:spacing w:after="0" w:line="240" w:lineRule="auto"/>
              <w:rPr>
                <w:lang w:val="en-GB"/>
              </w:rPr>
            </w:pPr>
          </w:p>
          <w:p w14:paraId="3A01C332" w14:textId="77777777" w:rsidR="00D63482" w:rsidRDefault="00D63482" w:rsidP="00B439BC">
            <w:pPr>
              <w:spacing w:after="0" w:line="240" w:lineRule="auto"/>
              <w:rPr>
                <w:lang w:val="en-GB"/>
              </w:rPr>
            </w:pPr>
          </w:p>
          <w:p w14:paraId="48FFEBE2" w14:textId="77777777" w:rsidR="00D63482" w:rsidRDefault="00D63482" w:rsidP="00B439BC">
            <w:pPr>
              <w:spacing w:after="0" w:line="240" w:lineRule="auto"/>
              <w:rPr>
                <w:lang w:val="en-GB"/>
              </w:rPr>
            </w:pPr>
          </w:p>
          <w:p w14:paraId="02545B1F" w14:textId="77777777" w:rsidR="00D63482" w:rsidRDefault="00D63482" w:rsidP="00B439BC">
            <w:pPr>
              <w:spacing w:after="0" w:line="240" w:lineRule="auto"/>
              <w:rPr>
                <w:lang w:val="en-GB"/>
              </w:rPr>
            </w:pPr>
          </w:p>
          <w:p w14:paraId="03A5D2B3" w14:textId="77777777" w:rsidR="00D63482" w:rsidRDefault="00D63482" w:rsidP="00B439BC">
            <w:pPr>
              <w:spacing w:after="0" w:line="240" w:lineRule="auto"/>
              <w:rPr>
                <w:lang w:val="en-GB"/>
              </w:rPr>
            </w:pPr>
          </w:p>
          <w:p w14:paraId="4FCF1D30" w14:textId="77777777" w:rsidR="00D63482" w:rsidRDefault="00D63482" w:rsidP="00B439BC">
            <w:pPr>
              <w:spacing w:after="0" w:line="240" w:lineRule="auto"/>
              <w:rPr>
                <w:lang w:val="en-GB"/>
              </w:rPr>
            </w:pPr>
          </w:p>
          <w:p w14:paraId="1FA67DDD" w14:textId="77777777" w:rsidR="00D63482" w:rsidRDefault="00D63482" w:rsidP="00B439BC">
            <w:pPr>
              <w:spacing w:after="0" w:line="240" w:lineRule="auto"/>
              <w:rPr>
                <w:lang w:val="en-GB"/>
              </w:rPr>
            </w:pPr>
          </w:p>
          <w:p w14:paraId="5284F218" w14:textId="77777777" w:rsidR="00D63482" w:rsidRDefault="00D63482" w:rsidP="00B439BC">
            <w:pPr>
              <w:spacing w:after="0" w:line="240" w:lineRule="auto"/>
              <w:rPr>
                <w:lang w:val="en-GB"/>
              </w:rPr>
            </w:pPr>
          </w:p>
          <w:p w14:paraId="5EA97BEA" w14:textId="77777777" w:rsidR="00D63482" w:rsidRDefault="00D63482" w:rsidP="00B439BC">
            <w:pPr>
              <w:spacing w:after="0" w:line="240" w:lineRule="auto"/>
              <w:rPr>
                <w:lang w:val="en-GB"/>
              </w:rPr>
            </w:pPr>
          </w:p>
          <w:p w14:paraId="0D63B15A" w14:textId="5148531E" w:rsidR="00B439BC" w:rsidRPr="00E0193B" w:rsidRDefault="00B439BC" w:rsidP="00B439BC">
            <w:pPr>
              <w:spacing w:after="0" w:line="240" w:lineRule="auto"/>
              <w:rPr>
                <w:lang w:val="en-GB"/>
              </w:rPr>
            </w:pPr>
            <w:r w:rsidRPr="00E0193B">
              <w:rPr>
                <w:lang w:val="en-GB"/>
              </w:rPr>
              <w:t>Deadline:</w:t>
            </w:r>
            <w:r w:rsidR="004D26D4" w:rsidRPr="00E0193B">
              <w:rPr>
                <w:lang w:val="en-GB"/>
              </w:rPr>
              <w:t xml:space="preserve"> </w:t>
            </w:r>
            <w:r w:rsidRPr="00E0193B">
              <w:rPr>
                <w:color w:val="FF0000"/>
              </w:rPr>
              <w:t>2Q 2024</w:t>
            </w:r>
          </w:p>
          <w:p w14:paraId="3F4EADB3" w14:textId="217D7B57" w:rsidR="00B439BC" w:rsidRPr="00E0193B" w:rsidRDefault="00B439BC" w:rsidP="00B439BC">
            <w:pPr>
              <w:spacing w:after="0" w:line="240" w:lineRule="auto"/>
              <w:jc w:val="left"/>
              <w:rPr>
                <w:rFonts w:eastAsia="Calibri"/>
              </w:rPr>
            </w:pPr>
          </w:p>
        </w:tc>
      </w:tr>
      <w:tr w:rsidR="00E068FF" w:rsidRPr="00E0193B" w14:paraId="6A858C3B" w14:textId="77777777" w:rsidTr="00B72575">
        <w:tc>
          <w:tcPr>
            <w:tcW w:w="1063" w:type="pct"/>
            <w:vMerge/>
          </w:tcPr>
          <w:p w14:paraId="3A959C33" w14:textId="77777777" w:rsidR="00E068FF" w:rsidRPr="00E0193B" w:rsidRDefault="00E068FF" w:rsidP="00E068FF">
            <w:pPr>
              <w:spacing w:after="0" w:line="240" w:lineRule="auto"/>
              <w:jc w:val="left"/>
              <w:rPr>
                <w:rFonts w:eastAsia="Calibri"/>
              </w:rPr>
            </w:pPr>
          </w:p>
        </w:tc>
        <w:tc>
          <w:tcPr>
            <w:tcW w:w="1902" w:type="pct"/>
            <w:gridSpan w:val="2"/>
          </w:tcPr>
          <w:p w14:paraId="189620C7" w14:textId="77777777" w:rsidR="00E068FF" w:rsidRPr="00E0193B" w:rsidRDefault="00E068FF" w:rsidP="00E068FF">
            <w:pPr>
              <w:spacing w:after="0" w:line="240" w:lineRule="auto"/>
              <w:jc w:val="left"/>
              <w:rPr>
                <w:rFonts w:eastAsia="Calibri"/>
                <w:i/>
                <w:iCs/>
              </w:rPr>
            </w:pPr>
            <w:r w:rsidRPr="00E0193B">
              <w:rPr>
                <w:rFonts w:eastAsia="Calibri"/>
              </w:rPr>
              <w:t xml:space="preserve">E10G </w:t>
            </w:r>
          </w:p>
          <w:p w14:paraId="52743A60" w14:textId="77777777" w:rsidR="00E068FF" w:rsidRPr="00E0193B" w:rsidRDefault="00E068FF" w:rsidP="00E068FF">
            <w:pPr>
              <w:spacing w:after="0" w:line="240" w:lineRule="auto"/>
              <w:jc w:val="left"/>
              <w:rPr>
                <w:rFonts w:eastAsia="Calibri"/>
              </w:rPr>
            </w:pPr>
            <w:r w:rsidRPr="00E0193B">
              <w:rPr>
                <w:rFonts w:eastAsia="Calibri"/>
              </w:rPr>
              <w:t>Zainstalowana moc produkcyjna w zakresie nowych pojazdów zeroemisyjnych</w:t>
            </w:r>
          </w:p>
          <w:p w14:paraId="4FF044AC" w14:textId="77777777" w:rsidR="00E068FF" w:rsidRPr="00E0193B" w:rsidRDefault="00E068FF" w:rsidP="00E068FF">
            <w:pPr>
              <w:spacing w:after="0" w:line="240" w:lineRule="auto"/>
              <w:jc w:val="left"/>
              <w:rPr>
                <w:rFonts w:eastAsia="Calibri"/>
                <w:i/>
                <w:iCs/>
              </w:rPr>
            </w:pPr>
          </w:p>
          <w:p w14:paraId="4F87657B" w14:textId="77777777" w:rsidR="00E068FF" w:rsidRPr="00E0193B" w:rsidRDefault="00E068FF" w:rsidP="00E068FF">
            <w:pPr>
              <w:spacing w:after="0" w:line="240" w:lineRule="auto"/>
              <w:jc w:val="left"/>
              <w:rPr>
                <w:rFonts w:eastAsia="Calibri"/>
              </w:rPr>
            </w:pPr>
            <w:r w:rsidRPr="00E0193B">
              <w:rPr>
                <w:rFonts w:eastAsia="Calibri"/>
              </w:rPr>
              <w:t>Wartość docelowa odnosi się do mocy produkcyjnej i zainstalowanej (akumulatorów) (w MW) zeroemisyjnych źródeł energii produkowanych rocznie (z wyłączeniem sprężonego gazu ziemnego i skroplonego gazu ziemnego) dzięki inwestycjom wspieranym z Funduszu.</w:t>
            </w:r>
          </w:p>
          <w:p w14:paraId="184D0836" w14:textId="77777777" w:rsidR="00E068FF" w:rsidRPr="00E0193B" w:rsidRDefault="00E068FF" w:rsidP="00E068FF">
            <w:pPr>
              <w:spacing w:after="0" w:line="240" w:lineRule="auto"/>
              <w:jc w:val="left"/>
              <w:rPr>
                <w:rFonts w:eastAsia="Calibri"/>
              </w:rPr>
            </w:pPr>
          </w:p>
          <w:p w14:paraId="5E40C201" w14:textId="77777777" w:rsidR="00E068FF" w:rsidRPr="00E0193B" w:rsidRDefault="00E068FF" w:rsidP="00E068FF">
            <w:pPr>
              <w:spacing w:after="0" w:line="240" w:lineRule="auto"/>
              <w:jc w:val="left"/>
              <w:rPr>
                <w:rFonts w:eastAsia="Calibri"/>
              </w:rPr>
            </w:pPr>
            <w:r w:rsidRPr="00E0193B">
              <w:rPr>
                <w:rFonts w:eastAsia="Calibri"/>
              </w:rPr>
              <w:t>Termin realizacji: II kw. 2026</w:t>
            </w:r>
          </w:p>
          <w:p w14:paraId="755F77A7" w14:textId="77777777" w:rsidR="00E068FF" w:rsidRPr="00E0193B" w:rsidRDefault="00E068FF" w:rsidP="00E068FF">
            <w:pPr>
              <w:spacing w:after="0" w:line="240" w:lineRule="auto"/>
              <w:jc w:val="left"/>
              <w:rPr>
                <w:rFonts w:eastAsia="Calibri"/>
              </w:rPr>
            </w:pPr>
          </w:p>
        </w:tc>
        <w:tc>
          <w:tcPr>
            <w:tcW w:w="2035" w:type="pct"/>
          </w:tcPr>
          <w:p w14:paraId="0D59DC3E" w14:textId="77777777" w:rsidR="00E068FF" w:rsidRPr="00E0193B" w:rsidRDefault="00E068FF" w:rsidP="00E068FF">
            <w:pPr>
              <w:spacing w:after="0" w:line="240" w:lineRule="auto"/>
              <w:rPr>
                <w:color w:val="FF0000"/>
              </w:rPr>
            </w:pPr>
            <w:r w:rsidRPr="00E0193B">
              <w:rPr>
                <w:color w:val="FF0000"/>
              </w:rPr>
              <w:t>E10L</w:t>
            </w:r>
          </w:p>
          <w:p w14:paraId="2D41CD77" w14:textId="77777777" w:rsidR="00E068FF" w:rsidRPr="00E0193B" w:rsidRDefault="00E068FF" w:rsidP="00E068FF">
            <w:pPr>
              <w:spacing w:after="0" w:line="240" w:lineRule="auto"/>
              <w:rPr>
                <w:color w:val="FF0000"/>
              </w:rPr>
            </w:pPr>
            <w:r w:rsidRPr="00E0193B">
              <w:rPr>
                <w:color w:val="FF0000"/>
              </w:rPr>
              <w:t xml:space="preserve">Umowy podpisane z beneficjentami końcowymi - 30% </w:t>
            </w:r>
          </w:p>
          <w:p w14:paraId="14E1CE0B" w14:textId="77777777" w:rsidR="004D26D4" w:rsidRPr="00E0193B" w:rsidRDefault="004D26D4" w:rsidP="00E068FF">
            <w:pPr>
              <w:spacing w:after="0" w:line="240" w:lineRule="auto"/>
              <w:rPr>
                <w:i/>
                <w:iCs/>
              </w:rPr>
            </w:pPr>
          </w:p>
          <w:p w14:paraId="123AD756" w14:textId="5B6AE7CF" w:rsidR="00E068FF" w:rsidRPr="00E0193B" w:rsidRDefault="00E068FF" w:rsidP="00E068FF">
            <w:pPr>
              <w:spacing w:after="0" w:line="240" w:lineRule="auto"/>
              <w:rPr>
                <w:color w:val="FF0000"/>
              </w:rPr>
            </w:pPr>
            <w:r w:rsidRPr="00E0193B">
              <w:rPr>
                <w:color w:val="FF0000"/>
              </w:rPr>
              <w:t>Prawnie wiążące umowy finansowania partnera wykonawczego z beneficjentami końcowymi na kwotę niezbędną do wykorzystania co najmniej 30% inwestycji RRF (uwzględniając opłaty za zarządzanie).</w:t>
            </w:r>
          </w:p>
          <w:p w14:paraId="2F4BD8BA" w14:textId="77777777" w:rsidR="004D26D4" w:rsidRPr="00E0193B" w:rsidRDefault="004D26D4" w:rsidP="00E068FF">
            <w:pPr>
              <w:spacing w:after="0" w:line="240" w:lineRule="auto"/>
              <w:rPr>
                <w:color w:val="FF0000"/>
              </w:rPr>
            </w:pPr>
          </w:p>
          <w:p w14:paraId="533448D8" w14:textId="77777777" w:rsidR="00D63482" w:rsidRDefault="00D63482" w:rsidP="00E068FF">
            <w:pPr>
              <w:spacing w:after="0" w:line="240" w:lineRule="auto"/>
            </w:pPr>
          </w:p>
          <w:p w14:paraId="572FBB2E" w14:textId="77777777" w:rsidR="00D63482" w:rsidRDefault="00D63482" w:rsidP="00E068FF">
            <w:pPr>
              <w:spacing w:after="0" w:line="240" w:lineRule="auto"/>
            </w:pPr>
          </w:p>
          <w:p w14:paraId="1638C9D4" w14:textId="77777777" w:rsidR="00D63482" w:rsidRDefault="00D63482" w:rsidP="00E068FF">
            <w:pPr>
              <w:spacing w:after="0" w:line="240" w:lineRule="auto"/>
            </w:pPr>
          </w:p>
          <w:p w14:paraId="6AF32283" w14:textId="5D2CAEBF" w:rsidR="00E068FF" w:rsidRPr="00E0193B" w:rsidRDefault="00E068FF" w:rsidP="00E068FF">
            <w:pPr>
              <w:spacing w:after="0" w:line="240" w:lineRule="auto"/>
            </w:pPr>
            <w:r w:rsidRPr="00E0193B">
              <w:t>Termin</w:t>
            </w:r>
            <w:r w:rsidR="004D26D4" w:rsidRPr="00E0193B">
              <w:t xml:space="preserve"> realizacji: </w:t>
            </w:r>
            <w:r w:rsidRPr="00E0193B">
              <w:rPr>
                <w:color w:val="FF0000"/>
              </w:rPr>
              <w:t>IV kw. 2025 r.</w:t>
            </w:r>
          </w:p>
          <w:p w14:paraId="14AAB860" w14:textId="77777777" w:rsidR="00E068FF" w:rsidRPr="00E0193B" w:rsidRDefault="00E068FF" w:rsidP="00E068FF">
            <w:pPr>
              <w:spacing w:after="0" w:line="240" w:lineRule="auto"/>
              <w:rPr>
                <w:b/>
                <w:bCs/>
                <w:i/>
                <w:iCs/>
              </w:rPr>
            </w:pPr>
          </w:p>
          <w:p w14:paraId="746FF7CA" w14:textId="77777777" w:rsidR="00E068FF" w:rsidRPr="00E0193B" w:rsidRDefault="00E068FF" w:rsidP="00E068FF">
            <w:pPr>
              <w:spacing w:after="0" w:line="240" w:lineRule="auto"/>
              <w:rPr>
                <w:color w:val="FF0000"/>
                <w:lang w:val="en-GB"/>
              </w:rPr>
            </w:pPr>
            <w:r w:rsidRPr="00E0193B">
              <w:rPr>
                <w:color w:val="FF0000"/>
                <w:lang w:val="en-GB"/>
              </w:rPr>
              <w:t>E10L</w:t>
            </w:r>
          </w:p>
          <w:p w14:paraId="427D41C3" w14:textId="2E76C6DC" w:rsidR="00E068FF" w:rsidRPr="00E0193B" w:rsidRDefault="00E068FF" w:rsidP="00E068FF">
            <w:pPr>
              <w:shd w:val="clear" w:color="auto" w:fill="FDFDFD"/>
              <w:spacing w:after="0" w:line="240" w:lineRule="auto"/>
              <w:jc w:val="left"/>
              <w:rPr>
                <w:color w:val="FF0000"/>
                <w:lang w:val="en" w:eastAsia="pl-PL"/>
              </w:rPr>
            </w:pPr>
            <w:r w:rsidRPr="00E0193B">
              <w:rPr>
                <w:color w:val="FF0000"/>
                <w:lang w:val="en" w:eastAsia="pl-PL"/>
              </w:rPr>
              <w:t xml:space="preserve">Contracts signed with the final beneficiaries - 30% </w:t>
            </w:r>
          </w:p>
          <w:p w14:paraId="1DB7B62C" w14:textId="77777777" w:rsidR="004D26D4" w:rsidRPr="00E0193B" w:rsidRDefault="004D26D4" w:rsidP="00E068FF">
            <w:pPr>
              <w:shd w:val="clear" w:color="auto" w:fill="FDFDFD"/>
              <w:spacing w:after="0" w:line="240" w:lineRule="auto"/>
              <w:jc w:val="left"/>
              <w:rPr>
                <w:color w:val="FF0000"/>
                <w:lang w:val="en" w:eastAsia="pl-PL"/>
              </w:rPr>
            </w:pPr>
          </w:p>
          <w:p w14:paraId="64061CAA" w14:textId="7A639D19" w:rsidR="00E068FF" w:rsidRPr="00E0193B" w:rsidRDefault="00E068FF" w:rsidP="00E068FF">
            <w:pPr>
              <w:shd w:val="clear" w:color="auto" w:fill="FDFDFD"/>
              <w:spacing w:after="0" w:line="240" w:lineRule="auto"/>
              <w:jc w:val="left"/>
              <w:rPr>
                <w:color w:val="FF0000"/>
                <w:lang w:val="en" w:eastAsia="pl-PL"/>
              </w:rPr>
            </w:pPr>
            <w:r w:rsidRPr="00E0193B">
              <w:rPr>
                <w:color w:val="FF0000"/>
                <w:lang w:val="en" w:eastAsia="pl-PL"/>
              </w:rPr>
              <w:t xml:space="preserve">Legally binding financing agreements between the </w:t>
            </w:r>
            <w:r w:rsidRPr="00E0193B">
              <w:rPr>
                <w:color w:val="FF0000"/>
                <w:lang w:val="en-GB"/>
              </w:rPr>
              <w:t>executive partner</w:t>
            </w:r>
            <w:r w:rsidRPr="00E0193B">
              <w:rPr>
                <w:color w:val="FF0000"/>
                <w:lang w:val="en" w:eastAsia="pl-PL"/>
              </w:rPr>
              <w:t xml:space="preserve"> and the final beneficiaries for the amount necessary to use at least 30% of the RRF investment (including management fees).</w:t>
            </w:r>
          </w:p>
          <w:p w14:paraId="5A8EB58D" w14:textId="77777777" w:rsidR="00E068FF" w:rsidRPr="00E0193B" w:rsidRDefault="00E068FF" w:rsidP="00E068FF">
            <w:pPr>
              <w:shd w:val="clear" w:color="auto" w:fill="FDFDFD"/>
              <w:spacing w:after="0" w:line="240" w:lineRule="auto"/>
              <w:jc w:val="left"/>
              <w:rPr>
                <w:color w:val="FF0000"/>
                <w:lang w:val="en" w:eastAsia="pl-PL"/>
              </w:rPr>
            </w:pPr>
          </w:p>
          <w:p w14:paraId="1D630280" w14:textId="5A45450C" w:rsidR="00E068FF" w:rsidRPr="00E0193B" w:rsidRDefault="00E068FF" w:rsidP="00E068FF">
            <w:pPr>
              <w:spacing w:after="0" w:line="240" w:lineRule="auto"/>
              <w:rPr>
                <w:lang w:val="en-GB"/>
              </w:rPr>
            </w:pPr>
            <w:r w:rsidRPr="00E0193B">
              <w:rPr>
                <w:lang w:val="en-GB"/>
              </w:rPr>
              <w:t>Deadline:</w:t>
            </w:r>
            <w:r w:rsidR="004D26D4" w:rsidRPr="00E0193B">
              <w:rPr>
                <w:lang w:val="en-GB"/>
              </w:rPr>
              <w:t xml:space="preserve"> </w:t>
            </w:r>
            <w:r w:rsidRPr="00E0193B">
              <w:rPr>
                <w:color w:val="FF0000"/>
              </w:rPr>
              <w:t>4Q 2025</w:t>
            </w:r>
          </w:p>
          <w:p w14:paraId="704036DC" w14:textId="77F9618F" w:rsidR="00E068FF" w:rsidRPr="00E0193B" w:rsidRDefault="00E068FF" w:rsidP="00E068FF">
            <w:pPr>
              <w:spacing w:after="0" w:line="240" w:lineRule="auto"/>
              <w:jc w:val="left"/>
              <w:rPr>
                <w:rFonts w:eastAsia="Calibri"/>
              </w:rPr>
            </w:pPr>
          </w:p>
        </w:tc>
      </w:tr>
      <w:tr w:rsidR="00E068FF" w:rsidRPr="00E0193B" w14:paraId="2DE4E36D" w14:textId="77777777" w:rsidTr="00B72575">
        <w:tc>
          <w:tcPr>
            <w:tcW w:w="1063" w:type="pct"/>
            <w:vMerge/>
          </w:tcPr>
          <w:p w14:paraId="2061AC72" w14:textId="77777777" w:rsidR="00E068FF" w:rsidRPr="00E0193B" w:rsidRDefault="00E068FF" w:rsidP="00E068FF">
            <w:pPr>
              <w:spacing w:after="0" w:line="240" w:lineRule="auto"/>
              <w:jc w:val="left"/>
              <w:rPr>
                <w:rFonts w:eastAsia="Calibri"/>
              </w:rPr>
            </w:pPr>
          </w:p>
        </w:tc>
        <w:tc>
          <w:tcPr>
            <w:tcW w:w="1902" w:type="pct"/>
            <w:gridSpan w:val="2"/>
          </w:tcPr>
          <w:p w14:paraId="5E21524D" w14:textId="77777777" w:rsidR="00E068FF" w:rsidRPr="00E0193B" w:rsidRDefault="00E068FF" w:rsidP="00E068FF">
            <w:pPr>
              <w:spacing w:after="0" w:line="240" w:lineRule="auto"/>
              <w:jc w:val="left"/>
              <w:rPr>
                <w:rFonts w:eastAsia="Calibri"/>
                <w:i/>
                <w:iCs/>
              </w:rPr>
            </w:pPr>
            <w:r w:rsidRPr="00E0193B">
              <w:rPr>
                <w:rFonts w:eastAsia="Calibri"/>
              </w:rPr>
              <w:t>E11G</w:t>
            </w:r>
          </w:p>
          <w:p w14:paraId="3F5F395A" w14:textId="77777777" w:rsidR="00E068FF" w:rsidRPr="00E0193B" w:rsidRDefault="00E068FF" w:rsidP="00E068FF">
            <w:pPr>
              <w:spacing w:after="0" w:line="240" w:lineRule="auto"/>
              <w:jc w:val="left"/>
              <w:rPr>
                <w:rFonts w:eastAsia="Calibri"/>
              </w:rPr>
            </w:pPr>
            <w:r w:rsidRPr="00E0193B">
              <w:rPr>
                <w:rFonts w:eastAsia="Calibri"/>
              </w:rPr>
              <w:t>Zainstalowana moc produkcyjna i zdolność magazynowania paliw/energii alternatywnych zeroemisyjnych/niskoemisyjnych.</w:t>
            </w:r>
          </w:p>
          <w:p w14:paraId="43280251" w14:textId="77777777" w:rsidR="00E068FF" w:rsidRPr="00E0193B" w:rsidRDefault="00E068FF" w:rsidP="00E068FF">
            <w:pPr>
              <w:spacing w:after="0" w:line="240" w:lineRule="auto"/>
              <w:jc w:val="left"/>
              <w:rPr>
                <w:rFonts w:eastAsia="Calibri"/>
                <w:i/>
                <w:iCs/>
              </w:rPr>
            </w:pPr>
          </w:p>
          <w:p w14:paraId="70EDC859" w14:textId="77777777" w:rsidR="00E068FF" w:rsidRPr="00E0193B" w:rsidRDefault="00E068FF" w:rsidP="00E068FF">
            <w:pPr>
              <w:spacing w:after="0" w:line="240" w:lineRule="auto"/>
              <w:jc w:val="left"/>
              <w:rPr>
                <w:rFonts w:eastAsia="Calibri"/>
              </w:rPr>
            </w:pPr>
            <w:r w:rsidRPr="00E0193B">
              <w:rPr>
                <w:rFonts w:eastAsia="Calibri"/>
              </w:rPr>
              <w:t>Wartość docelowa odnosi się do mocy produkcyjnej i zainstalowanej (akumulatorów) (w MW) zeroemisyjnych źródeł energii produkowanych rocznie (z wyłączeniem sprężonego gazu ziemnego i skroplonego gazu ziemnego) dzięki inwestycjom wspieranym z Funduszu.</w:t>
            </w:r>
          </w:p>
          <w:p w14:paraId="6D2BDFE3" w14:textId="77777777" w:rsidR="00E068FF" w:rsidRPr="00E0193B" w:rsidRDefault="00E068FF" w:rsidP="00E068FF">
            <w:pPr>
              <w:spacing w:after="0" w:line="240" w:lineRule="auto"/>
              <w:jc w:val="left"/>
              <w:rPr>
                <w:rFonts w:eastAsia="Calibri"/>
              </w:rPr>
            </w:pPr>
          </w:p>
          <w:p w14:paraId="4738F47C" w14:textId="77777777" w:rsidR="00E068FF" w:rsidRPr="00E0193B" w:rsidRDefault="00E068FF" w:rsidP="00E068FF">
            <w:pPr>
              <w:spacing w:after="0" w:line="240" w:lineRule="auto"/>
              <w:jc w:val="left"/>
              <w:rPr>
                <w:rFonts w:eastAsia="Calibri"/>
              </w:rPr>
            </w:pPr>
            <w:r w:rsidRPr="00E0193B">
              <w:rPr>
                <w:rFonts w:eastAsia="Calibri"/>
              </w:rPr>
              <w:t xml:space="preserve">Termin realizacji: II kw. 2026 r. </w:t>
            </w:r>
          </w:p>
        </w:tc>
        <w:tc>
          <w:tcPr>
            <w:tcW w:w="2035" w:type="pct"/>
          </w:tcPr>
          <w:p w14:paraId="6F081DF9" w14:textId="77777777" w:rsidR="00E068FF" w:rsidRPr="00E0193B" w:rsidRDefault="00E068FF" w:rsidP="00E068FF">
            <w:pPr>
              <w:spacing w:after="0" w:line="240" w:lineRule="auto"/>
              <w:jc w:val="left"/>
              <w:rPr>
                <w:rFonts w:eastAsia="Calibri"/>
                <w:i/>
                <w:iCs/>
                <w:color w:val="FF0000"/>
              </w:rPr>
            </w:pPr>
            <w:r w:rsidRPr="00E0193B">
              <w:rPr>
                <w:rFonts w:eastAsia="Calibri"/>
                <w:color w:val="FF0000"/>
              </w:rPr>
              <w:t>E11L</w:t>
            </w:r>
          </w:p>
          <w:p w14:paraId="2572CD00" w14:textId="77777777" w:rsidR="00E068FF" w:rsidRPr="00E0193B" w:rsidRDefault="00E068FF" w:rsidP="00E068FF">
            <w:pPr>
              <w:spacing w:after="0" w:line="240" w:lineRule="auto"/>
              <w:jc w:val="left"/>
              <w:rPr>
                <w:rFonts w:eastAsia="Calibri"/>
                <w:color w:val="FF0000"/>
              </w:rPr>
            </w:pPr>
            <w:r w:rsidRPr="00E0193B">
              <w:rPr>
                <w:rFonts w:eastAsia="Calibri"/>
                <w:color w:val="FF0000"/>
              </w:rPr>
              <w:t xml:space="preserve">Umowy odpisane z beneficjentami końcowymi - 100% </w:t>
            </w:r>
          </w:p>
          <w:p w14:paraId="4CEE656A" w14:textId="77777777" w:rsidR="00E068FF" w:rsidRPr="00E0193B" w:rsidRDefault="00E068FF" w:rsidP="00E068FF">
            <w:pPr>
              <w:spacing w:after="0" w:line="240" w:lineRule="auto"/>
              <w:jc w:val="left"/>
              <w:rPr>
                <w:rFonts w:eastAsia="Calibri"/>
                <w:i/>
                <w:iCs/>
              </w:rPr>
            </w:pPr>
          </w:p>
          <w:p w14:paraId="70B573CA" w14:textId="77777777" w:rsidR="00E068FF" w:rsidRPr="00E0193B" w:rsidRDefault="00E068FF" w:rsidP="00E068FF">
            <w:pPr>
              <w:autoSpaceDE w:val="0"/>
              <w:autoSpaceDN w:val="0"/>
              <w:adjustRightInd w:val="0"/>
              <w:spacing w:after="0" w:line="240" w:lineRule="auto"/>
              <w:jc w:val="left"/>
              <w:rPr>
                <w:rFonts w:eastAsia="Calibri"/>
                <w:color w:val="FF0000"/>
              </w:rPr>
            </w:pPr>
            <w:r w:rsidRPr="00E0193B">
              <w:rPr>
                <w:rFonts w:eastAsia="Calibri"/>
                <w:color w:val="FF0000"/>
              </w:rPr>
              <w:t>Prawnie wiążące umowy finansowania partnera wykonawczego z beneficjentami końcowymi na kwotę niezbędną</w:t>
            </w:r>
          </w:p>
          <w:p w14:paraId="7C27F5E1" w14:textId="77777777" w:rsidR="00E068FF" w:rsidRPr="00E0193B" w:rsidRDefault="00E068FF" w:rsidP="00E068FF">
            <w:pPr>
              <w:spacing w:after="0" w:line="240" w:lineRule="auto"/>
              <w:jc w:val="left"/>
              <w:rPr>
                <w:rFonts w:eastAsia="Calibri"/>
                <w:color w:val="FF0000"/>
              </w:rPr>
            </w:pPr>
            <w:r w:rsidRPr="00E0193B">
              <w:rPr>
                <w:rFonts w:eastAsia="Calibri"/>
                <w:color w:val="FF0000"/>
              </w:rPr>
              <w:t>do wykorzystania 100% inwestycji RRF (uwzględniając opłaty za zarządzanie).</w:t>
            </w:r>
          </w:p>
          <w:p w14:paraId="0D1C9CF7" w14:textId="77777777" w:rsidR="00E068FF" w:rsidRPr="00E0193B" w:rsidRDefault="00E068FF" w:rsidP="00E068FF">
            <w:pPr>
              <w:spacing w:after="0" w:line="240" w:lineRule="auto"/>
              <w:jc w:val="left"/>
              <w:rPr>
                <w:rFonts w:eastAsia="Calibri"/>
              </w:rPr>
            </w:pPr>
          </w:p>
          <w:p w14:paraId="56FC4A0E" w14:textId="77777777" w:rsidR="00E068FF" w:rsidRPr="00E0193B" w:rsidRDefault="00E068FF" w:rsidP="00E068FF">
            <w:pPr>
              <w:spacing w:after="0" w:line="240" w:lineRule="auto"/>
              <w:jc w:val="left"/>
              <w:rPr>
                <w:rFonts w:eastAsia="Calibri"/>
              </w:rPr>
            </w:pPr>
            <w:r w:rsidRPr="00E0193B">
              <w:rPr>
                <w:rFonts w:eastAsia="Calibri"/>
              </w:rPr>
              <w:t>Termin realizacji: II kw. 2026 r</w:t>
            </w:r>
          </w:p>
          <w:p w14:paraId="422A763B" w14:textId="77777777" w:rsidR="005B7F5E" w:rsidRPr="00E0193B" w:rsidRDefault="005B7F5E" w:rsidP="005B7F5E">
            <w:pPr>
              <w:spacing w:after="0" w:line="240" w:lineRule="auto"/>
              <w:rPr>
                <w:color w:val="FF0000"/>
              </w:rPr>
            </w:pPr>
            <w:r w:rsidRPr="00E0193B">
              <w:rPr>
                <w:color w:val="FF0000"/>
              </w:rPr>
              <w:t>E11L</w:t>
            </w:r>
          </w:p>
          <w:p w14:paraId="7FAACDFF" w14:textId="77777777" w:rsidR="005B7F5E" w:rsidRPr="00E0193B" w:rsidRDefault="005B7F5E" w:rsidP="005B7F5E">
            <w:pPr>
              <w:shd w:val="clear" w:color="auto" w:fill="FDFDFD"/>
              <w:spacing w:after="0" w:line="240" w:lineRule="auto"/>
              <w:jc w:val="left"/>
              <w:rPr>
                <w:color w:val="FF0000"/>
                <w:lang w:val="en" w:eastAsia="pl-PL"/>
              </w:rPr>
            </w:pPr>
            <w:r w:rsidRPr="00E0193B">
              <w:rPr>
                <w:color w:val="FF0000"/>
                <w:lang w:val="en" w:eastAsia="pl-PL"/>
              </w:rPr>
              <w:t xml:space="preserve">Contracts signed with the final beneficiaries - 100% </w:t>
            </w:r>
          </w:p>
          <w:p w14:paraId="56ADAB0B" w14:textId="67728126" w:rsidR="005B7F5E" w:rsidRPr="00E0193B" w:rsidRDefault="005B7F5E" w:rsidP="005B7F5E">
            <w:pPr>
              <w:spacing w:after="0" w:line="240" w:lineRule="auto"/>
              <w:rPr>
                <w:rFonts w:eastAsiaTheme="minorHAnsi"/>
                <w:color w:val="FF0000"/>
                <w:lang w:val="en-GB"/>
              </w:rPr>
            </w:pPr>
          </w:p>
          <w:p w14:paraId="5F87A521" w14:textId="3801740D" w:rsidR="005B7F5E" w:rsidRPr="00E0193B" w:rsidRDefault="005B7F5E" w:rsidP="005B7F5E">
            <w:pPr>
              <w:shd w:val="clear" w:color="auto" w:fill="FDFDFD"/>
              <w:spacing w:after="0" w:line="240" w:lineRule="auto"/>
              <w:jc w:val="left"/>
              <w:rPr>
                <w:color w:val="FF0000"/>
                <w:lang w:val="en" w:eastAsia="pl-PL"/>
              </w:rPr>
            </w:pPr>
            <w:r w:rsidRPr="00E0193B">
              <w:rPr>
                <w:color w:val="FF0000"/>
                <w:lang w:val="en" w:eastAsia="pl-PL"/>
              </w:rPr>
              <w:t>Legally binding contracts between executive partner and final beneficiaries for the amount necessary to use 100% of the RRF investment (including management fees).</w:t>
            </w:r>
          </w:p>
          <w:p w14:paraId="2ACDDEBB" w14:textId="77777777" w:rsidR="005B7F5E" w:rsidRPr="00E0193B" w:rsidRDefault="005B7F5E" w:rsidP="005B7F5E">
            <w:pPr>
              <w:shd w:val="clear" w:color="auto" w:fill="FDFDFD"/>
              <w:spacing w:after="0" w:line="240" w:lineRule="auto"/>
              <w:jc w:val="left"/>
              <w:rPr>
                <w:color w:val="FF0000"/>
                <w:lang w:val="en" w:eastAsia="pl-PL"/>
              </w:rPr>
            </w:pPr>
          </w:p>
          <w:p w14:paraId="5658FFB6" w14:textId="12D99F53" w:rsidR="005B7F5E" w:rsidRPr="00E0193B" w:rsidRDefault="005B7F5E" w:rsidP="005B7F5E">
            <w:pPr>
              <w:spacing w:after="0" w:line="240" w:lineRule="auto"/>
              <w:rPr>
                <w:lang w:val="en-GB"/>
              </w:rPr>
            </w:pPr>
            <w:r w:rsidRPr="00E0193B">
              <w:rPr>
                <w:lang w:val="en-GB"/>
              </w:rPr>
              <w:t>Deadline:</w:t>
            </w:r>
            <w:r w:rsidR="004D26D4" w:rsidRPr="00E0193B">
              <w:rPr>
                <w:lang w:val="en-GB"/>
              </w:rPr>
              <w:t xml:space="preserve"> </w:t>
            </w:r>
            <w:r w:rsidRPr="00E0193B">
              <w:t>2Q 2026</w:t>
            </w:r>
          </w:p>
          <w:p w14:paraId="1DBE703F" w14:textId="27B1E530" w:rsidR="005B7F5E" w:rsidRPr="00E0193B" w:rsidRDefault="005B7F5E" w:rsidP="00E068FF">
            <w:pPr>
              <w:spacing w:after="0" w:line="240" w:lineRule="auto"/>
              <w:jc w:val="left"/>
              <w:rPr>
                <w:rFonts w:eastAsia="Calibri"/>
              </w:rPr>
            </w:pPr>
          </w:p>
        </w:tc>
      </w:tr>
      <w:tr w:rsidR="00E068FF" w:rsidRPr="00E0193B" w14:paraId="18F02049" w14:textId="77777777" w:rsidTr="00B72575">
        <w:tc>
          <w:tcPr>
            <w:tcW w:w="1063" w:type="pct"/>
            <w:vMerge/>
          </w:tcPr>
          <w:p w14:paraId="40F58B76" w14:textId="77777777" w:rsidR="00E068FF" w:rsidRPr="00E0193B" w:rsidRDefault="00E068FF" w:rsidP="00E068FF">
            <w:pPr>
              <w:spacing w:after="0" w:line="240" w:lineRule="auto"/>
              <w:jc w:val="left"/>
              <w:rPr>
                <w:rFonts w:eastAsia="Calibri"/>
              </w:rPr>
            </w:pPr>
          </w:p>
        </w:tc>
        <w:tc>
          <w:tcPr>
            <w:tcW w:w="1902" w:type="pct"/>
            <w:gridSpan w:val="2"/>
          </w:tcPr>
          <w:p w14:paraId="26F416EB" w14:textId="77777777" w:rsidR="00E068FF" w:rsidRPr="00E0193B" w:rsidRDefault="00E068FF" w:rsidP="00E068FF">
            <w:pPr>
              <w:spacing w:line="259" w:lineRule="auto"/>
              <w:ind w:right="119"/>
              <w:jc w:val="left"/>
              <w:rPr>
                <w:rFonts w:eastAsia="Calibri"/>
                <w:i/>
                <w:iCs/>
              </w:rPr>
            </w:pPr>
            <w:r w:rsidRPr="00E0193B">
              <w:rPr>
                <w:rFonts w:eastAsia="Calibri"/>
              </w:rPr>
              <w:t>E12G</w:t>
            </w:r>
          </w:p>
          <w:p w14:paraId="7D20022B" w14:textId="77777777" w:rsidR="00E068FF" w:rsidRPr="00E0193B" w:rsidRDefault="00E068FF" w:rsidP="00E068FF">
            <w:pPr>
              <w:spacing w:line="259" w:lineRule="auto"/>
              <w:ind w:right="119"/>
              <w:jc w:val="left"/>
              <w:rPr>
                <w:rFonts w:eastAsia="Calibri"/>
              </w:rPr>
            </w:pPr>
            <w:r w:rsidRPr="00E0193B">
              <w:rPr>
                <w:rFonts w:eastAsia="Calibri"/>
              </w:rPr>
              <w:t>MŚP i spółki o średniej kapitalizacji wspierane w ramach konkretnych inwestycji objętych</w:t>
            </w:r>
          </w:p>
          <w:p w14:paraId="500032CB" w14:textId="77777777" w:rsidR="00E068FF" w:rsidRPr="00E0193B" w:rsidRDefault="00E068FF" w:rsidP="00E068FF">
            <w:pPr>
              <w:spacing w:line="259" w:lineRule="auto"/>
              <w:ind w:right="119"/>
              <w:jc w:val="left"/>
              <w:rPr>
                <w:rFonts w:eastAsia="Calibri"/>
              </w:rPr>
            </w:pPr>
            <w:r w:rsidRPr="00E0193B">
              <w:rPr>
                <w:rFonts w:eastAsia="Calibri"/>
              </w:rPr>
              <w:t>Funduszem</w:t>
            </w:r>
          </w:p>
          <w:p w14:paraId="32A9634C" w14:textId="77777777" w:rsidR="00E068FF" w:rsidRPr="00E0193B" w:rsidRDefault="00E068FF" w:rsidP="00E068FF">
            <w:pPr>
              <w:spacing w:line="259" w:lineRule="auto"/>
              <w:ind w:right="119"/>
              <w:jc w:val="left"/>
              <w:rPr>
                <w:rFonts w:eastAsia="Calibri"/>
              </w:rPr>
            </w:pPr>
            <w:r w:rsidRPr="00E0193B">
              <w:rPr>
                <w:rFonts w:eastAsia="Calibri"/>
              </w:rPr>
              <w:t>Wartość docelowa odnosi się do liczby MŚP i spółek o średniej kapitalizacji wspieranych</w:t>
            </w:r>
          </w:p>
          <w:p w14:paraId="27533460" w14:textId="77777777" w:rsidR="00E068FF" w:rsidRPr="00E0193B" w:rsidRDefault="00E068FF" w:rsidP="00E068FF">
            <w:pPr>
              <w:spacing w:line="259" w:lineRule="auto"/>
              <w:ind w:right="119"/>
              <w:jc w:val="left"/>
              <w:rPr>
                <w:rFonts w:eastAsia="Calibri"/>
              </w:rPr>
            </w:pPr>
            <w:r w:rsidRPr="00E0193B">
              <w:rPr>
                <w:rFonts w:eastAsia="Calibri"/>
              </w:rPr>
              <w:t xml:space="preserve">z Funduszu i oferujących produkty i usługi w zakresie zrównoważonej mobilności </w:t>
            </w:r>
            <w:r w:rsidRPr="00E0193B">
              <w:rPr>
                <w:rFonts w:eastAsia="Calibri"/>
              </w:rPr>
              <w:lastRenderedPageBreak/>
              <w:t>niskoemisyjnej/zeroemisyjnej oraz energii zeroemisyjnej.</w:t>
            </w:r>
          </w:p>
          <w:p w14:paraId="3E0D1194" w14:textId="77777777" w:rsidR="00E068FF" w:rsidRPr="00E0193B" w:rsidRDefault="00E068FF" w:rsidP="00E068FF">
            <w:pPr>
              <w:spacing w:line="259" w:lineRule="auto"/>
              <w:ind w:right="119"/>
              <w:jc w:val="left"/>
              <w:rPr>
                <w:rFonts w:eastAsia="Calibri"/>
              </w:rPr>
            </w:pPr>
            <w:r w:rsidRPr="00E0193B">
              <w:rPr>
                <w:rFonts w:eastAsia="Calibri"/>
              </w:rPr>
              <w:t>Termin realizacji:</w:t>
            </w:r>
            <w:r w:rsidRPr="00E0193B">
              <w:rPr>
                <w:rFonts w:eastAsia="Calibri"/>
                <w:color w:val="FF0000"/>
              </w:rPr>
              <w:t xml:space="preserve"> </w:t>
            </w:r>
            <w:r w:rsidRPr="00E0193B">
              <w:rPr>
                <w:rFonts w:eastAsia="Calibri"/>
              </w:rPr>
              <w:t xml:space="preserve">IV kw. 2025 r. </w:t>
            </w:r>
          </w:p>
        </w:tc>
        <w:tc>
          <w:tcPr>
            <w:tcW w:w="2035" w:type="pct"/>
          </w:tcPr>
          <w:p w14:paraId="16683847" w14:textId="77777777" w:rsidR="00E068FF" w:rsidRPr="00E0193B" w:rsidRDefault="00E068FF" w:rsidP="00E068FF">
            <w:pPr>
              <w:contextualSpacing/>
              <w:rPr>
                <w:i/>
                <w:iCs/>
                <w:color w:val="FF0000"/>
              </w:rPr>
            </w:pPr>
            <w:r w:rsidRPr="00E0193B">
              <w:rPr>
                <w:color w:val="FF0000"/>
              </w:rPr>
              <w:lastRenderedPageBreak/>
              <w:t>E12L</w:t>
            </w:r>
          </w:p>
          <w:p w14:paraId="3743C9A5" w14:textId="77777777" w:rsidR="00E068FF" w:rsidRPr="00E0193B" w:rsidRDefault="00E068FF" w:rsidP="00E068FF">
            <w:pPr>
              <w:contextualSpacing/>
              <w:rPr>
                <w:color w:val="FF0000"/>
              </w:rPr>
            </w:pPr>
            <w:r w:rsidRPr="00E0193B">
              <w:rPr>
                <w:color w:val="FF0000"/>
              </w:rPr>
              <w:t>Zakończenie inwestycji</w:t>
            </w:r>
          </w:p>
          <w:p w14:paraId="3E9B8E37" w14:textId="77777777" w:rsidR="00E068FF" w:rsidRPr="00E0193B" w:rsidRDefault="00E068FF" w:rsidP="00E068FF">
            <w:pPr>
              <w:ind w:left="720"/>
              <w:contextualSpacing/>
              <w:rPr>
                <w:i/>
                <w:iCs/>
                <w:color w:val="FF0000"/>
              </w:rPr>
            </w:pPr>
          </w:p>
          <w:p w14:paraId="1A634AEB" w14:textId="41C1DFCF" w:rsidR="00E068FF" w:rsidRPr="00E0193B" w:rsidRDefault="00E068FF" w:rsidP="00E068FF">
            <w:pPr>
              <w:spacing w:after="0" w:line="240" w:lineRule="auto"/>
              <w:jc w:val="left"/>
              <w:rPr>
                <w:rFonts w:eastAsia="Calibri"/>
              </w:rPr>
            </w:pPr>
            <w:r w:rsidRPr="00E0193B">
              <w:rPr>
                <w:rFonts w:eastAsia="Calibri"/>
                <w:color w:val="FF0000"/>
              </w:rPr>
              <w:t>Przekazanie partnerowi wykonawczemu pozostałej wielkości środków [w mln EUR] na rzecz realizacji inwestycji E1.1.1</w:t>
            </w:r>
          </w:p>
          <w:p w14:paraId="6C35392B" w14:textId="77777777" w:rsidR="00E068FF" w:rsidRPr="00E0193B" w:rsidRDefault="00E068FF" w:rsidP="00E068FF">
            <w:pPr>
              <w:spacing w:after="0" w:line="240" w:lineRule="auto"/>
              <w:jc w:val="left"/>
              <w:rPr>
                <w:rFonts w:eastAsia="Calibri"/>
              </w:rPr>
            </w:pPr>
          </w:p>
          <w:p w14:paraId="1A54DA3F" w14:textId="77777777" w:rsidR="00E068FF" w:rsidRPr="00E0193B" w:rsidRDefault="00E068FF" w:rsidP="00E068FF">
            <w:pPr>
              <w:spacing w:after="0" w:line="240" w:lineRule="auto"/>
              <w:jc w:val="left"/>
              <w:rPr>
                <w:rFonts w:eastAsia="Calibri"/>
                <w:color w:val="FF0000"/>
              </w:rPr>
            </w:pPr>
            <w:r w:rsidRPr="00E0193B">
              <w:rPr>
                <w:rFonts w:eastAsia="Calibri"/>
              </w:rPr>
              <w:t>Termin realizacji:</w:t>
            </w:r>
            <w:r w:rsidRPr="00E0193B">
              <w:rPr>
                <w:rFonts w:eastAsia="Calibri"/>
                <w:color w:val="FF0000"/>
              </w:rPr>
              <w:t xml:space="preserve"> III kw. 2026 r.</w:t>
            </w:r>
          </w:p>
          <w:p w14:paraId="298CD625" w14:textId="77777777" w:rsidR="00FB1988" w:rsidRPr="00E0193B" w:rsidRDefault="00FB1988" w:rsidP="00FB1988">
            <w:pPr>
              <w:pStyle w:val="Default"/>
              <w:rPr>
                <w:color w:val="FF0000"/>
                <w:lang w:val="pl-PL"/>
              </w:rPr>
            </w:pPr>
          </w:p>
          <w:p w14:paraId="0C3B8728" w14:textId="78C1454F" w:rsidR="00FB1988" w:rsidRPr="00E0193B" w:rsidRDefault="00FB1988" w:rsidP="00FB1988">
            <w:pPr>
              <w:pStyle w:val="Default"/>
              <w:rPr>
                <w:color w:val="FF0000"/>
              </w:rPr>
            </w:pPr>
            <w:r w:rsidRPr="00E0193B">
              <w:rPr>
                <w:color w:val="FF0000"/>
              </w:rPr>
              <w:t>E12L</w:t>
            </w:r>
          </w:p>
          <w:p w14:paraId="7FB40FFD" w14:textId="77777777" w:rsidR="00FB1988" w:rsidRPr="00E0193B" w:rsidRDefault="00FB1988" w:rsidP="00FB1988">
            <w:pPr>
              <w:shd w:val="clear" w:color="auto" w:fill="FDFDFD"/>
              <w:spacing w:after="0" w:line="240" w:lineRule="auto"/>
              <w:jc w:val="left"/>
              <w:rPr>
                <w:color w:val="FF0000"/>
                <w:lang w:val="en" w:eastAsia="pl-PL"/>
              </w:rPr>
            </w:pPr>
            <w:r w:rsidRPr="00E0193B">
              <w:rPr>
                <w:color w:val="FF0000"/>
                <w:lang w:val="en" w:eastAsia="pl-PL"/>
              </w:rPr>
              <w:t xml:space="preserve">Completion of the investment. </w:t>
            </w:r>
          </w:p>
          <w:p w14:paraId="0B06ED1F" w14:textId="77777777" w:rsidR="00FB1988" w:rsidRPr="00E0193B" w:rsidRDefault="00FB1988" w:rsidP="00FB1988">
            <w:pPr>
              <w:spacing w:after="0" w:line="240" w:lineRule="auto"/>
              <w:rPr>
                <w:lang w:val="en" w:eastAsia="pl-PL"/>
              </w:rPr>
            </w:pPr>
          </w:p>
          <w:p w14:paraId="6D21317D" w14:textId="24E89E20" w:rsidR="00FB1988" w:rsidRPr="00E0193B" w:rsidRDefault="00FB1988" w:rsidP="00FB1988">
            <w:pPr>
              <w:spacing w:after="0" w:line="240" w:lineRule="auto"/>
              <w:rPr>
                <w:color w:val="FF0000"/>
                <w:lang w:val="en-GB"/>
              </w:rPr>
            </w:pPr>
            <w:r w:rsidRPr="00E0193B">
              <w:rPr>
                <w:color w:val="FF0000"/>
                <w:lang w:val="en" w:eastAsia="pl-PL"/>
              </w:rPr>
              <w:t>Transfer of the remaining amount of funds [in EUR million] to the executive</w:t>
            </w:r>
          </w:p>
          <w:p w14:paraId="2D7470DD" w14:textId="23C37A48" w:rsidR="00FB1988" w:rsidRPr="00E0193B" w:rsidRDefault="00FB1988" w:rsidP="00FB1988">
            <w:pPr>
              <w:spacing w:after="0" w:line="240" w:lineRule="auto"/>
              <w:rPr>
                <w:color w:val="FF0000"/>
                <w:lang w:val="en" w:eastAsia="pl-PL"/>
              </w:rPr>
            </w:pPr>
            <w:r w:rsidRPr="00E0193B">
              <w:rPr>
                <w:color w:val="FF0000"/>
                <w:lang w:val="en" w:eastAsia="pl-PL"/>
              </w:rPr>
              <w:lastRenderedPageBreak/>
              <w:t>partner for the implementation of the E1.1.1 investment.</w:t>
            </w:r>
          </w:p>
          <w:p w14:paraId="09D2D851" w14:textId="77777777" w:rsidR="00FB1988" w:rsidRPr="00E0193B" w:rsidRDefault="00FB1988" w:rsidP="00FB1988">
            <w:pPr>
              <w:spacing w:after="0" w:line="240" w:lineRule="auto"/>
              <w:rPr>
                <w:color w:val="FF0000"/>
                <w:lang w:val="en" w:eastAsia="pl-PL"/>
              </w:rPr>
            </w:pPr>
          </w:p>
          <w:p w14:paraId="671A89DA" w14:textId="77777777" w:rsidR="00FB1988" w:rsidRPr="00E0193B" w:rsidRDefault="00FB1988" w:rsidP="00FB1988">
            <w:pPr>
              <w:spacing w:after="0" w:line="240" w:lineRule="auto"/>
              <w:rPr>
                <w:lang w:val="en-GB"/>
              </w:rPr>
            </w:pPr>
            <w:r w:rsidRPr="00E0193B">
              <w:rPr>
                <w:lang w:val="en-GB"/>
              </w:rPr>
              <w:t>Deadline:</w:t>
            </w:r>
          </w:p>
          <w:p w14:paraId="0027598C" w14:textId="52E1745D" w:rsidR="00FB1988" w:rsidRPr="00E0193B" w:rsidRDefault="006539BC" w:rsidP="00FB1988">
            <w:pPr>
              <w:spacing w:after="0" w:line="240" w:lineRule="auto"/>
              <w:rPr>
                <w:color w:val="FF0000"/>
              </w:rPr>
            </w:pPr>
            <w:r w:rsidRPr="00E0193B">
              <w:rPr>
                <w:color w:val="FF0000"/>
              </w:rPr>
              <w:t>3</w:t>
            </w:r>
            <w:r w:rsidR="00FB1988" w:rsidRPr="00E0193B">
              <w:rPr>
                <w:color w:val="FF0000"/>
              </w:rPr>
              <w:t>Q 2026</w:t>
            </w:r>
          </w:p>
          <w:p w14:paraId="50DF1331" w14:textId="44456ABE" w:rsidR="00FB1988" w:rsidRPr="00E0193B" w:rsidRDefault="00FB1988" w:rsidP="00E068FF">
            <w:pPr>
              <w:spacing w:after="0" w:line="240" w:lineRule="auto"/>
              <w:jc w:val="left"/>
              <w:rPr>
                <w:rFonts w:eastAsia="Calibri"/>
              </w:rPr>
            </w:pPr>
          </w:p>
        </w:tc>
      </w:tr>
      <w:tr w:rsidR="0050006A" w:rsidRPr="00E0193B" w14:paraId="2D50981C" w14:textId="77777777" w:rsidTr="00B72575">
        <w:tc>
          <w:tcPr>
            <w:tcW w:w="1063" w:type="pct"/>
          </w:tcPr>
          <w:p w14:paraId="4F13500F" w14:textId="77777777" w:rsidR="0050006A" w:rsidRPr="00E0193B" w:rsidRDefault="0050006A" w:rsidP="0050006A">
            <w:pPr>
              <w:spacing w:after="0" w:line="240" w:lineRule="auto"/>
              <w:jc w:val="left"/>
              <w:rPr>
                <w:rFonts w:eastAsia="Calibri"/>
              </w:rPr>
            </w:pPr>
            <w:r w:rsidRPr="00E0193B">
              <w:rPr>
                <w:rFonts w:eastAsia="Calibri"/>
              </w:rPr>
              <w:lastRenderedPageBreak/>
              <w:t>Uzasadnienie</w:t>
            </w:r>
          </w:p>
        </w:tc>
        <w:tc>
          <w:tcPr>
            <w:tcW w:w="3937" w:type="pct"/>
            <w:gridSpan w:val="3"/>
          </w:tcPr>
          <w:p w14:paraId="633B89D4" w14:textId="77777777" w:rsidR="0050006A" w:rsidRPr="00E0193B" w:rsidRDefault="0050006A" w:rsidP="0050006A">
            <w:pPr>
              <w:spacing w:after="0" w:line="240" w:lineRule="auto"/>
            </w:pPr>
            <w:r w:rsidRPr="00E0193B">
              <w:t xml:space="preserve">Polska rozpoczęła inwestycję realizując wszystkie elementy pierwszego kamienia milowego E8G (m.in. przyjęto Politykę Inwestycyjną Funduszu oraz przeprowadzono konkurencyjny nabór na Menażera Funduszu). </w:t>
            </w:r>
          </w:p>
          <w:p w14:paraId="7E237C6D" w14:textId="77777777" w:rsidR="0050006A" w:rsidRPr="00E0193B" w:rsidRDefault="0050006A" w:rsidP="0050006A">
            <w:pPr>
              <w:spacing w:after="0" w:line="240" w:lineRule="auto"/>
            </w:pPr>
            <w:r w:rsidRPr="00E0193B">
              <w:t xml:space="preserve">Niemniej jednak wystąpiły okoliczności uniemożliwiające dalszą realizację inwestycji E1.1.1 </w:t>
            </w:r>
            <w:r w:rsidRPr="00E0193B">
              <w:rPr>
                <w:i/>
                <w:iCs/>
              </w:rPr>
              <w:t xml:space="preserve">Wsparcie dla gospodarki niskoemisyjnej </w:t>
            </w:r>
            <w:r w:rsidRPr="00E0193B">
              <w:t xml:space="preserve">w obecnym kształcie.  </w:t>
            </w:r>
          </w:p>
          <w:p w14:paraId="32696FD0" w14:textId="77777777" w:rsidR="0050006A" w:rsidRPr="00E0193B" w:rsidRDefault="0050006A" w:rsidP="0050006A">
            <w:pPr>
              <w:spacing w:after="0" w:line="240" w:lineRule="auto"/>
            </w:pPr>
            <w:r w:rsidRPr="00E0193B">
              <w:t xml:space="preserve">Od momentu tworzenia inwestycji w ramach KPO, drastycznie uległy zmianom uwarunkowania rynkowe, spowodowane m.in. agresją Rosji przeciwko Ukrainie. Obciążenie globalnych łańcuchów dostaw oraz materiałów budowlanych bezpośrednio wpłynęły na sektor przemysłu, w tym zaplanowaną inwestycję. </w:t>
            </w:r>
          </w:p>
          <w:p w14:paraId="11F34F1D" w14:textId="77777777" w:rsidR="0050006A" w:rsidRPr="00E0193B" w:rsidRDefault="0050006A" w:rsidP="0050006A">
            <w:pPr>
              <w:spacing w:after="0" w:line="240" w:lineRule="auto"/>
            </w:pPr>
            <w:r w:rsidRPr="00E0193B">
              <w:t xml:space="preserve">W związku tym proponuje się rozwiązanie alternatywne, lepiej dostosowane do osiągnięcia zamierzonych celów przedmiotowej Inwestycji. </w:t>
            </w:r>
          </w:p>
          <w:p w14:paraId="3E2EC920" w14:textId="77777777" w:rsidR="0050006A" w:rsidRPr="00E0193B" w:rsidRDefault="0050006A" w:rsidP="0050006A">
            <w:pPr>
              <w:spacing w:after="0" w:line="240" w:lineRule="auto"/>
            </w:pPr>
            <w:r w:rsidRPr="00E0193B">
              <w:t xml:space="preserve">Mając na względzie charakter inwestycji E1.1.1, mianowicie fakt, że dystrybucja środków ma odbywać się poprzez finansowanie ostatecznych odbiorców wsparcia w formie zwrotnej – pożyczek i wejść kapitałowych –proponuje się jej przeniesienie do części pożyczkowej KPO. </w:t>
            </w:r>
          </w:p>
          <w:p w14:paraId="23E6B64E" w14:textId="77777777" w:rsidR="0050006A" w:rsidRPr="00E0193B" w:rsidRDefault="0050006A" w:rsidP="0050006A">
            <w:pPr>
              <w:spacing w:after="0" w:line="240" w:lineRule="auto"/>
            </w:pPr>
            <w:r w:rsidRPr="00E0193B">
              <w:t xml:space="preserve">Równocześnie proponuje się zmianę charakteru wskaźników, dzięki czemu zostaną urealnione terminy realizacji projektów inwestycyjnych. </w:t>
            </w:r>
          </w:p>
          <w:p w14:paraId="64EC9478" w14:textId="77777777" w:rsidR="0050006A" w:rsidRPr="00E0193B" w:rsidRDefault="0050006A" w:rsidP="0050006A">
            <w:pPr>
              <w:spacing w:after="0" w:line="240" w:lineRule="auto"/>
            </w:pPr>
            <w:r w:rsidRPr="00E0193B">
              <w:t>Takie rozwiązanie umożliwi skuteczne i pilne wdrożenie Instrumentu, którego cele są kluczowe dla transformacji polskiej gospodarki w kierunku zeroemisyjnym.</w:t>
            </w:r>
          </w:p>
          <w:p w14:paraId="63089A08" w14:textId="77777777" w:rsidR="0050006A" w:rsidRPr="00E0193B" w:rsidRDefault="0050006A" w:rsidP="0050006A">
            <w:pPr>
              <w:spacing w:after="0" w:line="240" w:lineRule="auto"/>
            </w:pPr>
            <w:r w:rsidRPr="00E0193B">
              <w:t>Inwestycja ma istotną rolę w kontekście wzmocnienie konkurencyjności przemysłu Polski i przyspieszenia przejścia przemysłu UE na technologie bezemisyjne lub niskoemisyjne na drodze do zeroemisyjności oraz aby pobudzić inwestycje w nowe zdolności produkcyjne w zakresie czystych technologii. Wśród celów politycznych zapisanych w rozporządzeniu w sprawie REPowerEU znalazły się cele bezpośrednio związane z przyspieszoną i sprawiedliwą transformacją przemysłową w kierunku neutralności klimatycznej, w tym obniżenie emisyjności przemysłu, umiejętności ekologiczne i rozwój łańcuchów wartości w technologiach strategicznych dla zielonej transformacji.</w:t>
            </w:r>
          </w:p>
          <w:p w14:paraId="5C0A07F6" w14:textId="77777777" w:rsidR="0050006A" w:rsidRPr="00E0193B" w:rsidRDefault="0050006A" w:rsidP="0050006A">
            <w:pPr>
              <w:spacing w:after="0" w:line="240" w:lineRule="auto"/>
            </w:pPr>
            <w:r w:rsidRPr="00E0193B">
              <w:t xml:space="preserve">Równocześnie uwolnione środki w części dotacyjnej KPO, będą mogły zostać przeznaczone na inne pilne działania klimatyczno-środowiskowe.  </w:t>
            </w:r>
          </w:p>
          <w:p w14:paraId="5D62AB40" w14:textId="7BBBCC1D" w:rsidR="0050006A" w:rsidRPr="00E0193B" w:rsidRDefault="0050006A" w:rsidP="00ED52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rPr>
            </w:pPr>
          </w:p>
        </w:tc>
      </w:tr>
      <w:tr w:rsidR="0050006A" w:rsidRPr="00E0193B" w14:paraId="612C89BE" w14:textId="77777777" w:rsidTr="00B72575">
        <w:tc>
          <w:tcPr>
            <w:tcW w:w="1063" w:type="pct"/>
          </w:tcPr>
          <w:p w14:paraId="07E82631" w14:textId="77777777" w:rsidR="0050006A" w:rsidRPr="00E0193B" w:rsidRDefault="0050006A" w:rsidP="0050006A">
            <w:pPr>
              <w:spacing w:after="0" w:line="240" w:lineRule="auto"/>
              <w:jc w:val="left"/>
              <w:rPr>
                <w:rFonts w:eastAsia="Calibri"/>
              </w:rPr>
            </w:pPr>
            <w:r w:rsidRPr="00E0193B">
              <w:rPr>
                <w:rFonts w:eastAsia="Calibri"/>
              </w:rPr>
              <w:t>Szacowany koszt</w:t>
            </w:r>
          </w:p>
        </w:tc>
        <w:tc>
          <w:tcPr>
            <w:tcW w:w="3937" w:type="pct"/>
            <w:gridSpan w:val="3"/>
          </w:tcPr>
          <w:p w14:paraId="22EE4991" w14:textId="11317BFA" w:rsidR="008F4487" w:rsidRPr="00E0193B" w:rsidRDefault="008F4487" w:rsidP="008F4487">
            <w:pPr>
              <w:autoSpaceDE w:val="0"/>
              <w:autoSpaceDN w:val="0"/>
              <w:adjustRightInd w:val="0"/>
              <w:spacing w:after="0" w:line="240" w:lineRule="auto"/>
            </w:pPr>
            <w:r w:rsidRPr="00E0193B">
              <w:t xml:space="preserve">Zmiana nie ma wpływu na szacowany koszt tej inwestycji. </w:t>
            </w:r>
            <w:r w:rsidR="00C94B0A" w:rsidRPr="00E0193B">
              <w:t>Środki na realizację inwestycji będą pochodziły z</w:t>
            </w:r>
            <w:r w:rsidRPr="00E0193B">
              <w:t xml:space="preserve"> inwestycji G3.1.4. Wsparcie na rzecz krajowego systemu energetycznego (Fundusz wsparcia energetyki)</w:t>
            </w:r>
            <w:r w:rsidR="00C94B0A" w:rsidRPr="00E0193B">
              <w:t xml:space="preserve"> w kwocie 798 250 000 euro, ze zminiejszonej alokacji inwestycji A2.6.1 w kwocie 26 mln euro</w:t>
            </w:r>
            <w:r w:rsidRPr="00E0193B">
              <w:t>,</w:t>
            </w:r>
            <w:r w:rsidR="00C94B0A" w:rsidRPr="00E0193B">
              <w:t xml:space="preserve"> przenoszonej do części grantowej inwestycji D1.2.1 oraz usuwanej inwestycji D3.2.1.</w:t>
            </w:r>
          </w:p>
          <w:p w14:paraId="700DEC3B" w14:textId="326DDEB1" w:rsidR="0050006A" w:rsidRPr="00E0193B" w:rsidRDefault="0050006A" w:rsidP="008F4487">
            <w:pPr>
              <w:autoSpaceDE w:val="0"/>
              <w:autoSpaceDN w:val="0"/>
              <w:adjustRightInd w:val="0"/>
              <w:spacing w:after="0" w:line="240" w:lineRule="auto"/>
              <w:jc w:val="left"/>
              <w:rPr>
                <w:rFonts w:eastAsia="Calibri"/>
              </w:rPr>
            </w:pPr>
          </w:p>
        </w:tc>
      </w:tr>
      <w:tr w:rsidR="0050006A" w:rsidRPr="00E0193B" w14:paraId="1DA984E9" w14:textId="77777777" w:rsidTr="00B72575">
        <w:tc>
          <w:tcPr>
            <w:tcW w:w="1063" w:type="pct"/>
          </w:tcPr>
          <w:p w14:paraId="04AD3709" w14:textId="77777777" w:rsidR="0050006A" w:rsidRPr="00E0193B" w:rsidRDefault="0050006A" w:rsidP="0050006A">
            <w:pPr>
              <w:spacing w:after="0" w:line="240" w:lineRule="auto"/>
              <w:jc w:val="left"/>
              <w:rPr>
                <w:rFonts w:eastAsia="Calibri"/>
              </w:rPr>
            </w:pPr>
            <w:r w:rsidRPr="00E0193B">
              <w:rPr>
                <w:rFonts w:eastAsia="Calibri"/>
              </w:rPr>
              <w:t xml:space="preserve">Cyfrowy i klimatyczny tagging </w:t>
            </w:r>
          </w:p>
        </w:tc>
        <w:tc>
          <w:tcPr>
            <w:tcW w:w="3937" w:type="pct"/>
            <w:gridSpan w:val="3"/>
          </w:tcPr>
          <w:p w14:paraId="04251529" w14:textId="77777777" w:rsidR="0050006A" w:rsidRPr="00E0193B" w:rsidRDefault="0050006A" w:rsidP="0050006A">
            <w:pPr>
              <w:spacing w:after="0" w:line="240" w:lineRule="auto"/>
              <w:jc w:val="left"/>
              <w:rPr>
                <w:rFonts w:eastAsia="Calibri"/>
              </w:rPr>
            </w:pPr>
            <w:r w:rsidRPr="00E0193B">
              <w:rPr>
                <w:rFonts w:eastAsia="Calibri"/>
              </w:rPr>
              <w:t xml:space="preserve">Zmiana nie ma wpływu na tagging klimatyczny i cyfrowy </w:t>
            </w:r>
          </w:p>
        </w:tc>
      </w:tr>
      <w:tr w:rsidR="0050006A" w:rsidRPr="00E0193B" w14:paraId="4A8411AE" w14:textId="77777777" w:rsidTr="00B72575">
        <w:tc>
          <w:tcPr>
            <w:tcW w:w="1063" w:type="pct"/>
            <w:tcBorders>
              <w:bottom w:val="single" w:sz="4" w:space="0" w:color="auto"/>
            </w:tcBorders>
          </w:tcPr>
          <w:p w14:paraId="0B5CAF45" w14:textId="77777777" w:rsidR="0050006A" w:rsidRPr="00E0193B" w:rsidRDefault="0050006A" w:rsidP="0050006A">
            <w:pPr>
              <w:spacing w:after="0" w:line="240" w:lineRule="auto"/>
              <w:jc w:val="left"/>
              <w:rPr>
                <w:rFonts w:eastAsia="Calibri"/>
              </w:rPr>
            </w:pPr>
            <w:r w:rsidRPr="00E0193B">
              <w:rPr>
                <w:rFonts w:eastAsia="Calibri"/>
              </w:rPr>
              <w:t xml:space="preserve">Zasada DNSH </w:t>
            </w:r>
          </w:p>
        </w:tc>
        <w:tc>
          <w:tcPr>
            <w:tcW w:w="3937" w:type="pct"/>
            <w:gridSpan w:val="3"/>
            <w:tcBorders>
              <w:bottom w:val="single" w:sz="4" w:space="0" w:color="auto"/>
            </w:tcBorders>
          </w:tcPr>
          <w:p w14:paraId="7DBCAE9F" w14:textId="77777777" w:rsidR="0050006A" w:rsidRPr="00E0193B" w:rsidRDefault="0050006A" w:rsidP="0050006A">
            <w:pPr>
              <w:spacing w:after="0" w:line="240" w:lineRule="auto"/>
              <w:jc w:val="left"/>
              <w:rPr>
                <w:rFonts w:eastAsia="Calibri"/>
              </w:rPr>
            </w:pPr>
            <w:r w:rsidRPr="00E0193B">
              <w:rPr>
                <w:rFonts w:eastAsia="Calibri"/>
              </w:rPr>
              <w:t>Zmiana nie ma wpływu na DNSH</w:t>
            </w:r>
          </w:p>
        </w:tc>
      </w:tr>
      <w:tr w:rsidR="0050006A" w:rsidRPr="00E0193B" w14:paraId="6D607E17" w14:textId="77777777" w:rsidTr="00B72575">
        <w:tc>
          <w:tcPr>
            <w:tcW w:w="1063" w:type="pct"/>
            <w:tcBorders>
              <w:bottom w:val="single" w:sz="4" w:space="0" w:color="auto"/>
            </w:tcBorders>
          </w:tcPr>
          <w:p w14:paraId="47A72D3B" w14:textId="77777777" w:rsidR="0050006A" w:rsidRPr="00E0193B" w:rsidRDefault="0050006A" w:rsidP="0050006A">
            <w:pPr>
              <w:spacing w:after="0" w:line="240" w:lineRule="auto"/>
              <w:jc w:val="left"/>
              <w:rPr>
                <w:rFonts w:eastAsia="Calibri"/>
              </w:rPr>
            </w:pPr>
            <w:r w:rsidRPr="00E0193B">
              <w:rPr>
                <w:rFonts w:eastAsia="Calibri"/>
              </w:rPr>
              <w:t xml:space="preserve">Pomoc publiczna </w:t>
            </w:r>
          </w:p>
        </w:tc>
        <w:tc>
          <w:tcPr>
            <w:tcW w:w="3937" w:type="pct"/>
            <w:gridSpan w:val="3"/>
            <w:tcBorders>
              <w:bottom w:val="single" w:sz="4" w:space="0" w:color="auto"/>
            </w:tcBorders>
          </w:tcPr>
          <w:p w14:paraId="737F1549" w14:textId="77777777" w:rsidR="0050006A" w:rsidRPr="00E0193B" w:rsidRDefault="0050006A" w:rsidP="0050006A">
            <w:pPr>
              <w:spacing w:after="0" w:line="240" w:lineRule="auto"/>
              <w:jc w:val="left"/>
              <w:rPr>
                <w:rFonts w:eastAsia="Calibri"/>
              </w:rPr>
            </w:pPr>
          </w:p>
        </w:tc>
      </w:tr>
    </w:tbl>
    <w:p w14:paraId="29D219D7" w14:textId="77777777" w:rsidR="00D94758" w:rsidRPr="00E0193B" w:rsidRDefault="00D94758" w:rsidP="00D94758">
      <w:pPr>
        <w:spacing w:line="259" w:lineRule="auto"/>
        <w:jc w:val="left"/>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26"/>
        <w:gridCol w:w="3448"/>
        <w:gridCol w:w="3642"/>
      </w:tblGrid>
      <w:tr w:rsidR="00D94758" w:rsidRPr="00E0193B" w14:paraId="5B630526" w14:textId="77777777" w:rsidTr="00D94758">
        <w:tc>
          <w:tcPr>
            <w:tcW w:w="1068" w:type="pct"/>
            <w:shd w:val="clear" w:color="auto" w:fill="FFFFFF"/>
          </w:tcPr>
          <w:p w14:paraId="7C360CB7" w14:textId="77777777" w:rsidR="00D94758" w:rsidRPr="00E0193B" w:rsidRDefault="00D94758" w:rsidP="00D94758">
            <w:pPr>
              <w:spacing w:after="0" w:line="240" w:lineRule="auto"/>
              <w:jc w:val="left"/>
              <w:rPr>
                <w:rFonts w:eastAsia="Calibri"/>
                <w:b/>
                <w:bCs/>
              </w:rPr>
            </w:pPr>
            <w:r w:rsidRPr="00E0193B">
              <w:rPr>
                <w:rFonts w:eastAsia="Calibri"/>
                <w:b/>
                <w:bCs/>
              </w:rPr>
              <w:t>Numer inwestycji</w:t>
            </w:r>
          </w:p>
        </w:tc>
        <w:tc>
          <w:tcPr>
            <w:tcW w:w="3932" w:type="pct"/>
            <w:gridSpan w:val="2"/>
            <w:shd w:val="clear" w:color="auto" w:fill="FFFFFF"/>
          </w:tcPr>
          <w:p w14:paraId="4092D0DA" w14:textId="77777777" w:rsidR="00D94758" w:rsidRPr="00E0193B" w:rsidRDefault="00D94758" w:rsidP="00D94758">
            <w:pPr>
              <w:ind w:left="118"/>
              <w:contextualSpacing/>
              <w:rPr>
                <w:b/>
                <w:bCs/>
              </w:rPr>
            </w:pPr>
            <w:r w:rsidRPr="00E0193B">
              <w:rPr>
                <w:b/>
                <w:bCs/>
              </w:rPr>
              <w:t xml:space="preserve">E1.1.2.   </w:t>
            </w:r>
          </w:p>
        </w:tc>
      </w:tr>
      <w:tr w:rsidR="00D94758" w:rsidRPr="00E0193B" w14:paraId="1A1CCB49" w14:textId="77777777" w:rsidTr="008C1B0D">
        <w:tc>
          <w:tcPr>
            <w:tcW w:w="1068" w:type="pct"/>
          </w:tcPr>
          <w:p w14:paraId="00C9675D" w14:textId="77777777" w:rsidR="00D94758" w:rsidRPr="00E0193B" w:rsidRDefault="00D94758" w:rsidP="00D94758">
            <w:pPr>
              <w:contextualSpacing/>
              <w:rPr>
                <w:b/>
                <w:bCs/>
              </w:rPr>
            </w:pPr>
            <w:r w:rsidRPr="00E0193B">
              <w:rPr>
                <w:b/>
                <w:bCs/>
              </w:rPr>
              <w:t xml:space="preserve">Nazwa inwestycji </w:t>
            </w:r>
          </w:p>
        </w:tc>
        <w:tc>
          <w:tcPr>
            <w:tcW w:w="3932" w:type="pct"/>
            <w:gridSpan w:val="2"/>
          </w:tcPr>
          <w:p w14:paraId="498F051F" w14:textId="77777777" w:rsidR="00D94758" w:rsidRPr="00E0193B" w:rsidRDefault="00D94758" w:rsidP="00D94758">
            <w:pPr>
              <w:ind w:left="118"/>
              <w:contextualSpacing/>
              <w:rPr>
                <w:b/>
              </w:rPr>
            </w:pPr>
            <w:r w:rsidRPr="00E0193B">
              <w:rPr>
                <w:b/>
              </w:rPr>
              <w:t>Zero i niskoemisyjny transport zbiorowy (autobusy)</w:t>
            </w:r>
          </w:p>
          <w:p w14:paraId="0EC441CB" w14:textId="77777777" w:rsidR="00D94758" w:rsidRPr="00E0193B" w:rsidRDefault="00D94758" w:rsidP="00D94758">
            <w:pPr>
              <w:ind w:left="720"/>
              <w:contextualSpacing/>
              <w:rPr>
                <w:b/>
                <w:bCs/>
              </w:rPr>
            </w:pPr>
          </w:p>
        </w:tc>
      </w:tr>
      <w:tr w:rsidR="00D94758" w:rsidRPr="00E0193B" w14:paraId="316E0167" w14:textId="77777777" w:rsidTr="008C1B0D">
        <w:tc>
          <w:tcPr>
            <w:tcW w:w="1068" w:type="pct"/>
          </w:tcPr>
          <w:p w14:paraId="5DAF6E62" w14:textId="77777777" w:rsidR="00D94758" w:rsidRPr="00E0193B" w:rsidRDefault="00D94758" w:rsidP="00D94758">
            <w:pPr>
              <w:ind w:left="67"/>
              <w:contextualSpacing/>
            </w:pPr>
            <w:r w:rsidRPr="00E0193B">
              <w:t>Rodzaj wprowadzonej zmiany w odniesieniu do CID</w:t>
            </w:r>
          </w:p>
        </w:tc>
        <w:tc>
          <w:tcPr>
            <w:tcW w:w="3932" w:type="pct"/>
            <w:gridSpan w:val="2"/>
          </w:tcPr>
          <w:p w14:paraId="2E2A8EA7" w14:textId="77777777" w:rsidR="00D94758" w:rsidRPr="00E0193B" w:rsidRDefault="00D94758" w:rsidP="00D94758">
            <w:pPr>
              <w:ind w:left="118"/>
              <w:contextualSpacing/>
            </w:pPr>
            <w:r w:rsidRPr="00E0193B">
              <w:t xml:space="preserve">Modyfikacja opisu inwestycji oraz wskaźnika E14G </w:t>
            </w:r>
          </w:p>
          <w:p w14:paraId="31AF6978" w14:textId="77777777" w:rsidR="00D94758" w:rsidRPr="00E0193B" w:rsidRDefault="00D94758" w:rsidP="00D94758">
            <w:pPr>
              <w:ind w:left="720"/>
              <w:contextualSpacing/>
            </w:pPr>
          </w:p>
        </w:tc>
      </w:tr>
      <w:tr w:rsidR="00D94758" w:rsidRPr="00E0193B" w14:paraId="092FFAA1" w14:textId="77777777" w:rsidTr="00D94758">
        <w:tc>
          <w:tcPr>
            <w:tcW w:w="1068" w:type="pct"/>
            <w:shd w:val="clear" w:color="auto" w:fill="FFFFFF"/>
          </w:tcPr>
          <w:p w14:paraId="643899F8" w14:textId="77777777" w:rsidR="00D94758" w:rsidRPr="00E0193B" w:rsidRDefault="00D94758" w:rsidP="00D94758">
            <w:pPr>
              <w:ind w:left="67"/>
              <w:contextualSpacing/>
            </w:pPr>
            <w:r w:rsidRPr="00E0193B">
              <w:t>Podstawa prawna zmiany</w:t>
            </w:r>
          </w:p>
        </w:tc>
        <w:tc>
          <w:tcPr>
            <w:tcW w:w="3932" w:type="pct"/>
            <w:gridSpan w:val="2"/>
            <w:shd w:val="clear" w:color="auto" w:fill="FFFFFF"/>
          </w:tcPr>
          <w:p w14:paraId="6A7798DB" w14:textId="77777777" w:rsidR="00D94758" w:rsidRPr="00E0193B" w:rsidRDefault="00D94758" w:rsidP="00D94758">
            <w:pPr>
              <w:spacing w:after="0" w:line="240" w:lineRule="auto"/>
              <w:jc w:val="left"/>
              <w:rPr>
                <w:rFonts w:eastAsia="Calibri"/>
              </w:rPr>
            </w:pPr>
            <w:r w:rsidRPr="00E0193B">
              <w:rPr>
                <w:rFonts w:eastAsia="Calibri"/>
              </w:rPr>
              <w:t>art. 21 rozporządzenia Parlamentu Europejskiego i Rady (UE) 2021/241 z dnia 12 lutego 2021 r. ustanawiające Instrument na rzecz Odbudowy i Zwiększania Odporności</w:t>
            </w:r>
            <w:r w:rsidRPr="00E0193B" w:rsidDel="00A106E1">
              <w:rPr>
                <w:rFonts w:eastAsia="Calibri"/>
              </w:rPr>
              <w:t xml:space="preserve"> </w:t>
            </w:r>
          </w:p>
        </w:tc>
      </w:tr>
      <w:tr w:rsidR="00D94758" w:rsidRPr="00E0193B" w14:paraId="1B6FCB5D" w14:textId="77777777" w:rsidTr="00D94758">
        <w:tc>
          <w:tcPr>
            <w:tcW w:w="1068" w:type="pct"/>
            <w:shd w:val="clear" w:color="auto" w:fill="D9D9D9"/>
          </w:tcPr>
          <w:p w14:paraId="10AEA9A4" w14:textId="77777777" w:rsidR="00D94758" w:rsidRPr="00E0193B" w:rsidRDefault="00D94758" w:rsidP="00D94758">
            <w:pPr>
              <w:spacing w:after="0" w:line="240" w:lineRule="auto"/>
              <w:jc w:val="left"/>
              <w:rPr>
                <w:rFonts w:eastAsia="Calibri"/>
              </w:rPr>
            </w:pPr>
            <w:r w:rsidRPr="00E0193B">
              <w:rPr>
                <w:rFonts w:eastAsia="Calibri"/>
              </w:rPr>
              <w:t>Modyfikowany element</w:t>
            </w:r>
          </w:p>
        </w:tc>
        <w:tc>
          <w:tcPr>
            <w:tcW w:w="1912" w:type="pct"/>
            <w:shd w:val="clear" w:color="auto" w:fill="D9D9D9"/>
          </w:tcPr>
          <w:p w14:paraId="17AEA011" w14:textId="77777777" w:rsidR="00D94758" w:rsidRPr="00E0193B" w:rsidRDefault="00D94758" w:rsidP="00D94758">
            <w:pPr>
              <w:spacing w:after="0" w:line="240" w:lineRule="auto"/>
              <w:jc w:val="center"/>
              <w:rPr>
                <w:rFonts w:eastAsia="Calibri"/>
              </w:rPr>
            </w:pPr>
            <w:r w:rsidRPr="00E0193B">
              <w:rPr>
                <w:rFonts w:eastAsia="Calibri"/>
              </w:rPr>
              <w:t>Wersja aktualna</w:t>
            </w:r>
          </w:p>
        </w:tc>
        <w:tc>
          <w:tcPr>
            <w:tcW w:w="2020" w:type="pct"/>
            <w:shd w:val="clear" w:color="auto" w:fill="D9D9D9"/>
          </w:tcPr>
          <w:p w14:paraId="213F7B74" w14:textId="77777777" w:rsidR="00D94758" w:rsidRPr="00E0193B" w:rsidRDefault="00D94758" w:rsidP="00D94758">
            <w:pPr>
              <w:spacing w:after="0" w:line="240" w:lineRule="auto"/>
              <w:jc w:val="center"/>
              <w:rPr>
                <w:rFonts w:eastAsia="Calibri"/>
              </w:rPr>
            </w:pPr>
            <w:r w:rsidRPr="00E0193B">
              <w:rPr>
                <w:rFonts w:eastAsia="Calibri"/>
              </w:rPr>
              <w:t>Wersja zmieniona</w:t>
            </w:r>
          </w:p>
        </w:tc>
      </w:tr>
      <w:tr w:rsidR="00D94758" w:rsidRPr="00E0193B" w14:paraId="345E1598" w14:textId="77777777" w:rsidTr="008C1B0D">
        <w:tc>
          <w:tcPr>
            <w:tcW w:w="1068" w:type="pct"/>
          </w:tcPr>
          <w:p w14:paraId="2AD9676F" w14:textId="77777777" w:rsidR="00D94758" w:rsidRPr="00E0193B" w:rsidRDefault="00D94758" w:rsidP="00D94758">
            <w:pPr>
              <w:spacing w:after="0" w:line="240" w:lineRule="auto"/>
              <w:jc w:val="left"/>
              <w:rPr>
                <w:rFonts w:eastAsia="Calibri"/>
              </w:rPr>
            </w:pPr>
            <w:r w:rsidRPr="00E0193B">
              <w:rPr>
                <w:rFonts w:eastAsia="Calibri"/>
              </w:rPr>
              <w:t>Opis kamienia milowego lub wskaźnika.</w:t>
            </w:r>
          </w:p>
        </w:tc>
        <w:tc>
          <w:tcPr>
            <w:tcW w:w="1912" w:type="pct"/>
          </w:tcPr>
          <w:p w14:paraId="7161CD16" w14:textId="77777777" w:rsidR="00D94758" w:rsidRPr="00E0193B" w:rsidRDefault="00D94758" w:rsidP="00D94758">
            <w:pPr>
              <w:spacing w:line="240" w:lineRule="auto"/>
              <w:contextualSpacing/>
              <w:rPr>
                <w:lang w:val="en-GB"/>
              </w:rPr>
            </w:pPr>
            <w:r w:rsidRPr="00E0193B">
              <w:rPr>
                <w:lang w:val="en-GB"/>
              </w:rPr>
              <w:t xml:space="preserve">Opis inwestycji </w:t>
            </w:r>
          </w:p>
          <w:p w14:paraId="5005B4EF" w14:textId="77777777" w:rsidR="00D94758" w:rsidRPr="00E0193B" w:rsidRDefault="00D94758" w:rsidP="00D94758">
            <w:pPr>
              <w:spacing w:after="0" w:line="240" w:lineRule="auto"/>
              <w:jc w:val="left"/>
              <w:rPr>
                <w:rFonts w:eastAsia="Calibri"/>
                <w:lang w:val="en-GB"/>
              </w:rPr>
            </w:pPr>
            <w:r w:rsidRPr="00E0193B">
              <w:rPr>
                <w:rFonts w:eastAsia="Calibri"/>
                <w:lang w:val="en-GB"/>
              </w:rPr>
              <w:t xml:space="preserve"> (…) The investment shall consist of purchasing of 579 clean buses for inter-urban (zero- and low-emission) transport by 30 June 2026.</w:t>
            </w:r>
          </w:p>
          <w:p w14:paraId="05FB1D0E" w14:textId="77777777" w:rsidR="00D94758" w:rsidRPr="00E0193B" w:rsidRDefault="00D94758" w:rsidP="00D94758">
            <w:pPr>
              <w:spacing w:line="240" w:lineRule="auto"/>
              <w:ind w:left="720"/>
              <w:contextualSpacing/>
              <w:rPr>
                <w:lang w:val="en-GB"/>
              </w:rPr>
            </w:pPr>
          </w:p>
          <w:p w14:paraId="1EE37BDB" w14:textId="77777777" w:rsidR="00D94758" w:rsidRPr="009443AD" w:rsidRDefault="00D94758" w:rsidP="00D94758">
            <w:pPr>
              <w:spacing w:line="240" w:lineRule="auto"/>
              <w:contextualSpacing/>
              <w:rPr>
                <w:lang w:val="en-AU"/>
              </w:rPr>
            </w:pPr>
          </w:p>
          <w:p w14:paraId="18133456" w14:textId="77777777" w:rsidR="00D94758" w:rsidRPr="00E0193B" w:rsidRDefault="00D94758" w:rsidP="00D94758">
            <w:pPr>
              <w:spacing w:line="240" w:lineRule="auto"/>
              <w:contextualSpacing/>
            </w:pPr>
            <w:r w:rsidRPr="00E0193B">
              <w:t xml:space="preserve">(…)  Inwestycja polega na zakupie 579 czystych ekologicznie autobusów na potrzeby transportu międzymiastowego (zeroemisyjnego i niskoemisyjnego) do 30 czerwca 2026 r. </w:t>
            </w:r>
          </w:p>
          <w:p w14:paraId="15C7EEC2" w14:textId="030DA64C" w:rsidR="00D94758" w:rsidRPr="00E0193B" w:rsidRDefault="007B406D" w:rsidP="00D94758">
            <w:pPr>
              <w:spacing w:after="0" w:line="240" w:lineRule="auto"/>
              <w:jc w:val="left"/>
              <w:rPr>
                <w:rFonts w:eastAsia="Calibri"/>
              </w:rPr>
            </w:pPr>
            <w:r w:rsidRPr="00E0193B">
              <w:rPr>
                <w:rFonts w:eastAsia="Calibri"/>
              </w:rPr>
              <w:t>E14G</w:t>
            </w:r>
          </w:p>
          <w:p w14:paraId="3DB1514E" w14:textId="177F27CD" w:rsidR="007B406D" w:rsidRPr="00E0193B" w:rsidRDefault="007B406D" w:rsidP="00D94758">
            <w:pPr>
              <w:spacing w:after="0" w:line="240" w:lineRule="auto"/>
              <w:jc w:val="left"/>
              <w:rPr>
                <w:rFonts w:eastAsia="Calibri"/>
              </w:rPr>
            </w:pPr>
            <w:r w:rsidRPr="00E0193B">
              <w:rPr>
                <w:rFonts w:eastAsia="Calibri"/>
              </w:rPr>
              <w:t>Termin realizacji: II kw. 2026 r.</w:t>
            </w:r>
          </w:p>
          <w:p w14:paraId="01617C81" w14:textId="544FD5BF" w:rsidR="007B406D" w:rsidRPr="00E0193B" w:rsidRDefault="007B406D" w:rsidP="00D94758">
            <w:pPr>
              <w:spacing w:after="0" w:line="240" w:lineRule="auto"/>
              <w:jc w:val="left"/>
              <w:rPr>
                <w:rFonts w:eastAsia="Calibri"/>
              </w:rPr>
            </w:pPr>
          </w:p>
        </w:tc>
        <w:tc>
          <w:tcPr>
            <w:tcW w:w="2020" w:type="pct"/>
          </w:tcPr>
          <w:p w14:paraId="13F200C9" w14:textId="77777777" w:rsidR="00D94758" w:rsidRPr="00E0193B" w:rsidRDefault="00D94758" w:rsidP="00D94758">
            <w:pPr>
              <w:spacing w:line="240" w:lineRule="auto"/>
              <w:contextualSpacing/>
              <w:rPr>
                <w:lang w:val="en-GB"/>
              </w:rPr>
            </w:pPr>
            <w:r w:rsidRPr="00E0193B">
              <w:rPr>
                <w:lang w:val="en-GB"/>
              </w:rPr>
              <w:t xml:space="preserve">Opis inwestycji </w:t>
            </w:r>
          </w:p>
          <w:p w14:paraId="4614E108" w14:textId="6403745C" w:rsidR="00D94758" w:rsidRPr="00E0193B" w:rsidRDefault="00D94758" w:rsidP="00D94758">
            <w:pPr>
              <w:spacing w:after="0" w:line="240" w:lineRule="auto"/>
              <w:jc w:val="left"/>
              <w:rPr>
                <w:rFonts w:eastAsia="Calibri"/>
                <w:lang w:val="en-GB"/>
              </w:rPr>
            </w:pPr>
            <w:r w:rsidRPr="00E0193B">
              <w:rPr>
                <w:rFonts w:eastAsia="Calibri"/>
                <w:lang w:val="en-GB"/>
              </w:rPr>
              <w:t xml:space="preserve"> (…) The investment shall consist of purchasing of 579 clean buses for inter-urban (zero- and low-emission) transport </w:t>
            </w:r>
            <w:r w:rsidR="00DD3979">
              <w:rPr>
                <w:rFonts w:eastAsia="Calibri"/>
                <w:lang w:val="en-GB"/>
              </w:rPr>
              <w:t xml:space="preserve">by </w:t>
            </w:r>
            <w:r w:rsidR="007B406D" w:rsidRPr="00E0193B">
              <w:rPr>
                <w:rFonts w:eastAsia="Calibri"/>
                <w:color w:val="FF0000"/>
                <w:lang w:val="en-GB"/>
              </w:rPr>
              <w:t xml:space="preserve">31 August </w:t>
            </w:r>
            <w:r w:rsidRPr="00E0193B">
              <w:rPr>
                <w:rFonts w:eastAsia="Calibri"/>
                <w:strike/>
                <w:color w:val="FF0000"/>
                <w:lang w:val="en-GB"/>
              </w:rPr>
              <w:t>30 June</w:t>
            </w:r>
            <w:r w:rsidRPr="00E0193B">
              <w:rPr>
                <w:rFonts w:eastAsia="Calibri"/>
                <w:color w:val="FF0000"/>
                <w:lang w:val="en-GB"/>
              </w:rPr>
              <w:t xml:space="preserve"> </w:t>
            </w:r>
            <w:r w:rsidRPr="00E0193B">
              <w:rPr>
                <w:rFonts w:eastAsia="Calibri"/>
                <w:lang w:val="en-GB"/>
              </w:rPr>
              <w:t xml:space="preserve">2026. </w:t>
            </w:r>
          </w:p>
          <w:p w14:paraId="566C107D" w14:textId="77777777" w:rsidR="00D94758" w:rsidRPr="003E6212" w:rsidRDefault="00D94758" w:rsidP="00D94758">
            <w:pPr>
              <w:spacing w:line="240" w:lineRule="auto"/>
              <w:ind w:left="55"/>
              <w:contextualSpacing/>
              <w:rPr>
                <w:lang w:val="en-GB"/>
              </w:rPr>
            </w:pPr>
          </w:p>
          <w:p w14:paraId="0AC165B4" w14:textId="013D8E2F" w:rsidR="00D94758" w:rsidRPr="00E0193B" w:rsidRDefault="00D94758" w:rsidP="00D94758">
            <w:pPr>
              <w:spacing w:line="240" w:lineRule="auto"/>
              <w:ind w:left="55"/>
              <w:contextualSpacing/>
            </w:pPr>
            <w:r w:rsidRPr="00E0193B">
              <w:t xml:space="preserve">(…)  </w:t>
            </w:r>
            <w:bookmarkStart w:id="33" w:name="_Hlk159492650"/>
            <w:r w:rsidRPr="00E0193B">
              <w:t xml:space="preserve">Inwestycja polega na zakupie 579 czystych ekologicznie autobusów na potrzeby transportu międzymiastowego </w:t>
            </w:r>
            <w:bookmarkEnd w:id="33"/>
            <w:r w:rsidRPr="00E0193B">
              <w:t>(zeroemisyjnego i niskoemisyjnego)</w:t>
            </w:r>
            <w:r w:rsidRPr="00E0193B">
              <w:rPr>
                <w:color w:val="FF0000"/>
              </w:rPr>
              <w:t xml:space="preserve"> </w:t>
            </w:r>
            <w:r w:rsidRPr="00E0193B">
              <w:t xml:space="preserve">do </w:t>
            </w:r>
            <w:r w:rsidR="007B406D" w:rsidRPr="00E0193B">
              <w:rPr>
                <w:color w:val="FF0000"/>
              </w:rPr>
              <w:t xml:space="preserve">31 sierpnia </w:t>
            </w:r>
            <w:r w:rsidRPr="00E0193B">
              <w:rPr>
                <w:strike/>
                <w:color w:val="FF0000"/>
              </w:rPr>
              <w:t xml:space="preserve">30 czerwca </w:t>
            </w:r>
            <w:r w:rsidRPr="00E0193B">
              <w:t xml:space="preserve">2026 r. </w:t>
            </w:r>
          </w:p>
          <w:p w14:paraId="56D5E152" w14:textId="77777777" w:rsidR="00D94758" w:rsidRPr="00E0193B" w:rsidRDefault="00D94758" w:rsidP="00D94758">
            <w:pPr>
              <w:spacing w:after="0" w:line="240" w:lineRule="auto"/>
              <w:jc w:val="left"/>
              <w:rPr>
                <w:rFonts w:eastAsia="Calibri"/>
              </w:rPr>
            </w:pPr>
          </w:p>
          <w:p w14:paraId="47B20BB9" w14:textId="77777777" w:rsidR="007B406D" w:rsidRPr="00E0193B" w:rsidRDefault="007B406D" w:rsidP="00D94758">
            <w:pPr>
              <w:spacing w:after="0" w:line="240" w:lineRule="auto"/>
              <w:jc w:val="left"/>
              <w:rPr>
                <w:rFonts w:eastAsia="Calibri"/>
              </w:rPr>
            </w:pPr>
            <w:r w:rsidRPr="00E0193B">
              <w:rPr>
                <w:rFonts w:eastAsia="Calibri"/>
              </w:rPr>
              <w:t>E14G</w:t>
            </w:r>
          </w:p>
          <w:p w14:paraId="71C88332" w14:textId="7CEE8933" w:rsidR="007B406D" w:rsidRPr="00E0193B" w:rsidRDefault="007B406D" w:rsidP="00D94758">
            <w:pPr>
              <w:spacing w:after="0" w:line="240" w:lineRule="auto"/>
              <w:jc w:val="left"/>
              <w:rPr>
                <w:rFonts w:eastAsia="Calibri"/>
              </w:rPr>
            </w:pPr>
            <w:r w:rsidRPr="00E0193B">
              <w:rPr>
                <w:rFonts w:eastAsia="Calibri"/>
              </w:rPr>
              <w:t xml:space="preserve">Termin realizacji: </w:t>
            </w:r>
            <w:r w:rsidRPr="00E0193B">
              <w:rPr>
                <w:rFonts w:eastAsia="Calibri"/>
                <w:color w:val="FF0000"/>
              </w:rPr>
              <w:t xml:space="preserve">31 sierpnia </w:t>
            </w:r>
            <w:r w:rsidRPr="00E0193B">
              <w:rPr>
                <w:rFonts w:eastAsia="Calibri"/>
                <w:strike/>
                <w:color w:val="FF0000"/>
              </w:rPr>
              <w:t>II kw</w:t>
            </w:r>
            <w:r w:rsidRPr="00E0193B">
              <w:rPr>
                <w:rFonts w:eastAsia="Calibri"/>
              </w:rPr>
              <w:t>. 2026 r.</w:t>
            </w:r>
          </w:p>
        </w:tc>
      </w:tr>
      <w:tr w:rsidR="00D94758" w:rsidRPr="00E0193B" w14:paraId="767A335C" w14:textId="77777777" w:rsidTr="008C1B0D">
        <w:tc>
          <w:tcPr>
            <w:tcW w:w="1068" w:type="pct"/>
          </w:tcPr>
          <w:p w14:paraId="186F2896" w14:textId="77777777" w:rsidR="00D94758" w:rsidRPr="00E0193B" w:rsidRDefault="00D94758" w:rsidP="00D94758">
            <w:pPr>
              <w:spacing w:after="0" w:line="240" w:lineRule="auto"/>
              <w:jc w:val="left"/>
              <w:rPr>
                <w:rFonts w:eastAsia="Calibri"/>
              </w:rPr>
            </w:pPr>
            <w:r w:rsidRPr="00E0193B">
              <w:rPr>
                <w:rFonts w:eastAsia="Calibri"/>
              </w:rPr>
              <w:t>Uzasadnienie</w:t>
            </w:r>
          </w:p>
        </w:tc>
        <w:tc>
          <w:tcPr>
            <w:tcW w:w="3932" w:type="pct"/>
            <w:gridSpan w:val="2"/>
          </w:tcPr>
          <w:p w14:paraId="45E4D2DD" w14:textId="2487AA82" w:rsidR="00D94758" w:rsidRPr="00E0193B" w:rsidRDefault="00D94758" w:rsidP="00D94758">
            <w:pPr>
              <w:spacing w:after="0" w:line="240" w:lineRule="auto"/>
              <w:jc w:val="left"/>
              <w:rPr>
                <w:rFonts w:eastAsia="Calibri"/>
              </w:rPr>
            </w:pPr>
            <w:r w:rsidRPr="00E0193B">
              <w:rPr>
                <w:rFonts w:eastAsia="Calibri"/>
              </w:rPr>
              <w:t>W związku z planowanym terminem zawarcia umów o objęcie wsparciem do końca 2024 r. oraz niezbędnym dla ostatecznych odbiorców czasem na przeprowadzenie przez nich konkurencyjnych zamówień publicznych na dostawę taboru, przejście do fazy operacyjnej do końca II kw. 2026 r. jest zagrożone. Należy podkreślić, że zawarcie umów o dofinansowanie jest niezbędne aby móc zakontraktować wykonawców taboru przez jednostki samorządu terytorialnego. Jednocześnie należy mieć na uwadze czas niezbędny na wyprodukowanie taboru, który obecnie szacować należy na ok. 1,5 – 2 lata.  Przy konieczności dochowania terminów dostaw w czerwcu 2026 r. identyfikowane jest ponadto ryzyko przyjęcia przez producentów autobusów zbyt dużej liczby zamówień, co może spowodować wzrost cen jednostkowych taboru oraz wkalkulowanie przez nich potencjalnych kar umownych w ramach składanych ofert. W związku z ograniczeniami terminowymi kwalifikowalności środków KPO proponuje się</w:t>
            </w:r>
            <w:r w:rsidR="007B406D" w:rsidRPr="00E0193B">
              <w:rPr>
                <w:rFonts w:eastAsia="Calibri"/>
              </w:rPr>
              <w:t xml:space="preserve"> wydłużenie terminu realizacji kamienia milowego E14G do sierpnia 2026 r.</w:t>
            </w:r>
          </w:p>
        </w:tc>
      </w:tr>
      <w:tr w:rsidR="00D94758" w:rsidRPr="00E0193B" w14:paraId="20E2AE27" w14:textId="77777777" w:rsidTr="008C1B0D">
        <w:tc>
          <w:tcPr>
            <w:tcW w:w="1068" w:type="pct"/>
          </w:tcPr>
          <w:p w14:paraId="491150C6" w14:textId="77777777" w:rsidR="00D94758" w:rsidRPr="00E0193B" w:rsidRDefault="00D94758" w:rsidP="00D94758">
            <w:pPr>
              <w:spacing w:after="0" w:line="240" w:lineRule="auto"/>
              <w:jc w:val="left"/>
              <w:rPr>
                <w:rFonts w:eastAsia="Calibri"/>
              </w:rPr>
            </w:pPr>
            <w:r w:rsidRPr="00E0193B">
              <w:rPr>
                <w:rFonts w:eastAsia="Calibri"/>
              </w:rPr>
              <w:t>Szacowany koszt</w:t>
            </w:r>
          </w:p>
        </w:tc>
        <w:tc>
          <w:tcPr>
            <w:tcW w:w="3932" w:type="pct"/>
            <w:gridSpan w:val="2"/>
          </w:tcPr>
          <w:p w14:paraId="38549B9D" w14:textId="77777777" w:rsidR="00D94758" w:rsidRPr="00E0193B" w:rsidRDefault="00D94758" w:rsidP="00D94758">
            <w:pPr>
              <w:spacing w:after="0" w:line="240" w:lineRule="auto"/>
              <w:jc w:val="left"/>
              <w:rPr>
                <w:rFonts w:eastAsia="Calibri"/>
              </w:rPr>
            </w:pPr>
            <w:r w:rsidRPr="00E0193B">
              <w:rPr>
                <w:rFonts w:eastAsia="Calibri"/>
              </w:rPr>
              <w:t xml:space="preserve">Zmiana nie ma wpływu na szacowany koszt </w:t>
            </w:r>
          </w:p>
        </w:tc>
      </w:tr>
      <w:tr w:rsidR="00D94758" w:rsidRPr="00E0193B" w14:paraId="01B5AB17" w14:textId="77777777" w:rsidTr="008C1B0D">
        <w:tc>
          <w:tcPr>
            <w:tcW w:w="1068" w:type="pct"/>
          </w:tcPr>
          <w:p w14:paraId="333FD906" w14:textId="77777777" w:rsidR="00D94758" w:rsidRPr="00E0193B" w:rsidRDefault="00D94758" w:rsidP="00D94758">
            <w:pPr>
              <w:spacing w:after="0" w:line="240" w:lineRule="auto"/>
              <w:jc w:val="left"/>
              <w:rPr>
                <w:rFonts w:eastAsia="Calibri"/>
                <w:lang w:val="en"/>
              </w:rPr>
            </w:pPr>
            <w:r w:rsidRPr="00E0193B">
              <w:rPr>
                <w:rFonts w:eastAsia="Calibri"/>
                <w:lang w:val="en"/>
              </w:rPr>
              <w:t xml:space="preserve">Cyfrowy i klimatyczny tagging </w:t>
            </w:r>
          </w:p>
        </w:tc>
        <w:tc>
          <w:tcPr>
            <w:tcW w:w="3932" w:type="pct"/>
            <w:gridSpan w:val="2"/>
          </w:tcPr>
          <w:p w14:paraId="33758044" w14:textId="77777777" w:rsidR="00D94758" w:rsidRPr="00E0193B" w:rsidRDefault="00D94758" w:rsidP="00D94758">
            <w:pPr>
              <w:spacing w:after="0" w:line="240" w:lineRule="auto"/>
              <w:jc w:val="left"/>
              <w:rPr>
                <w:rFonts w:eastAsia="Calibri"/>
                <w:lang w:val="en"/>
              </w:rPr>
            </w:pPr>
            <w:r w:rsidRPr="00E0193B">
              <w:rPr>
                <w:rFonts w:eastAsia="Calibri"/>
              </w:rPr>
              <w:t xml:space="preserve">Proponowane zmiany nie będą miały wpływu na poziom taggingu klimatycznego. </w:t>
            </w:r>
            <w:r w:rsidRPr="00E0193B">
              <w:rPr>
                <w:rFonts w:eastAsia="Calibri"/>
                <w:lang w:val="en"/>
              </w:rPr>
              <w:t>Docelowa liczba pojazdów zeroemisyjnych nie jest zmieniana.</w:t>
            </w:r>
          </w:p>
          <w:p w14:paraId="3DC67650" w14:textId="77777777" w:rsidR="00D94758" w:rsidRPr="00E0193B" w:rsidRDefault="00D94758" w:rsidP="00D94758">
            <w:pPr>
              <w:spacing w:after="0" w:line="240" w:lineRule="auto"/>
              <w:jc w:val="left"/>
              <w:rPr>
                <w:rFonts w:eastAsia="Calibri"/>
                <w:lang w:val="en"/>
              </w:rPr>
            </w:pPr>
          </w:p>
        </w:tc>
      </w:tr>
      <w:tr w:rsidR="00D94758" w:rsidRPr="00E0193B" w14:paraId="1266488E" w14:textId="77777777" w:rsidTr="008C1B0D">
        <w:tc>
          <w:tcPr>
            <w:tcW w:w="1068" w:type="pct"/>
            <w:tcBorders>
              <w:bottom w:val="single" w:sz="4" w:space="0" w:color="auto"/>
            </w:tcBorders>
          </w:tcPr>
          <w:p w14:paraId="31714488" w14:textId="77777777" w:rsidR="00D94758" w:rsidRPr="00E0193B" w:rsidRDefault="00D94758" w:rsidP="00D94758">
            <w:pPr>
              <w:spacing w:after="0" w:line="240" w:lineRule="auto"/>
              <w:jc w:val="left"/>
              <w:rPr>
                <w:rFonts w:eastAsia="Calibri"/>
              </w:rPr>
            </w:pPr>
            <w:r w:rsidRPr="00E0193B">
              <w:rPr>
                <w:rFonts w:eastAsia="Calibri"/>
              </w:rPr>
              <w:t xml:space="preserve">Zasada DNSH </w:t>
            </w:r>
          </w:p>
        </w:tc>
        <w:tc>
          <w:tcPr>
            <w:tcW w:w="3932" w:type="pct"/>
            <w:gridSpan w:val="2"/>
            <w:tcBorders>
              <w:bottom w:val="single" w:sz="4" w:space="0" w:color="auto"/>
            </w:tcBorders>
          </w:tcPr>
          <w:p w14:paraId="615EF192" w14:textId="77777777" w:rsidR="00D94758" w:rsidRPr="00E0193B" w:rsidRDefault="00D94758" w:rsidP="00D94758">
            <w:pPr>
              <w:spacing w:after="0" w:line="240" w:lineRule="auto"/>
              <w:jc w:val="left"/>
              <w:rPr>
                <w:rFonts w:eastAsia="Calibri"/>
              </w:rPr>
            </w:pPr>
            <w:r w:rsidRPr="00E0193B">
              <w:rPr>
                <w:rFonts w:eastAsia="Calibri"/>
              </w:rPr>
              <w:t>Zmiana nie ma wpływu na DNSH</w:t>
            </w:r>
            <w:r w:rsidRPr="00E0193B" w:rsidDel="00EB2612">
              <w:rPr>
                <w:rFonts w:eastAsia="Calibri"/>
              </w:rPr>
              <w:t xml:space="preserve"> </w:t>
            </w:r>
          </w:p>
        </w:tc>
      </w:tr>
      <w:tr w:rsidR="00D94758" w:rsidRPr="00E0193B" w14:paraId="02763CF9" w14:textId="77777777" w:rsidTr="008C1B0D">
        <w:tc>
          <w:tcPr>
            <w:tcW w:w="1068" w:type="pct"/>
            <w:tcBorders>
              <w:bottom w:val="single" w:sz="4" w:space="0" w:color="auto"/>
            </w:tcBorders>
          </w:tcPr>
          <w:p w14:paraId="78FA333E" w14:textId="77777777" w:rsidR="00D94758" w:rsidRPr="00E0193B" w:rsidRDefault="00D94758" w:rsidP="00D94758">
            <w:pPr>
              <w:spacing w:after="0" w:line="240" w:lineRule="auto"/>
              <w:jc w:val="left"/>
              <w:rPr>
                <w:rFonts w:eastAsia="Calibri"/>
              </w:rPr>
            </w:pPr>
            <w:r w:rsidRPr="00E0193B">
              <w:rPr>
                <w:rFonts w:eastAsia="Calibri"/>
              </w:rPr>
              <w:t xml:space="preserve">Pomoc publiczna </w:t>
            </w:r>
          </w:p>
        </w:tc>
        <w:tc>
          <w:tcPr>
            <w:tcW w:w="3932" w:type="pct"/>
            <w:gridSpan w:val="2"/>
            <w:tcBorders>
              <w:bottom w:val="single" w:sz="4" w:space="0" w:color="auto"/>
            </w:tcBorders>
          </w:tcPr>
          <w:p w14:paraId="318CD28D" w14:textId="77777777" w:rsidR="00D94758" w:rsidRPr="00E0193B" w:rsidRDefault="00D94758" w:rsidP="00D94758">
            <w:pPr>
              <w:spacing w:after="0" w:line="240" w:lineRule="auto"/>
              <w:jc w:val="left"/>
              <w:rPr>
                <w:rFonts w:eastAsia="Calibri"/>
              </w:rPr>
            </w:pPr>
            <w:r w:rsidRPr="00E0193B">
              <w:rPr>
                <w:rFonts w:eastAsia="Calibri"/>
              </w:rPr>
              <w:t>Nie dotyczy.</w:t>
            </w:r>
          </w:p>
        </w:tc>
      </w:tr>
    </w:tbl>
    <w:p w14:paraId="0D0DD674" w14:textId="67B03DCD" w:rsidR="00D94758" w:rsidRPr="00E0193B" w:rsidRDefault="00D94758" w:rsidP="00D94758">
      <w:pPr>
        <w:spacing w:line="259" w:lineRule="auto"/>
        <w:jc w:val="left"/>
        <w:rPr>
          <w:rFonts w:eastAsia="Calibri"/>
          <w:b/>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3339"/>
        <w:gridCol w:w="3551"/>
      </w:tblGrid>
      <w:tr w:rsidR="00B72575" w:rsidRPr="00E0193B" w14:paraId="4EC05E08" w14:textId="77777777" w:rsidTr="008C1B0D">
        <w:tc>
          <w:tcPr>
            <w:tcW w:w="1088" w:type="pct"/>
          </w:tcPr>
          <w:p w14:paraId="38C81891" w14:textId="77777777" w:rsidR="00B72575" w:rsidRPr="00E0193B" w:rsidRDefault="00B72575" w:rsidP="008C1B0D">
            <w:pPr>
              <w:spacing w:after="0" w:line="240" w:lineRule="auto"/>
              <w:jc w:val="left"/>
              <w:rPr>
                <w:rFonts w:eastAsia="Calibri"/>
                <w:b/>
                <w:bCs/>
              </w:rPr>
            </w:pPr>
            <w:r w:rsidRPr="00E0193B">
              <w:rPr>
                <w:rFonts w:eastAsia="Calibri"/>
                <w:b/>
                <w:bCs/>
              </w:rPr>
              <w:lastRenderedPageBreak/>
              <w:t>Numer reformy</w:t>
            </w:r>
          </w:p>
        </w:tc>
        <w:tc>
          <w:tcPr>
            <w:tcW w:w="3912" w:type="pct"/>
            <w:gridSpan w:val="2"/>
          </w:tcPr>
          <w:p w14:paraId="6F6347A4" w14:textId="77777777" w:rsidR="00B72575" w:rsidRPr="00E0193B" w:rsidRDefault="00B72575" w:rsidP="008C1B0D">
            <w:pPr>
              <w:spacing w:after="0" w:line="240" w:lineRule="auto"/>
              <w:jc w:val="left"/>
              <w:rPr>
                <w:rFonts w:eastAsia="Calibri"/>
                <w:b/>
                <w:bCs/>
              </w:rPr>
            </w:pPr>
            <w:r w:rsidRPr="00E0193B">
              <w:rPr>
                <w:rFonts w:eastAsia="Calibri"/>
                <w:b/>
                <w:bCs/>
              </w:rPr>
              <w:t xml:space="preserve">E2.1.                                 </w:t>
            </w:r>
          </w:p>
        </w:tc>
      </w:tr>
      <w:tr w:rsidR="00B72575" w:rsidRPr="00E0193B" w14:paraId="761E9D5E" w14:textId="77777777" w:rsidTr="008C1B0D">
        <w:tc>
          <w:tcPr>
            <w:tcW w:w="1088" w:type="pct"/>
          </w:tcPr>
          <w:p w14:paraId="44E431B2" w14:textId="77777777" w:rsidR="00B72575" w:rsidRPr="00E0193B" w:rsidRDefault="00B72575" w:rsidP="008C1B0D">
            <w:pPr>
              <w:spacing w:after="0" w:line="240" w:lineRule="auto"/>
              <w:jc w:val="left"/>
              <w:rPr>
                <w:rFonts w:eastAsia="Calibri"/>
                <w:b/>
                <w:bCs/>
              </w:rPr>
            </w:pPr>
            <w:r w:rsidRPr="00E0193B">
              <w:rPr>
                <w:rFonts w:eastAsia="Calibri"/>
                <w:b/>
                <w:bCs/>
              </w:rPr>
              <w:t>Nazwa reformy</w:t>
            </w:r>
          </w:p>
        </w:tc>
        <w:tc>
          <w:tcPr>
            <w:tcW w:w="3912" w:type="pct"/>
            <w:gridSpan w:val="2"/>
          </w:tcPr>
          <w:p w14:paraId="01535CE0" w14:textId="77777777" w:rsidR="00B72575" w:rsidRPr="00E0193B" w:rsidRDefault="00B72575" w:rsidP="008C1B0D">
            <w:pPr>
              <w:spacing w:after="0" w:line="240" w:lineRule="auto"/>
              <w:jc w:val="left"/>
              <w:rPr>
                <w:rFonts w:eastAsia="Calibri"/>
                <w:b/>
                <w:bCs/>
              </w:rPr>
            </w:pPr>
            <w:r w:rsidRPr="00E0193B">
              <w:rPr>
                <w:rFonts w:eastAsia="Calibri"/>
                <w:b/>
                <w:bCs/>
              </w:rPr>
              <w:t>Zwiększenie konkurencyjności sektora kolejowego</w:t>
            </w:r>
          </w:p>
        </w:tc>
      </w:tr>
      <w:tr w:rsidR="00B72575" w:rsidRPr="00E0193B" w14:paraId="42D83739" w14:textId="77777777" w:rsidTr="008C1B0D">
        <w:tc>
          <w:tcPr>
            <w:tcW w:w="1088" w:type="pct"/>
            <w:shd w:val="clear" w:color="auto" w:fill="auto"/>
          </w:tcPr>
          <w:p w14:paraId="0F880E7F" w14:textId="77777777" w:rsidR="00B72575" w:rsidRPr="00E0193B" w:rsidRDefault="00B72575" w:rsidP="008C1B0D">
            <w:pPr>
              <w:spacing w:after="0" w:line="240" w:lineRule="auto"/>
              <w:jc w:val="left"/>
              <w:rPr>
                <w:rFonts w:eastAsia="Calibri"/>
              </w:rPr>
            </w:pPr>
            <w:r w:rsidRPr="00E0193B">
              <w:rPr>
                <w:rFonts w:eastAsia="Calibri"/>
              </w:rPr>
              <w:t>Rodzaj wprowadzonej zmiany w odniesieniu do CID</w:t>
            </w:r>
          </w:p>
        </w:tc>
        <w:tc>
          <w:tcPr>
            <w:tcW w:w="3912" w:type="pct"/>
            <w:gridSpan w:val="2"/>
            <w:shd w:val="clear" w:color="auto" w:fill="auto"/>
          </w:tcPr>
          <w:p w14:paraId="71A0DA00" w14:textId="77777777" w:rsidR="00B72575" w:rsidRPr="00E0193B" w:rsidRDefault="00B72575" w:rsidP="008C1B0D">
            <w:pPr>
              <w:spacing w:after="0" w:line="240" w:lineRule="auto"/>
              <w:jc w:val="left"/>
              <w:rPr>
                <w:rFonts w:eastAsia="Calibri"/>
              </w:rPr>
            </w:pPr>
            <w:r w:rsidRPr="00E0193B">
              <w:rPr>
                <w:rFonts w:eastAsia="Calibri"/>
              </w:rPr>
              <w:t xml:space="preserve">Przesunięcie terminu realizacji kamienia milowego E16G </w:t>
            </w:r>
          </w:p>
        </w:tc>
      </w:tr>
      <w:tr w:rsidR="00B72575" w:rsidRPr="00E0193B" w14:paraId="1600A823" w14:textId="77777777" w:rsidTr="008C1B0D">
        <w:tc>
          <w:tcPr>
            <w:tcW w:w="1088" w:type="pct"/>
            <w:shd w:val="clear" w:color="auto" w:fill="auto"/>
          </w:tcPr>
          <w:p w14:paraId="7BCB5E0B" w14:textId="77777777" w:rsidR="00B72575" w:rsidRPr="00E0193B" w:rsidRDefault="00B72575" w:rsidP="008C1B0D">
            <w:pPr>
              <w:spacing w:after="0" w:line="240" w:lineRule="auto"/>
              <w:jc w:val="left"/>
              <w:rPr>
                <w:rFonts w:eastAsia="Calibri"/>
              </w:rPr>
            </w:pPr>
            <w:r w:rsidRPr="00E0193B">
              <w:rPr>
                <w:rFonts w:eastAsia="Calibri"/>
              </w:rPr>
              <w:t>Podstawa prawna zmiany</w:t>
            </w:r>
          </w:p>
        </w:tc>
        <w:tc>
          <w:tcPr>
            <w:tcW w:w="3912" w:type="pct"/>
            <w:gridSpan w:val="2"/>
            <w:shd w:val="clear" w:color="auto" w:fill="auto"/>
          </w:tcPr>
          <w:p w14:paraId="43E3D21E" w14:textId="77777777" w:rsidR="00B72575" w:rsidRPr="00E0193B" w:rsidRDefault="00B72575" w:rsidP="008C1B0D">
            <w:pPr>
              <w:spacing w:after="0" w:line="240" w:lineRule="auto"/>
              <w:jc w:val="left"/>
              <w:rPr>
                <w:rFonts w:eastAsia="Calibri"/>
              </w:rPr>
            </w:pPr>
            <w:r w:rsidRPr="00E0193B">
              <w:rPr>
                <w:rFonts w:eastAsia="Calibri"/>
              </w:rPr>
              <w:t>art. 21 rozporządzenia Parlamentu Europejskiego i Rady (UE) 2021/241 z dnia 12 lutego 2021 r. ustanawiające Instrument na rzecz Odbudowy i Zwiększania Odporności</w:t>
            </w:r>
            <w:r w:rsidRPr="00E0193B" w:rsidDel="006E3D06">
              <w:rPr>
                <w:rFonts w:eastAsia="Calibri"/>
              </w:rPr>
              <w:t xml:space="preserve"> </w:t>
            </w:r>
          </w:p>
        </w:tc>
      </w:tr>
      <w:tr w:rsidR="00E71AA6" w:rsidRPr="00E0193B" w14:paraId="23AFC891" w14:textId="77777777" w:rsidTr="008C1B0D">
        <w:tc>
          <w:tcPr>
            <w:tcW w:w="1088" w:type="pct"/>
            <w:shd w:val="clear" w:color="auto" w:fill="D9D9D9"/>
          </w:tcPr>
          <w:p w14:paraId="323EF506" w14:textId="77777777" w:rsidR="00B72575" w:rsidRPr="00E0193B" w:rsidRDefault="00B72575" w:rsidP="008C1B0D">
            <w:pPr>
              <w:spacing w:after="0" w:line="240" w:lineRule="auto"/>
              <w:jc w:val="left"/>
              <w:rPr>
                <w:rFonts w:eastAsia="Calibri"/>
                <w:highlight w:val="lightGray"/>
              </w:rPr>
            </w:pPr>
            <w:r w:rsidRPr="00E0193B">
              <w:rPr>
                <w:rFonts w:eastAsia="Calibri"/>
                <w:highlight w:val="lightGray"/>
              </w:rPr>
              <w:t>Modyfikowany element</w:t>
            </w:r>
          </w:p>
        </w:tc>
        <w:tc>
          <w:tcPr>
            <w:tcW w:w="1897" w:type="pct"/>
            <w:shd w:val="clear" w:color="auto" w:fill="D9D9D9"/>
          </w:tcPr>
          <w:p w14:paraId="344AA466" w14:textId="77777777" w:rsidR="00B72575" w:rsidRPr="00E0193B" w:rsidRDefault="00B72575" w:rsidP="008C1B0D">
            <w:pPr>
              <w:spacing w:after="0" w:line="240" w:lineRule="auto"/>
              <w:jc w:val="left"/>
              <w:rPr>
                <w:rFonts w:eastAsia="Calibri"/>
                <w:highlight w:val="lightGray"/>
              </w:rPr>
            </w:pPr>
            <w:r w:rsidRPr="00E0193B">
              <w:rPr>
                <w:rFonts w:eastAsia="Calibri"/>
                <w:highlight w:val="lightGray"/>
              </w:rPr>
              <w:t>Bieżąca wersja</w:t>
            </w:r>
          </w:p>
        </w:tc>
        <w:tc>
          <w:tcPr>
            <w:tcW w:w="2015" w:type="pct"/>
            <w:shd w:val="clear" w:color="auto" w:fill="D9D9D9"/>
          </w:tcPr>
          <w:p w14:paraId="2E919FE4" w14:textId="77777777" w:rsidR="00B72575" w:rsidRPr="00E0193B" w:rsidRDefault="00B72575" w:rsidP="008C1B0D">
            <w:pPr>
              <w:spacing w:after="0" w:line="240" w:lineRule="auto"/>
              <w:jc w:val="left"/>
              <w:rPr>
                <w:rFonts w:eastAsia="Calibri"/>
                <w:highlight w:val="lightGray"/>
              </w:rPr>
            </w:pPr>
            <w:r w:rsidRPr="00E0193B">
              <w:rPr>
                <w:rFonts w:eastAsia="Calibri"/>
                <w:highlight w:val="lightGray"/>
              </w:rPr>
              <w:t>Wersja zmieniona</w:t>
            </w:r>
          </w:p>
        </w:tc>
      </w:tr>
      <w:tr w:rsidR="00B72575" w:rsidRPr="00E0193B" w14:paraId="73DD648A" w14:textId="77777777" w:rsidTr="008C1B0D">
        <w:tc>
          <w:tcPr>
            <w:tcW w:w="1088" w:type="pct"/>
          </w:tcPr>
          <w:p w14:paraId="29AE3B3E" w14:textId="77777777" w:rsidR="00B72575" w:rsidRPr="00E0193B" w:rsidRDefault="00B72575" w:rsidP="008C1B0D">
            <w:pPr>
              <w:spacing w:after="0" w:line="240" w:lineRule="auto"/>
              <w:jc w:val="left"/>
              <w:rPr>
                <w:rFonts w:eastAsia="Calibri"/>
              </w:rPr>
            </w:pPr>
            <w:r w:rsidRPr="00E0193B">
              <w:rPr>
                <w:rFonts w:eastAsia="Calibri"/>
              </w:rPr>
              <w:t>Opis komponentu oraz/lub działania (inwestycji/reformy)</w:t>
            </w:r>
          </w:p>
        </w:tc>
        <w:tc>
          <w:tcPr>
            <w:tcW w:w="1897" w:type="pct"/>
          </w:tcPr>
          <w:p w14:paraId="1C2387D3" w14:textId="77777777" w:rsidR="00B72575" w:rsidRPr="00E0193B" w:rsidRDefault="00B72575" w:rsidP="008C1B0D">
            <w:pPr>
              <w:spacing w:after="0" w:line="240" w:lineRule="auto"/>
              <w:jc w:val="left"/>
              <w:rPr>
                <w:rFonts w:eastAsia="Calibri"/>
              </w:rPr>
            </w:pPr>
            <w:r w:rsidRPr="00E0193B">
              <w:rPr>
                <w:rFonts w:eastAsia="Calibri"/>
              </w:rPr>
              <w:t>E16G</w:t>
            </w:r>
          </w:p>
          <w:p w14:paraId="1A1E7C60" w14:textId="77777777" w:rsidR="00B72575" w:rsidRPr="00E0193B" w:rsidRDefault="00B72575" w:rsidP="008C1B0D">
            <w:pPr>
              <w:spacing w:after="0" w:line="240" w:lineRule="auto"/>
              <w:jc w:val="left"/>
              <w:rPr>
                <w:rFonts w:eastAsia="Calibri"/>
              </w:rPr>
            </w:pPr>
            <w:r w:rsidRPr="00E0193B">
              <w:rPr>
                <w:rFonts w:eastAsia="Calibri"/>
              </w:rPr>
              <w:t>Termin realizacji: IV kw. 2023r.</w:t>
            </w:r>
          </w:p>
          <w:p w14:paraId="1E9636BC" w14:textId="77777777" w:rsidR="00B72575" w:rsidRPr="00E0193B" w:rsidRDefault="00B72575" w:rsidP="008C1B0D">
            <w:pPr>
              <w:spacing w:after="0" w:line="240" w:lineRule="auto"/>
              <w:jc w:val="left"/>
              <w:rPr>
                <w:rFonts w:eastAsia="Calibri"/>
                <w:lang w:val="en-GB"/>
              </w:rPr>
            </w:pPr>
            <w:r w:rsidRPr="00E0193B">
              <w:rPr>
                <w:rFonts w:eastAsia="Calibri"/>
                <w:lang w:val="en-GB"/>
              </w:rPr>
              <w:t>Q4 2023</w:t>
            </w:r>
          </w:p>
        </w:tc>
        <w:tc>
          <w:tcPr>
            <w:tcW w:w="2015" w:type="pct"/>
          </w:tcPr>
          <w:p w14:paraId="03BE8532" w14:textId="77777777" w:rsidR="00B72575" w:rsidRPr="00E0193B" w:rsidRDefault="00B72575" w:rsidP="008C1B0D">
            <w:pPr>
              <w:spacing w:after="0" w:line="240" w:lineRule="auto"/>
              <w:jc w:val="left"/>
              <w:rPr>
                <w:rFonts w:eastAsia="Calibri"/>
              </w:rPr>
            </w:pPr>
            <w:r w:rsidRPr="00E0193B">
              <w:rPr>
                <w:rFonts w:eastAsia="Calibri"/>
              </w:rPr>
              <w:t>E16G</w:t>
            </w:r>
          </w:p>
          <w:p w14:paraId="3F0879CC" w14:textId="77777777" w:rsidR="00B72575" w:rsidRPr="00E0193B" w:rsidRDefault="00B72575" w:rsidP="008C1B0D">
            <w:pPr>
              <w:spacing w:after="0" w:line="240" w:lineRule="auto"/>
              <w:jc w:val="left"/>
              <w:rPr>
                <w:rFonts w:eastAsia="Calibri"/>
              </w:rPr>
            </w:pPr>
            <w:r w:rsidRPr="00E0193B">
              <w:rPr>
                <w:rFonts w:eastAsia="Calibri"/>
              </w:rPr>
              <w:t xml:space="preserve">Termin realizacji: </w:t>
            </w:r>
            <w:r w:rsidRPr="00E0193B">
              <w:rPr>
                <w:rFonts w:eastAsia="Calibri"/>
                <w:color w:val="FF0000"/>
              </w:rPr>
              <w:t>IV kw. 2024r.</w:t>
            </w:r>
          </w:p>
          <w:p w14:paraId="43356E83" w14:textId="77777777" w:rsidR="00B72575" w:rsidRPr="00E0193B" w:rsidRDefault="00B72575" w:rsidP="008C1B0D">
            <w:pPr>
              <w:spacing w:after="0" w:line="240" w:lineRule="auto"/>
              <w:jc w:val="left"/>
              <w:rPr>
                <w:rFonts w:eastAsia="Calibri"/>
                <w:lang w:val="en-GB"/>
              </w:rPr>
            </w:pPr>
            <w:r w:rsidRPr="00E0193B">
              <w:rPr>
                <w:rFonts w:eastAsia="Calibri"/>
                <w:color w:val="FF0000"/>
                <w:lang w:val="en-GB"/>
              </w:rPr>
              <w:t>Q4</w:t>
            </w:r>
            <w:r w:rsidRPr="00E0193B">
              <w:rPr>
                <w:rFonts w:eastAsia="Calibri"/>
                <w:lang w:val="en-GB"/>
              </w:rPr>
              <w:t xml:space="preserve"> </w:t>
            </w:r>
            <w:r w:rsidRPr="00E0193B">
              <w:rPr>
                <w:rFonts w:eastAsia="Calibri"/>
                <w:color w:val="FF0000"/>
                <w:lang w:val="en-GB"/>
              </w:rPr>
              <w:t>2024</w:t>
            </w:r>
          </w:p>
        </w:tc>
      </w:tr>
      <w:tr w:rsidR="00B72575" w:rsidRPr="00E0193B" w14:paraId="66CF8834" w14:textId="77777777" w:rsidTr="008C1B0D">
        <w:tc>
          <w:tcPr>
            <w:tcW w:w="1088" w:type="pct"/>
          </w:tcPr>
          <w:p w14:paraId="0F66F0E1" w14:textId="77777777" w:rsidR="00B72575" w:rsidRPr="00E0193B" w:rsidRDefault="00B72575" w:rsidP="008C1B0D">
            <w:pPr>
              <w:spacing w:after="0" w:line="240" w:lineRule="auto"/>
              <w:jc w:val="left"/>
              <w:rPr>
                <w:rFonts w:eastAsia="Calibri"/>
              </w:rPr>
            </w:pPr>
            <w:r w:rsidRPr="00E0193B">
              <w:rPr>
                <w:rFonts w:eastAsia="Calibri"/>
              </w:rPr>
              <w:t>Uzasadnienie</w:t>
            </w:r>
          </w:p>
        </w:tc>
        <w:tc>
          <w:tcPr>
            <w:tcW w:w="3912" w:type="pct"/>
            <w:gridSpan w:val="2"/>
          </w:tcPr>
          <w:p w14:paraId="7B33AD32" w14:textId="77777777" w:rsidR="00B72575" w:rsidRPr="00E0193B" w:rsidRDefault="00B72575" w:rsidP="008C1B0D">
            <w:pPr>
              <w:spacing w:after="120" w:line="240" w:lineRule="auto"/>
              <w:jc w:val="left"/>
              <w:rPr>
                <w:rFonts w:eastAsia="Calibri"/>
              </w:rPr>
            </w:pPr>
            <w:r w:rsidRPr="00E0193B">
              <w:rPr>
                <w:rFonts w:eastAsia="Calibri"/>
              </w:rPr>
              <w:t xml:space="preserve">Proponuje się przesunięcie terminu wdrożenia kamienia milowego na </w:t>
            </w:r>
            <w:r w:rsidRPr="00E0193B">
              <w:rPr>
                <w:rFonts w:eastAsia="Calibri"/>
                <w:bCs/>
              </w:rPr>
              <w:t>IV kw. 2024 r.,</w:t>
            </w:r>
            <w:r w:rsidRPr="00E0193B">
              <w:rPr>
                <w:rFonts w:eastAsia="Calibri"/>
              </w:rPr>
              <w:t xml:space="preserve"> ze względu na trudną sytuację przewoźników drogowych spowodowaną wpływem negatywnych skutków Wojny w Ukrainie na tę branżę. Wzmożona liczba operacji transportowych świadczonych przez przewoźników ukraińskich, będąca skutkiem czasowego braku obowiązku posiadania zezwoleń na przewozy komercyjne, wynikającego z umowy zawartej w Lyonie 29 czerwca 2022 r., pomiędzy Unią Europejską a Ukrainą w sprawie transportu drogowego towarów spowodowała, że sytuacja polskich przedsiębiorców transportu drogowego stała się niezwykle trudna. Dotyczy to szczególnie kierunku ukraińskiego, ale nie tylko. Zbyt gwałtowne obciążenie przedsiębiorców dodatkowymi daninami publicznymi może doprowadzić do niepokojów społecznych, skutkujących kolejnymi blokadami granicy PL-UA</w:t>
            </w:r>
          </w:p>
          <w:p w14:paraId="08883F9E" w14:textId="77777777" w:rsidR="00B72575" w:rsidRPr="00E0193B" w:rsidRDefault="00B72575" w:rsidP="008C1B0D">
            <w:pPr>
              <w:spacing w:after="120" w:line="240" w:lineRule="auto"/>
              <w:jc w:val="left"/>
              <w:rPr>
                <w:rFonts w:eastAsia="Calibri"/>
              </w:rPr>
            </w:pPr>
            <w:r w:rsidRPr="00E0193B">
              <w:rPr>
                <w:rFonts w:eastAsia="Calibri"/>
              </w:rPr>
              <w:t xml:space="preserve">Na obecnym etapie zakłada się, że przekazanie przez MI zgłoszenia projektu rozporządzenia RM do wykazu prac legislacyjnych i programowych Rady Ministrów nastąpi na przełomie II i III kw. 2024 r. Wówczas możliwe będzie uzyskanie wpisu do wykazu oraz przeprowadzenie konsultacji i uzgodnień projektu. Zgodnie ze standardową procedurą dla dokumentów legislacyjnych w Polsce szacuje się, że cały proces powinien trwać 3-4 miesiące.  </w:t>
            </w:r>
          </w:p>
          <w:p w14:paraId="2EFE249E" w14:textId="7F1A12FC" w:rsidR="00B72575" w:rsidRPr="00E0193B" w:rsidRDefault="00B72575" w:rsidP="00ED5265">
            <w:pPr>
              <w:spacing w:after="120" w:line="240" w:lineRule="auto"/>
              <w:jc w:val="left"/>
              <w:rPr>
                <w:rFonts w:eastAsia="Calibri"/>
              </w:rPr>
            </w:pPr>
            <w:r w:rsidRPr="00E0193B">
              <w:rPr>
                <w:rFonts w:eastAsia="Calibri"/>
              </w:rPr>
              <w:t xml:space="preserve">Oznacza to, że przyjęcie odpowiedniego aktu przez Radę Ministrów powinno nastąpić najwcześniej na przełomie III i IV kw. 2024 r. Dodatkowo, należy mieć na uwadze, iż wdrożenie rozszerzenia sieci dróg płatnych wymaga przeprowadzenia z odpowiednim wyprzedzeniem prac w systemie e-TOLL, gdyż Krajowa Administracja Skarbowa potrzebuje minimum </w:t>
            </w:r>
            <w:r w:rsidR="00A036BB" w:rsidRPr="00E0193B">
              <w:rPr>
                <w:rFonts w:eastAsia="Calibri"/>
              </w:rPr>
              <w:t>45</w:t>
            </w:r>
            <w:r w:rsidR="00F81FE7" w:rsidRPr="00E0193B">
              <w:rPr>
                <w:rFonts w:eastAsia="Calibri"/>
              </w:rPr>
              <w:t xml:space="preserve"> </w:t>
            </w:r>
            <w:r w:rsidRPr="00E0193B">
              <w:rPr>
                <w:rFonts w:eastAsia="Calibri"/>
              </w:rPr>
              <w:t xml:space="preserve">dni na wprowadzenie w systemie odpowiednich modyfikacji i objęcia nowych odcinków opłatą. Wobec powyższego obecnie planuje się, iż przyjęcie rozporządzenia i wdrożenie rozszerzenia sieci dróg płatnych nastąpi najpóźniej w IV kwartale 2024 r.. </w:t>
            </w:r>
          </w:p>
        </w:tc>
      </w:tr>
      <w:tr w:rsidR="00B72575" w:rsidRPr="00E0193B" w14:paraId="1312584B" w14:textId="77777777" w:rsidTr="008C1B0D">
        <w:tc>
          <w:tcPr>
            <w:tcW w:w="1088" w:type="pct"/>
          </w:tcPr>
          <w:p w14:paraId="42A925AE" w14:textId="77777777" w:rsidR="00B72575" w:rsidRPr="00E0193B" w:rsidRDefault="00B72575" w:rsidP="008C1B0D">
            <w:pPr>
              <w:spacing w:after="0" w:line="240" w:lineRule="auto"/>
              <w:jc w:val="left"/>
              <w:rPr>
                <w:rFonts w:eastAsia="Calibri"/>
              </w:rPr>
            </w:pPr>
            <w:r w:rsidRPr="00E0193B">
              <w:rPr>
                <w:rFonts w:eastAsia="Calibri"/>
              </w:rPr>
              <w:t>Szacowany koszy</w:t>
            </w:r>
          </w:p>
        </w:tc>
        <w:tc>
          <w:tcPr>
            <w:tcW w:w="3912" w:type="pct"/>
            <w:gridSpan w:val="2"/>
          </w:tcPr>
          <w:p w14:paraId="6E17688A" w14:textId="77777777" w:rsidR="00B72575" w:rsidRPr="00E0193B" w:rsidRDefault="00B72575" w:rsidP="008C1B0D">
            <w:pPr>
              <w:spacing w:after="0" w:line="240" w:lineRule="auto"/>
              <w:jc w:val="left"/>
              <w:rPr>
                <w:rFonts w:eastAsia="Calibri"/>
              </w:rPr>
            </w:pPr>
            <w:r w:rsidRPr="00E0193B">
              <w:rPr>
                <w:rFonts w:eastAsia="Calibri"/>
              </w:rPr>
              <w:t>Zmiana nie ma wpływu na szacowany koszt</w:t>
            </w:r>
            <w:r w:rsidRPr="00E0193B" w:rsidDel="006E3D06">
              <w:rPr>
                <w:rFonts w:eastAsia="Calibri"/>
              </w:rPr>
              <w:t xml:space="preserve"> </w:t>
            </w:r>
          </w:p>
        </w:tc>
      </w:tr>
      <w:tr w:rsidR="00B72575" w:rsidRPr="00E0193B" w14:paraId="64E1EDC0" w14:textId="77777777" w:rsidTr="008C1B0D">
        <w:tc>
          <w:tcPr>
            <w:tcW w:w="1088" w:type="pct"/>
          </w:tcPr>
          <w:p w14:paraId="41D1E6EC" w14:textId="77777777" w:rsidR="00B72575" w:rsidRPr="00E0193B" w:rsidRDefault="00B72575" w:rsidP="008C1B0D">
            <w:pPr>
              <w:spacing w:after="0" w:line="240" w:lineRule="auto"/>
              <w:jc w:val="left"/>
              <w:rPr>
                <w:rFonts w:eastAsia="Calibri"/>
              </w:rPr>
            </w:pPr>
            <w:r w:rsidRPr="00E0193B">
              <w:rPr>
                <w:rFonts w:eastAsia="Calibri"/>
              </w:rPr>
              <w:t>Klimatyczny i cyfrowy tagging</w:t>
            </w:r>
          </w:p>
        </w:tc>
        <w:tc>
          <w:tcPr>
            <w:tcW w:w="3912" w:type="pct"/>
            <w:gridSpan w:val="2"/>
          </w:tcPr>
          <w:p w14:paraId="2C94D5FC" w14:textId="77777777" w:rsidR="00B72575" w:rsidRPr="00E0193B" w:rsidRDefault="00B72575" w:rsidP="008C1B0D">
            <w:pPr>
              <w:spacing w:after="0" w:line="240" w:lineRule="auto"/>
              <w:jc w:val="left"/>
              <w:rPr>
                <w:rFonts w:eastAsia="Calibri"/>
              </w:rPr>
            </w:pPr>
            <w:r w:rsidRPr="00E0193B">
              <w:rPr>
                <w:rFonts w:eastAsia="Calibri"/>
              </w:rPr>
              <w:t xml:space="preserve">Zmiana nie ma wpływu na  tagging klimatyczny i cyfrowy </w:t>
            </w:r>
          </w:p>
        </w:tc>
      </w:tr>
      <w:tr w:rsidR="00B72575" w:rsidRPr="00E0193B" w14:paraId="50BFFE85" w14:textId="77777777" w:rsidTr="008C1B0D">
        <w:tc>
          <w:tcPr>
            <w:tcW w:w="1088" w:type="pct"/>
          </w:tcPr>
          <w:p w14:paraId="4A6ACA59" w14:textId="77777777" w:rsidR="00B72575" w:rsidRPr="00E0193B" w:rsidRDefault="00B72575" w:rsidP="008C1B0D">
            <w:pPr>
              <w:spacing w:after="0" w:line="240" w:lineRule="auto"/>
              <w:jc w:val="left"/>
              <w:rPr>
                <w:rFonts w:eastAsia="Calibri"/>
              </w:rPr>
            </w:pPr>
            <w:r w:rsidRPr="00E0193B">
              <w:rPr>
                <w:rFonts w:eastAsia="Calibri"/>
              </w:rPr>
              <w:t xml:space="preserve">Ocena DNSH </w:t>
            </w:r>
          </w:p>
        </w:tc>
        <w:tc>
          <w:tcPr>
            <w:tcW w:w="3912" w:type="pct"/>
            <w:gridSpan w:val="2"/>
          </w:tcPr>
          <w:p w14:paraId="7DE18BE0" w14:textId="77777777" w:rsidR="00B72575" w:rsidRPr="00E0193B" w:rsidRDefault="00B72575" w:rsidP="008C1B0D">
            <w:pPr>
              <w:spacing w:after="0" w:line="240" w:lineRule="auto"/>
              <w:jc w:val="left"/>
              <w:rPr>
                <w:rFonts w:eastAsia="Calibri"/>
              </w:rPr>
            </w:pPr>
            <w:r w:rsidRPr="00E0193B">
              <w:rPr>
                <w:rFonts w:eastAsia="Calibri"/>
              </w:rPr>
              <w:t>Zmiana nie ma wpływu na  DNSH</w:t>
            </w:r>
            <w:r w:rsidRPr="00E0193B" w:rsidDel="006E3D06">
              <w:rPr>
                <w:rFonts w:eastAsia="Calibri"/>
              </w:rPr>
              <w:t xml:space="preserve"> </w:t>
            </w:r>
          </w:p>
        </w:tc>
      </w:tr>
    </w:tbl>
    <w:p w14:paraId="473DA8DA" w14:textId="77777777" w:rsidR="00B72575" w:rsidRPr="00E0193B" w:rsidRDefault="00B72575" w:rsidP="00D94758">
      <w:pPr>
        <w:spacing w:line="259" w:lineRule="auto"/>
        <w:jc w:val="left"/>
        <w:rPr>
          <w:rFonts w:eastAsia="Calibri"/>
          <w:b/>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000" w:firstRow="0" w:lastRow="0" w:firstColumn="0" w:lastColumn="0" w:noHBand="0" w:noVBand="0"/>
      </w:tblPr>
      <w:tblGrid>
        <w:gridCol w:w="1926"/>
        <w:gridCol w:w="3448"/>
        <w:gridCol w:w="3642"/>
      </w:tblGrid>
      <w:tr w:rsidR="00D94758" w:rsidRPr="00E0193B" w14:paraId="1A436132" w14:textId="77777777" w:rsidTr="00D94758">
        <w:tc>
          <w:tcPr>
            <w:tcW w:w="1068" w:type="pct"/>
            <w:shd w:val="clear" w:color="auto" w:fill="FFFFFF"/>
          </w:tcPr>
          <w:p w14:paraId="66E8EA3F" w14:textId="77777777" w:rsidR="00D94758" w:rsidRPr="00E0193B" w:rsidRDefault="00D94758" w:rsidP="00D94758">
            <w:pPr>
              <w:spacing w:after="0" w:line="240" w:lineRule="auto"/>
              <w:jc w:val="left"/>
              <w:rPr>
                <w:rFonts w:eastAsia="Calibri"/>
                <w:b/>
                <w:bCs/>
              </w:rPr>
            </w:pPr>
            <w:r w:rsidRPr="00E0193B">
              <w:rPr>
                <w:rFonts w:eastAsia="Calibri"/>
                <w:b/>
                <w:bCs/>
              </w:rPr>
              <w:t>Numer inwestycji</w:t>
            </w:r>
          </w:p>
        </w:tc>
        <w:tc>
          <w:tcPr>
            <w:tcW w:w="3932" w:type="pct"/>
            <w:gridSpan w:val="2"/>
            <w:shd w:val="clear" w:color="auto" w:fill="FFFFFF"/>
          </w:tcPr>
          <w:p w14:paraId="106F5603" w14:textId="77777777" w:rsidR="00D94758" w:rsidRPr="00E0193B" w:rsidRDefault="00D94758" w:rsidP="00D94758">
            <w:pPr>
              <w:ind w:left="685" w:hanging="567"/>
              <w:contextualSpacing/>
              <w:rPr>
                <w:b/>
                <w:bCs/>
              </w:rPr>
            </w:pPr>
            <w:r w:rsidRPr="00E0193B">
              <w:rPr>
                <w:b/>
                <w:bCs/>
              </w:rPr>
              <w:t xml:space="preserve">E2.1.1.    </w:t>
            </w:r>
          </w:p>
        </w:tc>
      </w:tr>
      <w:tr w:rsidR="00D94758" w:rsidRPr="00E0193B" w14:paraId="1B28614F" w14:textId="77777777" w:rsidTr="00D94758">
        <w:tc>
          <w:tcPr>
            <w:tcW w:w="1068" w:type="pct"/>
            <w:shd w:val="clear" w:color="auto" w:fill="FFFFFF"/>
          </w:tcPr>
          <w:p w14:paraId="25F4862B" w14:textId="77777777" w:rsidR="00D94758" w:rsidRPr="00E0193B" w:rsidRDefault="00D94758" w:rsidP="00D94758">
            <w:pPr>
              <w:contextualSpacing/>
              <w:rPr>
                <w:b/>
                <w:bCs/>
              </w:rPr>
            </w:pPr>
            <w:r w:rsidRPr="00E0193B">
              <w:rPr>
                <w:b/>
                <w:bCs/>
              </w:rPr>
              <w:t xml:space="preserve">Nazwa inwestycji </w:t>
            </w:r>
          </w:p>
        </w:tc>
        <w:tc>
          <w:tcPr>
            <w:tcW w:w="3932" w:type="pct"/>
            <w:gridSpan w:val="2"/>
            <w:shd w:val="clear" w:color="auto" w:fill="FFFFFF"/>
          </w:tcPr>
          <w:p w14:paraId="30CBF2A5" w14:textId="77777777" w:rsidR="00D94758" w:rsidRPr="00E0193B" w:rsidRDefault="00D94758" w:rsidP="00D94758">
            <w:pPr>
              <w:contextualSpacing/>
            </w:pPr>
            <w:r w:rsidRPr="00E0193B">
              <w:rPr>
                <w:b/>
                <w:bCs/>
              </w:rPr>
              <w:t>Linie kolejowe</w:t>
            </w:r>
          </w:p>
        </w:tc>
      </w:tr>
      <w:tr w:rsidR="00D94758" w:rsidRPr="00E0193B" w14:paraId="1D41A6A2" w14:textId="77777777" w:rsidTr="00D94758">
        <w:tc>
          <w:tcPr>
            <w:tcW w:w="1068" w:type="pct"/>
            <w:shd w:val="clear" w:color="auto" w:fill="FFFFFF"/>
          </w:tcPr>
          <w:p w14:paraId="7729E478" w14:textId="77777777" w:rsidR="00D94758" w:rsidRPr="00E0193B" w:rsidRDefault="00D94758" w:rsidP="00D94758">
            <w:pPr>
              <w:contextualSpacing/>
            </w:pPr>
            <w:r w:rsidRPr="00E0193B">
              <w:t>Rodzaj wprowadzonej zmiany w odniesieniu do CID</w:t>
            </w:r>
          </w:p>
        </w:tc>
        <w:tc>
          <w:tcPr>
            <w:tcW w:w="3932" w:type="pct"/>
            <w:gridSpan w:val="2"/>
            <w:shd w:val="clear" w:color="auto" w:fill="FFFFFF"/>
          </w:tcPr>
          <w:p w14:paraId="1D2EC875" w14:textId="77777777" w:rsidR="00D94758" w:rsidRPr="00E0193B" w:rsidRDefault="00D94758" w:rsidP="00D94758">
            <w:pPr>
              <w:contextualSpacing/>
            </w:pPr>
            <w:r w:rsidRPr="00E0193B">
              <w:t>Modyfikacja opisu inwestycji oraz zmiana wartości wskaźnika E17G i E18G. Dodanie nowego wskaźnika E18aG.</w:t>
            </w:r>
          </w:p>
          <w:p w14:paraId="26CCE388" w14:textId="77777777" w:rsidR="00D94758" w:rsidRPr="00E0193B" w:rsidRDefault="00D94758" w:rsidP="00D94758">
            <w:pPr>
              <w:contextualSpacing/>
            </w:pPr>
          </w:p>
        </w:tc>
      </w:tr>
      <w:tr w:rsidR="00D94758" w:rsidRPr="00E0193B" w14:paraId="1A6F5F8E" w14:textId="77777777" w:rsidTr="00D94758">
        <w:tc>
          <w:tcPr>
            <w:tcW w:w="1068" w:type="pct"/>
            <w:shd w:val="clear" w:color="auto" w:fill="FFFFFF"/>
          </w:tcPr>
          <w:p w14:paraId="7AA2609A" w14:textId="77777777" w:rsidR="00D94758" w:rsidRPr="00E0193B" w:rsidRDefault="00D94758" w:rsidP="00D94758">
            <w:pPr>
              <w:ind w:left="67" w:hanging="67"/>
              <w:contextualSpacing/>
            </w:pPr>
            <w:r w:rsidRPr="00E0193B">
              <w:t>Podstawa prawna zmiany</w:t>
            </w:r>
          </w:p>
        </w:tc>
        <w:tc>
          <w:tcPr>
            <w:tcW w:w="3932" w:type="pct"/>
            <w:gridSpan w:val="2"/>
            <w:shd w:val="clear" w:color="auto" w:fill="FFFFFF"/>
          </w:tcPr>
          <w:p w14:paraId="4260E649" w14:textId="77777777" w:rsidR="00D94758" w:rsidRPr="00E0193B" w:rsidRDefault="00D94758" w:rsidP="00D94758">
            <w:pPr>
              <w:spacing w:after="0" w:line="240" w:lineRule="auto"/>
              <w:jc w:val="left"/>
              <w:rPr>
                <w:rFonts w:eastAsia="Calibri"/>
              </w:rPr>
            </w:pPr>
            <w:r w:rsidRPr="00E0193B">
              <w:rPr>
                <w:rFonts w:eastAsia="Calibri"/>
              </w:rPr>
              <w:t>art. 21 rozporządzenia Parlamentu Europejskiego i Rady (UE) 2021/241 z dnia 12 lutego 2021 r. ustanawiające Instrument na rzecz Odbudowy i Zwiększania Odporności</w:t>
            </w:r>
            <w:r w:rsidRPr="00E0193B" w:rsidDel="00A106E1">
              <w:rPr>
                <w:rFonts w:eastAsia="Calibri"/>
              </w:rPr>
              <w:t xml:space="preserve"> </w:t>
            </w:r>
          </w:p>
        </w:tc>
      </w:tr>
      <w:tr w:rsidR="00D94758" w:rsidRPr="00E0193B" w14:paraId="5799393B" w14:textId="77777777" w:rsidTr="00D94758">
        <w:tc>
          <w:tcPr>
            <w:tcW w:w="1068" w:type="pct"/>
            <w:shd w:val="clear" w:color="auto" w:fill="FFFFFF"/>
          </w:tcPr>
          <w:p w14:paraId="3DB186AE" w14:textId="77777777" w:rsidR="00D94758" w:rsidRPr="00E0193B" w:rsidRDefault="00D94758" w:rsidP="00D94758">
            <w:pPr>
              <w:spacing w:after="0" w:line="240" w:lineRule="auto"/>
              <w:jc w:val="left"/>
              <w:rPr>
                <w:rFonts w:eastAsia="Calibri"/>
              </w:rPr>
            </w:pPr>
            <w:r w:rsidRPr="00E0193B">
              <w:rPr>
                <w:rFonts w:eastAsia="Calibri"/>
              </w:rPr>
              <w:t>Modyfikowany element</w:t>
            </w:r>
          </w:p>
        </w:tc>
        <w:tc>
          <w:tcPr>
            <w:tcW w:w="1912" w:type="pct"/>
            <w:shd w:val="clear" w:color="auto" w:fill="FFFFFF"/>
          </w:tcPr>
          <w:p w14:paraId="5E888E9C" w14:textId="77777777" w:rsidR="00D94758" w:rsidRPr="00E0193B" w:rsidRDefault="00D94758" w:rsidP="00D94758">
            <w:pPr>
              <w:spacing w:after="0" w:line="240" w:lineRule="auto"/>
              <w:jc w:val="center"/>
              <w:rPr>
                <w:rFonts w:eastAsia="Calibri"/>
              </w:rPr>
            </w:pPr>
            <w:r w:rsidRPr="00E0193B">
              <w:rPr>
                <w:rFonts w:eastAsia="Calibri"/>
              </w:rPr>
              <w:t>Wersja aktualna</w:t>
            </w:r>
          </w:p>
        </w:tc>
        <w:tc>
          <w:tcPr>
            <w:tcW w:w="2020" w:type="pct"/>
            <w:shd w:val="clear" w:color="auto" w:fill="FFFFFF"/>
          </w:tcPr>
          <w:p w14:paraId="37D3E8DD" w14:textId="77777777" w:rsidR="00D94758" w:rsidRPr="00E0193B" w:rsidRDefault="00D94758" w:rsidP="00D94758">
            <w:pPr>
              <w:spacing w:after="0" w:line="240" w:lineRule="auto"/>
              <w:jc w:val="center"/>
              <w:rPr>
                <w:rFonts w:eastAsia="Calibri"/>
              </w:rPr>
            </w:pPr>
            <w:r w:rsidRPr="00E0193B">
              <w:rPr>
                <w:rFonts w:eastAsia="Calibri"/>
              </w:rPr>
              <w:t>Wersja zmieniona</w:t>
            </w:r>
          </w:p>
        </w:tc>
      </w:tr>
      <w:tr w:rsidR="00D94758" w:rsidRPr="00E0193B" w14:paraId="48D36F22" w14:textId="77777777" w:rsidTr="00D94758">
        <w:tc>
          <w:tcPr>
            <w:tcW w:w="1068" w:type="pct"/>
            <w:vMerge w:val="restart"/>
            <w:shd w:val="clear" w:color="auto" w:fill="FFFFFF"/>
          </w:tcPr>
          <w:p w14:paraId="2C356932" w14:textId="77777777" w:rsidR="00D94758" w:rsidRPr="00E0193B" w:rsidRDefault="00D94758" w:rsidP="00D94758">
            <w:pPr>
              <w:spacing w:after="0" w:line="240" w:lineRule="auto"/>
              <w:jc w:val="left"/>
              <w:rPr>
                <w:rFonts w:eastAsia="Calibri"/>
              </w:rPr>
            </w:pPr>
            <w:r w:rsidRPr="00E0193B">
              <w:rPr>
                <w:rFonts w:eastAsia="Calibri"/>
              </w:rPr>
              <w:t>Opis kamienia milowego lub wskaźnika.</w:t>
            </w:r>
          </w:p>
        </w:tc>
        <w:tc>
          <w:tcPr>
            <w:tcW w:w="1912" w:type="pct"/>
            <w:shd w:val="clear" w:color="auto" w:fill="FFFFFF"/>
          </w:tcPr>
          <w:p w14:paraId="18117810" w14:textId="77777777" w:rsidR="00D94758" w:rsidRPr="00E0193B" w:rsidRDefault="00D94758" w:rsidP="00D94758">
            <w:pPr>
              <w:ind w:left="118"/>
              <w:contextualSpacing/>
              <w:rPr>
                <w:lang w:val="en-GB"/>
              </w:rPr>
            </w:pPr>
            <w:r w:rsidRPr="00E0193B">
              <w:rPr>
                <w:lang w:val="en-GB"/>
              </w:rPr>
              <w:t xml:space="preserve">Opis inwestycji </w:t>
            </w:r>
          </w:p>
          <w:p w14:paraId="7137A991" w14:textId="77777777" w:rsidR="00D94758" w:rsidRPr="00E0193B" w:rsidRDefault="00D94758" w:rsidP="00D94758">
            <w:pPr>
              <w:spacing w:after="0" w:line="259" w:lineRule="auto"/>
              <w:ind w:left="-5"/>
              <w:jc w:val="left"/>
              <w:rPr>
                <w:rFonts w:eastAsia="Calibri"/>
              </w:rPr>
            </w:pPr>
            <w:r w:rsidRPr="00E0193B">
              <w:rPr>
                <w:rFonts w:eastAsia="Calibri"/>
                <w:lang w:val="en-GB"/>
              </w:rPr>
              <w:t xml:space="preserve"> (…) The investment shall consist of the modernisation of 478  km of railways lines, including 300 km with TEN-T standards by 30 June 2026. </w:t>
            </w:r>
            <w:r w:rsidRPr="00E0193B">
              <w:rPr>
                <w:rFonts w:eastAsia="Calibri"/>
              </w:rPr>
              <w:t xml:space="preserve">The corresponding financial agreements shall be signed by 31 December 2024.  </w:t>
            </w:r>
          </w:p>
          <w:p w14:paraId="7F7122DF" w14:textId="77777777" w:rsidR="00D94758" w:rsidRPr="00E0193B" w:rsidRDefault="00D94758" w:rsidP="00D94758">
            <w:pPr>
              <w:spacing w:after="0" w:line="259" w:lineRule="auto"/>
              <w:ind w:left="-6"/>
              <w:jc w:val="left"/>
              <w:rPr>
                <w:rFonts w:eastAsia="Calibri"/>
              </w:rPr>
            </w:pPr>
          </w:p>
          <w:p w14:paraId="3253C750" w14:textId="77777777" w:rsidR="00D94758" w:rsidRPr="00E0193B" w:rsidRDefault="00D94758" w:rsidP="00D94758">
            <w:pPr>
              <w:spacing w:after="0" w:line="259" w:lineRule="auto"/>
              <w:ind w:left="-6"/>
              <w:jc w:val="left"/>
              <w:rPr>
                <w:rFonts w:eastAsia="Calibri"/>
              </w:rPr>
            </w:pPr>
          </w:p>
          <w:p w14:paraId="53121D1B" w14:textId="77777777" w:rsidR="00D94758" w:rsidRPr="00E0193B" w:rsidRDefault="00D94758" w:rsidP="00D94758">
            <w:pPr>
              <w:spacing w:after="0" w:line="259" w:lineRule="auto"/>
              <w:ind w:left="-6"/>
              <w:jc w:val="left"/>
              <w:rPr>
                <w:rFonts w:eastAsia="Calibri"/>
              </w:rPr>
            </w:pPr>
          </w:p>
          <w:p w14:paraId="78F374DD" w14:textId="77777777" w:rsidR="00D94758" w:rsidRPr="00E0193B" w:rsidRDefault="00D94758" w:rsidP="00D94758">
            <w:pPr>
              <w:spacing w:after="0" w:line="259" w:lineRule="auto"/>
              <w:ind w:left="-6"/>
              <w:jc w:val="left"/>
              <w:rPr>
                <w:rFonts w:eastAsia="Calibri"/>
              </w:rPr>
            </w:pPr>
          </w:p>
          <w:p w14:paraId="2ED73D3E" w14:textId="77777777" w:rsidR="00D94758" w:rsidRPr="00E0193B" w:rsidRDefault="00D94758" w:rsidP="00D94758">
            <w:pPr>
              <w:spacing w:after="0" w:line="259" w:lineRule="auto"/>
              <w:jc w:val="left"/>
              <w:rPr>
                <w:rFonts w:eastAsia="Calibri"/>
              </w:rPr>
            </w:pPr>
          </w:p>
          <w:p w14:paraId="12555036" w14:textId="77777777" w:rsidR="00D94758" w:rsidRPr="00E0193B" w:rsidRDefault="00D94758" w:rsidP="00D94758">
            <w:pPr>
              <w:spacing w:after="0" w:line="259" w:lineRule="auto"/>
              <w:ind w:left="-6"/>
              <w:jc w:val="left"/>
              <w:rPr>
                <w:rFonts w:eastAsia="Calibri"/>
              </w:rPr>
            </w:pPr>
          </w:p>
          <w:p w14:paraId="6DF2F58A" w14:textId="77777777" w:rsidR="00D94758" w:rsidRPr="00E0193B" w:rsidRDefault="00D94758" w:rsidP="00D94758">
            <w:pPr>
              <w:spacing w:after="0" w:line="259" w:lineRule="auto"/>
              <w:ind w:left="-6"/>
              <w:jc w:val="left"/>
              <w:rPr>
                <w:rFonts w:eastAsia="Calibri"/>
              </w:rPr>
            </w:pPr>
            <w:r w:rsidRPr="00E0193B">
              <w:rPr>
                <w:rFonts w:eastAsia="Calibri"/>
              </w:rPr>
              <w:t>(…) Inwestycja obejmuje modernizację 478 km linii kolejowych, w tym 300 km zgodnie ze standardami TEN-T, do dnia 30 czerwca 2026 r. Odpowiednie umowy finansowe zostaną podpisane do dnia 31 grudnia 2024 r.</w:t>
            </w:r>
          </w:p>
        </w:tc>
        <w:tc>
          <w:tcPr>
            <w:tcW w:w="2020" w:type="pct"/>
            <w:shd w:val="clear" w:color="auto" w:fill="FFFFFF"/>
          </w:tcPr>
          <w:p w14:paraId="1CC2ABBE" w14:textId="77777777" w:rsidR="00D94758" w:rsidRPr="00E0193B" w:rsidRDefault="00D94758" w:rsidP="00D94758">
            <w:pPr>
              <w:ind w:left="55"/>
              <w:contextualSpacing/>
              <w:rPr>
                <w:lang w:val="en-GB"/>
              </w:rPr>
            </w:pPr>
            <w:r w:rsidRPr="00E0193B">
              <w:rPr>
                <w:lang w:val="en-GB"/>
              </w:rPr>
              <w:t xml:space="preserve">Opis inwestycji </w:t>
            </w:r>
          </w:p>
          <w:p w14:paraId="73434E32" w14:textId="367F9338" w:rsidR="00D94758" w:rsidRPr="00E0193B" w:rsidRDefault="00D94758" w:rsidP="00D94758">
            <w:pPr>
              <w:spacing w:after="0" w:line="259" w:lineRule="auto"/>
              <w:ind w:left="-5"/>
              <w:jc w:val="left"/>
              <w:rPr>
                <w:rFonts w:eastAsia="Calibri"/>
                <w:color w:val="FF0000"/>
                <w:lang w:val="en-GB"/>
              </w:rPr>
            </w:pPr>
            <w:r w:rsidRPr="00E0193B">
              <w:rPr>
                <w:rFonts w:eastAsia="Calibri"/>
                <w:color w:val="FF0000"/>
                <w:lang w:val="en-GB"/>
              </w:rPr>
              <w:t xml:space="preserve"> (…) </w:t>
            </w:r>
            <w:r w:rsidRPr="00E0193B">
              <w:rPr>
                <w:rFonts w:eastAsia="Calibri"/>
                <w:lang w:val="en-GB"/>
              </w:rPr>
              <w:t xml:space="preserve">The investment shall consist of the </w:t>
            </w:r>
            <w:r w:rsidRPr="00E0193B">
              <w:rPr>
                <w:rFonts w:eastAsia="Calibri"/>
                <w:color w:val="FF0000"/>
                <w:lang w:val="en-GB"/>
              </w:rPr>
              <w:t>works on 500</w:t>
            </w:r>
            <w:r w:rsidRPr="00E0193B">
              <w:rPr>
                <w:rFonts w:eastAsia="Calibri"/>
                <w:lang w:val="en-GB"/>
              </w:rPr>
              <w:t xml:space="preserve"> km of railways lines, </w:t>
            </w:r>
            <w:r w:rsidRPr="00E0193B">
              <w:rPr>
                <w:rFonts w:eastAsia="Calibri"/>
                <w:color w:val="FF0000"/>
                <w:lang w:val="en-GB"/>
              </w:rPr>
              <w:t>of which 250 km of lines will be revitalised</w:t>
            </w:r>
            <w:r w:rsidRPr="00E0193B">
              <w:rPr>
                <w:rFonts w:eastAsia="Calibri"/>
                <w:lang w:val="en-GB"/>
              </w:rPr>
              <w:t xml:space="preserve"> by </w:t>
            </w:r>
            <w:r w:rsidRPr="00E0193B">
              <w:rPr>
                <w:rFonts w:eastAsia="Calibri"/>
                <w:color w:val="FF0000"/>
                <w:lang w:val="en-GB"/>
              </w:rPr>
              <w:t>31 August</w:t>
            </w:r>
            <w:r w:rsidRPr="00E0193B">
              <w:rPr>
                <w:rFonts w:eastAsia="Calibri"/>
                <w:lang w:val="en-GB"/>
              </w:rPr>
              <w:t xml:space="preserve"> 2026. The corresponding financial agreements shall be signed by 31 December 2024.  </w:t>
            </w:r>
            <w:r w:rsidRPr="00E0193B">
              <w:rPr>
                <w:rFonts w:eastAsia="Calibri"/>
                <w:color w:val="FF0000"/>
                <w:lang w:val="en-GB"/>
              </w:rPr>
              <w:t xml:space="preserve">The investment shall include completion of removal of </w:t>
            </w:r>
            <w:r w:rsidR="00A036BB" w:rsidRPr="00E0193B">
              <w:rPr>
                <w:rFonts w:eastAsia="Calibri"/>
                <w:color w:val="FF0000"/>
                <w:lang w:val="en-GB"/>
              </w:rPr>
              <w:t>18</w:t>
            </w:r>
            <w:r w:rsidRPr="00E0193B">
              <w:rPr>
                <w:rFonts w:eastAsia="Calibri"/>
                <w:color w:val="FF0000"/>
                <w:lang w:val="en-GB"/>
              </w:rPr>
              <w:t xml:space="preserve">0 bottlenecks (including level-crossings concerning installation of automatic controlled safety devices (crossing gate, sound and light signalling systems)). </w:t>
            </w:r>
          </w:p>
          <w:p w14:paraId="781BBA83" w14:textId="77777777" w:rsidR="00D94758" w:rsidRPr="00E0193B" w:rsidRDefault="00D94758" w:rsidP="00D94758">
            <w:pPr>
              <w:spacing w:after="0" w:line="259" w:lineRule="auto"/>
              <w:jc w:val="left"/>
              <w:rPr>
                <w:rFonts w:eastAsia="Calibri"/>
                <w:color w:val="FF0000"/>
                <w:lang w:val="en-GB"/>
              </w:rPr>
            </w:pPr>
          </w:p>
          <w:p w14:paraId="5ACF3896" w14:textId="77777777" w:rsidR="00D94758" w:rsidRPr="00E0193B" w:rsidRDefault="00D94758" w:rsidP="00D94758">
            <w:pPr>
              <w:spacing w:after="0" w:line="259" w:lineRule="auto"/>
              <w:ind w:left="-6"/>
              <w:jc w:val="left"/>
              <w:rPr>
                <w:rFonts w:eastAsia="Calibri"/>
              </w:rPr>
            </w:pPr>
            <w:r w:rsidRPr="00E0193B">
              <w:rPr>
                <w:rFonts w:eastAsia="Calibri"/>
              </w:rPr>
              <w:t xml:space="preserve">(…) Inwestycja obejmuje </w:t>
            </w:r>
            <w:r w:rsidRPr="00E0193B">
              <w:rPr>
                <w:rFonts w:eastAsia="Calibri"/>
                <w:color w:val="FF0000"/>
              </w:rPr>
              <w:t>prace na 500</w:t>
            </w:r>
            <w:r w:rsidRPr="00E0193B">
              <w:rPr>
                <w:rFonts w:eastAsia="Calibri"/>
              </w:rPr>
              <w:t xml:space="preserve"> km linii kolejowych, </w:t>
            </w:r>
            <w:r w:rsidRPr="00E0193B">
              <w:rPr>
                <w:rFonts w:eastAsia="Calibri"/>
                <w:color w:val="FF0000"/>
              </w:rPr>
              <w:t xml:space="preserve">z czego zrewitalizowanych zostanie 250 km linii </w:t>
            </w:r>
            <w:r w:rsidRPr="00E0193B">
              <w:rPr>
                <w:rFonts w:eastAsia="Calibri"/>
              </w:rPr>
              <w:t xml:space="preserve">do dnia </w:t>
            </w:r>
            <w:r w:rsidRPr="00E0193B">
              <w:rPr>
                <w:rFonts w:eastAsia="Calibri"/>
                <w:color w:val="FF0000"/>
              </w:rPr>
              <w:t xml:space="preserve">31 sierpnia </w:t>
            </w:r>
            <w:r w:rsidRPr="00E0193B">
              <w:rPr>
                <w:rFonts w:eastAsia="Calibri"/>
              </w:rPr>
              <w:t>2026 r. Odpowiednie umowy finansowe zostaną podpisane do dnia 31 grudnia 2024 r.</w:t>
            </w:r>
          </w:p>
          <w:p w14:paraId="5ABABC37" w14:textId="49913ACE" w:rsidR="00D94758" w:rsidRPr="00E0193B" w:rsidRDefault="00D94758" w:rsidP="00D94758">
            <w:pPr>
              <w:spacing w:after="0" w:line="259" w:lineRule="auto"/>
              <w:ind w:left="-6"/>
              <w:jc w:val="left"/>
              <w:rPr>
                <w:rFonts w:eastAsia="Calibri"/>
                <w:color w:val="FF0000"/>
              </w:rPr>
            </w:pPr>
            <w:r w:rsidRPr="00E0193B">
              <w:rPr>
                <w:rFonts w:eastAsia="Calibri"/>
                <w:color w:val="FF0000"/>
              </w:rPr>
              <w:t xml:space="preserve">Inwestycja obejmie usunięcie </w:t>
            </w:r>
            <w:r w:rsidR="00A036BB" w:rsidRPr="00E0193B">
              <w:rPr>
                <w:rFonts w:eastAsia="Calibri"/>
                <w:color w:val="FF0000"/>
              </w:rPr>
              <w:t>18</w:t>
            </w:r>
            <w:r w:rsidRPr="00E0193B">
              <w:rPr>
                <w:rFonts w:eastAsia="Calibri"/>
                <w:color w:val="FF0000"/>
              </w:rPr>
              <w:t xml:space="preserve">0 wąskich gardeł w tym na przejazdach kolejowych w zakresie montażu automatycznie sterowanych urządzeń zabezpieczających (bramy przejazdowe, sygnalizacja dźwiękowa i świetlna). </w:t>
            </w:r>
          </w:p>
        </w:tc>
      </w:tr>
      <w:tr w:rsidR="00D94758" w:rsidRPr="00E0193B" w14:paraId="37E13141" w14:textId="77777777" w:rsidTr="00D94758">
        <w:tc>
          <w:tcPr>
            <w:tcW w:w="1068" w:type="pct"/>
            <w:vMerge/>
            <w:shd w:val="clear" w:color="auto" w:fill="FFFFFF"/>
          </w:tcPr>
          <w:p w14:paraId="725B4D6E" w14:textId="77777777" w:rsidR="00D94758" w:rsidRPr="00E0193B" w:rsidRDefault="00D94758" w:rsidP="00D94758">
            <w:pPr>
              <w:spacing w:after="0" w:line="240" w:lineRule="auto"/>
              <w:jc w:val="left"/>
              <w:rPr>
                <w:rFonts w:eastAsia="Calibri"/>
              </w:rPr>
            </w:pPr>
          </w:p>
        </w:tc>
        <w:tc>
          <w:tcPr>
            <w:tcW w:w="1912" w:type="pct"/>
            <w:shd w:val="clear" w:color="auto" w:fill="FFFFFF"/>
          </w:tcPr>
          <w:p w14:paraId="33B66C3F" w14:textId="77777777" w:rsidR="00D94758" w:rsidRPr="00E0193B" w:rsidRDefault="00D94758" w:rsidP="00D94758">
            <w:pPr>
              <w:spacing w:after="0" w:line="240" w:lineRule="auto"/>
              <w:jc w:val="left"/>
              <w:rPr>
                <w:rFonts w:eastAsia="Calibri"/>
                <w:lang w:val="en-GB"/>
              </w:rPr>
            </w:pPr>
            <w:r w:rsidRPr="00E0193B">
              <w:rPr>
                <w:rFonts w:eastAsia="Calibri"/>
                <w:lang w:val="en-GB"/>
              </w:rPr>
              <w:t>E17G</w:t>
            </w:r>
          </w:p>
          <w:p w14:paraId="78638D51" w14:textId="77777777" w:rsidR="00D94758" w:rsidRPr="00E0193B" w:rsidRDefault="00D94758" w:rsidP="00D94758">
            <w:pPr>
              <w:spacing w:after="0" w:line="240" w:lineRule="auto"/>
              <w:jc w:val="left"/>
              <w:rPr>
                <w:rFonts w:eastAsia="Calibri"/>
                <w:i/>
                <w:lang w:val="en-GB"/>
              </w:rPr>
            </w:pPr>
          </w:p>
          <w:p w14:paraId="1E3153DD" w14:textId="77777777" w:rsidR="00D94758" w:rsidRPr="00E0193B" w:rsidRDefault="00D94758" w:rsidP="00D94758">
            <w:pPr>
              <w:spacing w:after="0" w:line="240" w:lineRule="auto"/>
              <w:jc w:val="left"/>
              <w:rPr>
                <w:rFonts w:eastAsia="Calibri"/>
              </w:rPr>
            </w:pPr>
            <w:r w:rsidRPr="00E0193B">
              <w:rPr>
                <w:rFonts w:eastAsia="Calibri"/>
                <w:lang w:val="en-GB"/>
              </w:rPr>
              <w:t xml:space="preserve">Signature of contracts for upgrade of 478km of railways lines to TEN-T standards and electrification. </w:t>
            </w:r>
            <w:r w:rsidRPr="00E0193B">
              <w:rPr>
                <w:rFonts w:eastAsia="Calibri"/>
              </w:rPr>
              <w:t>(…)</w:t>
            </w:r>
          </w:p>
          <w:p w14:paraId="656B0D70" w14:textId="77777777" w:rsidR="00D94758" w:rsidRPr="00E0193B" w:rsidRDefault="00D94758" w:rsidP="00D94758">
            <w:pPr>
              <w:spacing w:after="0" w:line="240" w:lineRule="auto"/>
              <w:jc w:val="left"/>
              <w:rPr>
                <w:rFonts w:eastAsia="Calibri"/>
              </w:rPr>
            </w:pPr>
          </w:p>
          <w:p w14:paraId="56EF7ED1" w14:textId="77777777" w:rsidR="00D94758" w:rsidRPr="00E0193B" w:rsidRDefault="00D94758" w:rsidP="00D94758">
            <w:pPr>
              <w:spacing w:after="0" w:line="240" w:lineRule="auto"/>
              <w:jc w:val="left"/>
              <w:rPr>
                <w:rFonts w:eastAsia="Calibri"/>
              </w:rPr>
            </w:pPr>
            <w:r w:rsidRPr="00E0193B">
              <w:rPr>
                <w:rFonts w:eastAsia="Calibri"/>
              </w:rPr>
              <w:t>Podpisanie umów na modernizację 478 km linii kolejowych zgodnie ze standardami TEN-T oraz elektryfikację (…)</w:t>
            </w:r>
          </w:p>
        </w:tc>
        <w:tc>
          <w:tcPr>
            <w:tcW w:w="2020" w:type="pct"/>
            <w:shd w:val="clear" w:color="auto" w:fill="FFFFFF"/>
          </w:tcPr>
          <w:p w14:paraId="3CE0FECE" w14:textId="77777777" w:rsidR="00D94758" w:rsidRPr="00E0193B" w:rsidRDefault="00D94758" w:rsidP="00D94758">
            <w:pPr>
              <w:spacing w:after="0" w:line="240" w:lineRule="auto"/>
              <w:jc w:val="left"/>
              <w:rPr>
                <w:rFonts w:eastAsia="Calibri"/>
                <w:lang w:val="en-GB"/>
              </w:rPr>
            </w:pPr>
            <w:r w:rsidRPr="00E0193B">
              <w:rPr>
                <w:rFonts w:eastAsia="Calibri"/>
                <w:lang w:val="en-GB"/>
              </w:rPr>
              <w:t>E17G</w:t>
            </w:r>
          </w:p>
          <w:p w14:paraId="1E9BE760" w14:textId="77777777" w:rsidR="00D94758" w:rsidRPr="00E0193B" w:rsidRDefault="00D94758" w:rsidP="00D94758">
            <w:pPr>
              <w:spacing w:after="0" w:line="240" w:lineRule="auto"/>
              <w:jc w:val="left"/>
              <w:rPr>
                <w:rFonts w:eastAsia="Calibri"/>
                <w:i/>
                <w:lang w:val="en-GB"/>
              </w:rPr>
            </w:pPr>
          </w:p>
          <w:p w14:paraId="5E080CBD" w14:textId="77777777" w:rsidR="00D94758" w:rsidRPr="00E0193B" w:rsidRDefault="00D94758" w:rsidP="00D94758">
            <w:pPr>
              <w:spacing w:after="0" w:line="240" w:lineRule="auto"/>
              <w:jc w:val="left"/>
              <w:rPr>
                <w:rFonts w:eastAsia="Calibri"/>
              </w:rPr>
            </w:pPr>
            <w:r w:rsidRPr="00E0193B">
              <w:rPr>
                <w:rFonts w:eastAsia="Calibri"/>
                <w:lang w:val="en-GB"/>
              </w:rPr>
              <w:t xml:space="preserve">Signature of contracts for </w:t>
            </w:r>
            <w:r w:rsidRPr="00E0193B">
              <w:rPr>
                <w:rFonts w:eastAsia="Calibri"/>
                <w:color w:val="FF0000"/>
                <w:lang w:val="en-GB"/>
              </w:rPr>
              <w:t>the works on 500 km of railways lines, of which 250 km of lines will be revitalised</w:t>
            </w:r>
            <w:r w:rsidRPr="00E0193B">
              <w:rPr>
                <w:rFonts w:eastAsia="Calibri"/>
                <w:lang w:val="en-GB"/>
              </w:rPr>
              <w:t xml:space="preserve">. </w:t>
            </w:r>
            <w:r w:rsidRPr="00E0193B">
              <w:rPr>
                <w:rFonts w:eastAsia="Calibri"/>
              </w:rPr>
              <w:t>(…)</w:t>
            </w:r>
          </w:p>
          <w:p w14:paraId="75DD97B5" w14:textId="77777777" w:rsidR="00D94758" w:rsidRPr="00E0193B" w:rsidRDefault="00D94758" w:rsidP="00D94758">
            <w:pPr>
              <w:spacing w:after="0" w:line="240" w:lineRule="auto"/>
              <w:jc w:val="left"/>
              <w:rPr>
                <w:rFonts w:eastAsia="Calibri"/>
              </w:rPr>
            </w:pPr>
          </w:p>
          <w:p w14:paraId="5111EDEB" w14:textId="77777777" w:rsidR="00D94758" w:rsidRPr="00E0193B" w:rsidRDefault="00D94758" w:rsidP="00D94758">
            <w:pPr>
              <w:spacing w:after="0" w:line="240" w:lineRule="auto"/>
              <w:jc w:val="left"/>
              <w:rPr>
                <w:rFonts w:eastAsia="Calibri"/>
              </w:rPr>
            </w:pPr>
            <w:r w:rsidRPr="00E0193B">
              <w:rPr>
                <w:rFonts w:eastAsia="Calibri"/>
              </w:rPr>
              <w:t xml:space="preserve">Podpisanie umów na </w:t>
            </w:r>
            <w:r w:rsidRPr="00E0193B">
              <w:rPr>
                <w:rFonts w:eastAsia="Calibri"/>
                <w:color w:val="FF0000"/>
              </w:rPr>
              <w:t xml:space="preserve">prace na 500 km linii kolejowych, z czego 250 km linii zostanie zrewitalizowanych  </w:t>
            </w:r>
            <w:r w:rsidRPr="00E0193B">
              <w:rPr>
                <w:rFonts w:eastAsia="Calibri"/>
              </w:rPr>
              <w:t>(…)</w:t>
            </w:r>
          </w:p>
        </w:tc>
      </w:tr>
      <w:tr w:rsidR="00D94758" w:rsidRPr="00E0193B" w14:paraId="7F0D93E7" w14:textId="77777777" w:rsidTr="00D94758">
        <w:trPr>
          <w:trHeight w:val="1842"/>
        </w:trPr>
        <w:tc>
          <w:tcPr>
            <w:tcW w:w="1068" w:type="pct"/>
            <w:vMerge/>
            <w:shd w:val="clear" w:color="auto" w:fill="FFFFFF"/>
          </w:tcPr>
          <w:p w14:paraId="552B5F22" w14:textId="77777777" w:rsidR="00D94758" w:rsidRPr="00E0193B" w:rsidRDefault="00D94758" w:rsidP="00D94758">
            <w:pPr>
              <w:spacing w:after="0" w:line="240" w:lineRule="auto"/>
              <w:jc w:val="left"/>
              <w:rPr>
                <w:rFonts w:eastAsia="Calibri"/>
              </w:rPr>
            </w:pPr>
          </w:p>
        </w:tc>
        <w:tc>
          <w:tcPr>
            <w:tcW w:w="1912" w:type="pct"/>
            <w:shd w:val="clear" w:color="auto" w:fill="FFFFFF"/>
          </w:tcPr>
          <w:p w14:paraId="7BED70FE" w14:textId="77777777" w:rsidR="00D94758" w:rsidRPr="00E0193B" w:rsidRDefault="00D94758" w:rsidP="00D94758">
            <w:pPr>
              <w:spacing w:line="259" w:lineRule="auto"/>
              <w:ind w:right="119"/>
              <w:jc w:val="left"/>
              <w:rPr>
                <w:rFonts w:eastAsia="Calibri"/>
                <w:lang w:val="en-GB"/>
              </w:rPr>
            </w:pPr>
            <w:r w:rsidRPr="00E0193B">
              <w:rPr>
                <w:rFonts w:eastAsia="Calibri"/>
                <w:lang w:val="en-GB"/>
              </w:rPr>
              <w:t>E18G</w:t>
            </w:r>
          </w:p>
          <w:p w14:paraId="37F2939F" w14:textId="1BA387D6" w:rsidR="00D94758" w:rsidRPr="00E0193B" w:rsidRDefault="00D94758" w:rsidP="00D63482">
            <w:pPr>
              <w:spacing w:after="0" w:line="238" w:lineRule="auto"/>
              <w:ind w:left="1" w:right="261"/>
              <w:jc w:val="left"/>
              <w:rPr>
                <w:rFonts w:eastAsia="Calibri"/>
                <w:lang w:val="en-GB"/>
              </w:rPr>
            </w:pPr>
            <w:r w:rsidRPr="00E0193B">
              <w:rPr>
                <w:rFonts w:eastAsia="Calibri"/>
                <w:lang w:val="en-GB"/>
              </w:rPr>
              <w:t>Modernisation of 478 km of railways lines, including 300 km with TEN-T standards</w:t>
            </w:r>
          </w:p>
          <w:p w14:paraId="701601F1" w14:textId="77777777" w:rsidR="00D94758" w:rsidRPr="00E0193B" w:rsidRDefault="00D94758" w:rsidP="00D94758">
            <w:pPr>
              <w:spacing w:after="0" w:line="238" w:lineRule="auto"/>
              <w:ind w:left="1" w:right="261"/>
              <w:jc w:val="left"/>
              <w:rPr>
                <w:rFonts w:eastAsia="Calibri"/>
                <w:i/>
              </w:rPr>
            </w:pPr>
            <w:r w:rsidRPr="00E0193B">
              <w:rPr>
                <w:rFonts w:eastAsia="Calibri"/>
              </w:rPr>
              <w:t>Modernizacja 478 km linii kolejowych, w tym 300 km zgodnie ze standardami TEN-T</w:t>
            </w:r>
          </w:p>
          <w:p w14:paraId="175569D2" w14:textId="77777777" w:rsidR="00D94758" w:rsidRPr="00E0193B" w:rsidRDefault="00D94758" w:rsidP="00D94758">
            <w:pPr>
              <w:spacing w:line="259" w:lineRule="auto"/>
              <w:ind w:right="119"/>
              <w:jc w:val="left"/>
              <w:rPr>
                <w:rFonts w:eastAsia="Calibri"/>
                <w:i/>
                <w:lang w:val="en-GB"/>
              </w:rPr>
            </w:pPr>
            <w:r w:rsidRPr="00E0193B">
              <w:rPr>
                <w:rFonts w:eastAsia="Calibri"/>
                <w:i/>
                <w:lang w:val="en-GB"/>
              </w:rPr>
              <w:t xml:space="preserve">Cel: </w:t>
            </w:r>
            <w:r w:rsidRPr="00E0193B">
              <w:rPr>
                <w:rFonts w:eastAsia="Calibri"/>
                <w:lang w:val="en-GB"/>
              </w:rPr>
              <w:t>478 km</w:t>
            </w:r>
          </w:p>
          <w:p w14:paraId="446ACFFD" w14:textId="77777777" w:rsidR="00D94758" w:rsidRPr="00E0193B" w:rsidRDefault="00D94758" w:rsidP="00D94758">
            <w:pPr>
              <w:spacing w:after="0" w:line="238" w:lineRule="auto"/>
              <w:ind w:right="16"/>
              <w:jc w:val="left"/>
              <w:rPr>
                <w:rFonts w:eastAsia="Calibri"/>
                <w:lang w:val="en-GB"/>
              </w:rPr>
            </w:pPr>
            <w:r w:rsidRPr="00E0193B">
              <w:rPr>
                <w:rFonts w:eastAsia="Calibri"/>
                <w:lang w:val="en-GB"/>
              </w:rPr>
              <w:lastRenderedPageBreak/>
              <w:t>Completion of upgrading works on 478 km of railways lines adapting 300 km to TEN-T network requirements (of which 200 km on the TEN-T Core network), 180 km of lines shall be adapted for 250 km/h speed for passenger traffic, 245 km shall allow 100 km/h speed for freight traffic, 120 km of lines shall be electrified, 70 km shall be upgraded to 160km/h speed..</w:t>
            </w:r>
          </w:p>
          <w:p w14:paraId="50BA056F" w14:textId="77777777" w:rsidR="00D94758" w:rsidRPr="00E0193B" w:rsidRDefault="00D94758" w:rsidP="00D94758">
            <w:pPr>
              <w:spacing w:after="0" w:line="238" w:lineRule="auto"/>
              <w:ind w:right="16"/>
              <w:jc w:val="left"/>
              <w:rPr>
                <w:rFonts w:eastAsia="Calibri"/>
                <w:lang w:val="en-AU"/>
              </w:rPr>
            </w:pPr>
          </w:p>
          <w:p w14:paraId="0B6F5C14" w14:textId="77777777" w:rsidR="00D94758" w:rsidRPr="00E0193B" w:rsidRDefault="00D94758" w:rsidP="00D94758">
            <w:pPr>
              <w:spacing w:after="0" w:line="238" w:lineRule="auto"/>
              <w:ind w:right="16"/>
              <w:jc w:val="left"/>
              <w:rPr>
                <w:rFonts w:eastAsia="Calibri"/>
                <w:i/>
              </w:rPr>
            </w:pPr>
            <w:r w:rsidRPr="00E0193B">
              <w:rPr>
                <w:rFonts w:eastAsia="Calibri"/>
              </w:rPr>
              <w:t>Zakończenie prac unowocześniających na 478 km linii kolejowych, polegających na dostosowaniu 300 km do wymogów sieci TEN-T (z czego 200 km na sieci bazowej TEN-T); 180 km linii zostanie przystosowanych do wprowadzenia prędkości 250 km/h dla pociągów pasażerskich, na 245 km możliwa będzie jazda pociągami towarowymi z prędkością 100 km/h, 120 km linii zostanie zelektryfikowanych, 70 km zostanie zmodernizowanych na potrzeby osiągania prędkości 160 km/h</w:t>
            </w:r>
          </w:p>
        </w:tc>
        <w:tc>
          <w:tcPr>
            <w:tcW w:w="2020" w:type="pct"/>
            <w:shd w:val="clear" w:color="auto" w:fill="FFFFFF"/>
          </w:tcPr>
          <w:p w14:paraId="4A2C1C32" w14:textId="77777777" w:rsidR="00D94758" w:rsidRPr="00E0193B" w:rsidRDefault="00D94758" w:rsidP="00D94758">
            <w:pPr>
              <w:spacing w:line="259" w:lineRule="auto"/>
              <w:ind w:right="119"/>
              <w:jc w:val="left"/>
              <w:rPr>
                <w:rFonts w:eastAsia="Calibri"/>
                <w:lang w:val="en-GB"/>
              </w:rPr>
            </w:pPr>
            <w:r w:rsidRPr="00E0193B">
              <w:rPr>
                <w:rFonts w:eastAsia="Calibri"/>
                <w:lang w:val="en-GB"/>
              </w:rPr>
              <w:lastRenderedPageBreak/>
              <w:t>E18G</w:t>
            </w:r>
          </w:p>
          <w:p w14:paraId="19427518" w14:textId="77777777" w:rsidR="00D94758" w:rsidRPr="00E0193B" w:rsidRDefault="00D94758" w:rsidP="00D94758">
            <w:pPr>
              <w:spacing w:after="0" w:line="238" w:lineRule="auto"/>
              <w:ind w:left="1" w:right="261"/>
              <w:jc w:val="left"/>
              <w:rPr>
                <w:rFonts w:eastAsia="Calibri"/>
                <w:strike/>
                <w:color w:val="FF0000"/>
                <w:lang w:val="en-GB"/>
              </w:rPr>
            </w:pPr>
            <w:r w:rsidRPr="00E0193B">
              <w:rPr>
                <w:rFonts w:eastAsia="Calibri"/>
                <w:color w:val="FF0000"/>
                <w:lang w:val="en-GB"/>
              </w:rPr>
              <w:t>Works on 500</w:t>
            </w:r>
            <w:r w:rsidRPr="00E0193B">
              <w:rPr>
                <w:rFonts w:eastAsia="Calibri"/>
                <w:lang w:val="en-GB"/>
              </w:rPr>
              <w:t xml:space="preserve"> km of railways lines, </w:t>
            </w:r>
            <w:r w:rsidRPr="00E0193B">
              <w:rPr>
                <w:rFonts w:eastAsia="Calibri"/>
                <w:color w:val="FF0000"/>
                <w:lang w:val="en-GB"/>
              </w:rPr>
              <w:t xml:space="preserve">of which 250 km of lines will be revitalised </w:t>
            </w:r>
          </w:p>
          <w:p w14:paraId="2592E5C6" w14:textId="77777777" w:rsidR="00D94758" w:rsidRPr="00E0193B" w:rsidRDefault="00D94758" w:rsidP="00D63482">
            <w:pPr>
              <w:spacing w:after="0" w:line="238" w:lineRule="auto"/>
              <w:ind w:right="261"/>
              <w:jc w:val="left"/>
              <w:rPr>
                <w:rFonts w:eastAsia="Calibri"/>
                <w:lang w:val="en-GB"/>
              </w:rPr>
            </w:pPr>
          </w:p>
          <w:p w14:paraId="0F859E6C" w14:textId="77777777" w:rsidR="00D94758" w:rsidRPr="00E0193B" w:rsidRDefault="00D94758" w:rsidP="00D94758">
            <w:pPr>
              <w:spacing w:after="0" w:line="238" w:lineRule="auto"/>
              <w:ind w:left="1" w:right="261"/>
              <w:jc w:val="left"/>
              <w:rPr>
                <w:rFonts w:eastAsia="Calibri"/>
                <w:strike/>
                <w:color w:val="FF0000"/>
              </w:rPr>
            </w:pPr>
            <w:r w:rsidRPr="00E0193B">
              <w:rPr>
                <w:rFonts w:eastAsia="Calibri"/>
                <w:color w:val="FF0000"/>
              </w:rPr>
              <w:t xml:space="preserve">Prace na 500 </w:t>
            </w:r>
            <w:r w:rsidRPr="00E0193B">
              <w:rPr>
                <w:rFonts w:eastAsia="Calibri"/>
              </w:rPr>
              <w:t xml:space="preserve">km linii kolejowych, </w:t>
            </w:r>
            <w:r w:rsidRPr="00E0193B">
              <w:rPr>
                <w:rFonts w:eastAsia="Calibri"/>
                <w:color w:val="FF0000"/>
              </w:rPr>
              <w:t xml:space="preserve">z czego 250 km linii zostanie zrewitalizowanych </w:t>
            </w:r>
          </w:p>
          <w:p w14:paraId="141B3F46" w14:textId="77777777" w:rsidR="00D94758" w:rsidRPr="00E0193B" w:rsidRDefault="00D94758" w:rsidP="00D94758">
            <w:pPr>
              <w:spacing w:line="259" w:lineRule="auto"/>
              <w:ind w:right="119"/>
              <w:jc w:val="left"/>
              <w:rPr>
                <w:rFonts w:eastAsia="Calibri"/>
                <w:i/>
                <w:lang w:val="en-GB"/>
              </w:rPr>
            </w:pPr>
            <w:r w:rsidRPr="00E0193B">
              <w:rPr>
                <w:rFonts w:eastAsia="Calibri"/>
                <w:i/>
                <w:lang w:val="en-GB"/>
              </w:rPr>
              <w:t xml:space="preserve">Cel: </w:t>
            </w:r>
            <w:r w:rsidRPr="00E0193B">
              <w:rPr>
                <w:rFonts w:eastAsia="Calibri"/>
                <w:color w:val="FF0000"/>
                <w:lang w:val="en-GB"/>
              </w:rPr>
              <w:t>500 km</w:t>
            </w:r>
          </w:p>
          <w:p w14:paraId="4B10E38C" w14:textId="77777777" w:rsidR="00D94758" w:rsidRPr="00E0193B" w:rsidRDefault="00D94758" w:rsidP="00D94758">
            <w:pPr>
              <w:spacing w:after="0" w:line="238" w:lineRule="auto"/>
              <w:ind w:right="16"/>
              <w:jc w:val="left"/>
              <w:rPr>
                <w:rFonts w:eastAsia="Calibri"/>
                <w:color w:val="FF0000"/>
                <w:lang w:val="en-GB"/>
              </w:rPr>
            </w:pPr>
            <w:r w:rsidRPr="00E0193B">
              <w:rPr>
                <w:rFonts w:eastAsia="Calibri"/>
                <w:lang w:val="en-GB"/>
              </w:rPr>
              <w:lastRenderedPageBreak/>
              <w:t xml:space="preserve">Completion of </w:t>
            </w:r>
            <w:r w:rsidRPr="00E0193B">
              <w:rPr>
                <w:rFonts w:eastAsia="Calibri"/>
                <w:color w:val="FF0000"/>
                <w:lang w:val="en-GB"/>
              </w:rPr>
              <w:t>works on 500 km of railways lines, of which 250 km of lines will be revitalised.</w:t>
            </w:r>
          </w:p>
          <w:p w14:paraId="61F65DAE" w14:textId="77777777" w:rsidR="00D94758" w:rsidRPr="00E0193B" w:rsidRDefault="00D94758" w:rsidP="00D94758">
            <w:pPr>
              <w:spacing w:after="0" w:line="238" w:lineRule="auto"/>
              <w:ind w:right="16"/>
              <w:jc w:val="left"/>
              <w:rPr>
                <w:rFonts w:eastAsia="Calibri"/>
                <w:lang w:val="en-GB"/>
              </w:rPr>
            </w:pPr>
          </w:p>
          <w:p w14:paraId="4374C4A9" w14:textId="77777777" w:rsidR="00D94758" w:rsidRPr="00E0193B" w:rsidRDefault="00D94758" w:rsidP="00D94758">
            <w:pPr>
              <w:spacing w:after="0" w:line="238" w:lineRule="auto"/>
              <w:ind w:right="16"/>
              <w:jc w:val="left"/>
              <w:rPr>
                <w:rFonts w:eastAsia="Calibri"/>
                <w:lang w:val="en-GB"/>
              </w:rPr>
            </w:pPr>
          </w:p>
          <w:p w14:paraId="71A9692C" w14:textId="77777777" w:rsidR="00D94758" w:rsidRPr="00E0193B" w:rsidRDefault="00D94758" w:rsidP="00D94758">
            <w:pPr>
              <w:spacing w:after="0" w:line="238" w:lineRule="auto"/>
              <w:ind w:right="16"/>
              <w:jc w:val="left"/>
              <w:rPr>
                <w:rFonts w:eastAsia="Calibri"/>
                <w:lang w:val="en-GB"/>
              </w:rPr>
            </w:pPr>
          </w:p>
          <w:p w14:paraId="0B34BEC4" w14:textId="77777777" w:rsidR="00D94758" w:rsidRPr="00E0193B" w:rsidRDefault="00D94758" w:rsidP="00D94758">
            <w:pPr>
              <w:spacing w:after="0" w:line="238" w:lineRule="auto"/>
              <w:ind w:right="16"/>
              <w:jc w:val="left"/>
              <w:rPr>
                <w:rFonts w:eastAsia="Calibri"/>
                <w:lang w:val="en-GB"/>
              </w:rPr>
            </w:pPr>
          </w:p>
          <w:p w14:paraId="01870966" w14:textId="77777777" w:rsidR="00D94758" w:rsidRPr="00E0193B" w:rsidRDefault="00D94758" w:rsidP="00D94758">
            <w:pPr>
              <w:spacing w:after="0" w:line="238" w:lineRule="auto"/>
              <w:ind w:right="16"/>
              <w:jc w:val="left"/>
              <w:rPr>
                <w:rFonts w:eastAsia="Calibri"/>
                <w:lang w:val="en-GB"/>
              </w:rPr>
            </w:pPr>
          </w:p>
          <w:p w14:paraId="34803744" w14:textId="77777777" w:rsidR="00D94758" w:rsidRPr="00E0193B" w:rsidRDefault="00D94758" w:rsidP="00D94758">
            <w:pPr>
              <w:spacing w:after="0" w:line="238" w:lineRule="auto"/>
              <w:ind w:right="16"/>
              <w:jc w:val="left"/>
              <w:rPr>
                <w:rFonts w:eastAsia="Calibri"/>
                <w:lang w:val="en-GB"/>
              </w:rPr>
            </w:pPr>
          </w:p>
          <w:p w14:paraId="35D501CC" w14:textId="77777777" w:rsidR="00D94758" w:rsidRPr="00E0193B" w:rsidRDefault="00D94758" w:rsidP="00D94758">
            <w:pPr>
              <w:spacing w:after="0" w:line="238" w:lineRule="auto"/>
              <w:ind w:right="16"/>
              <w:jc w:val="left"/>
              <w:rPr>
                <w:rFonts w:eastAsia="Calibri"/>
                <w:lang w:val="en-GB"/>
              </w:rPr>
            </w:pPr>
          </w:p>
          <w:p w14:paraId="47B2C923" w14:textId="77777777" w:rsidR="00D94758" w:rsidRPr="00E0193B" w:rsidRDefault="00D94758" w:rsidP="00D94758">
            <w:pPr>
              <w:spacing w:after="0" w:line="238" w:lineRule="auto"/>
              <w:ind w:right="16"/>
              <w:jc w:val="left"/>
              <w:rPr>
                <w:rFonts w:eastAsia="Calibri"/>
                <w:lang w:val="en-GB"/>
              </w:rPr>
            </w:pPr>
          </w:p>
          <w:p w14:paraId="30DB1397" w14:textId="77777777" w:rsidR="00D94758" w:rsidRPr="00E0193B" w:rsidRDefault="00D94758" w:rsidP="00D94758">
            <w:pPr>
              <w:spacing w:after="0" w:line="238" w:lineRule="auto"/>
              <w:ind w:right="16"/>
              <w:jc w:val="left"/>
              <w:rPr>
                <w:rFonts w:eastAsia="Calibri"/>
                <w:lang w:val="en-GB"/>
              </w:rPr>
            </w:pPr>
          </w:p>
          <w:p w14:paraId="45CF2FB7" w14:textId="77777777" w:rsidR="00D63482" w:rsidRDefault="00D63482" w:rsidP="00D94758">
            <w:pPr>
              <w:spacing w:after="0" w:line="238" w:lineRule="auto"/>
              <w:ind w:right="16"/>
              <w:jc w:val="left"/>
              <w:rPr>
                <w:rFonts w:eastAsia="Calibri"/>
                <w:lang w:val="en-GB"/>
              </w:rPr>
            </w:pPr>
          </w:p>
          <w:p w14:paraId="5F8B5375" w14:textId="6B9ECA99" w:rsidR="00D94758" w:rsidRPr="00E0193B" w:rsidRDefault="00D94758" w:rsidP="00D94758">
            <w:pPr>
              <w:spacing w:after="0" w:line="238" w:lineRule="auto"/>
              <w:ind w:right="16"/>
              <w:jc w:val="left"/>
              <w:rPr>
                <w:rFonts w:eastAsia="Calibri"/>
                <w:color w:val="FF0000"/>
              </w:rPr>
            </w:pPr>
            <w:r w:rsidRPr="00E0193B">
              <w:rPr>
                <w:rFonts w:eastAsia="Calibri"/>
              </w:rPr>
              <w:t xml:space="preserve">Zakończenie prac </w:t>
            </w:r>
            <w:r w:rsidRPr="00E0193B">
              <w:rPr>
                <w:rFonts w:eastAsia="Calibri"/>
                <w:color w:val="FF0000"/>
              </w:rPr>
              <w:t>na 500 km linii kolejowych, z czego 250 km linii zostanie zrewitalizowanych.</w:t>
            </w:r>
          </w:p>
        </w:tc>
      </w:tr>
      <w:tr w:rsidR="00D94758" w:rsidRPr="00E0193B" w14:paraId="5C6E779E" w14:textId="77777777" w:rsidTr="00D94758">
        <w:tc>
          <w:tcPr>
            <w:tcW w:w="1068" w:type="pct"/>
            <w:vMerge/>
            <w:shd w:val="clear" w:color="auto" w:fill="FFFFFF"/>
          </w:tcPr>
          <w:p w14:paraId="46F01468" w14:textId="77777777" w:rsidR="00D94758" w:rsidRPr="00E0193B" w:rsidRDefault="00D94758" w:rsidP="00D94758">
            <w:pPr>
              <w:spacing w:after="0" w:line="240" w:lineRule="auto"/>
              <w:jc w:val="left"/>
              <w:rPr>
                <w:rFonts w:eastAsia="Calibri"/>
              </w:rPr>
            </w:pPr>
          </w:p>
        </w:tc>
        <w:tc>
          <w:tcPr>
            <w:tcW w:w="1912" w:type="pct"/>
            <w:shd w:val="clear" w:color="auto" w:fill="FFFFFF"/>
          </w:tcPr>
          <w:p w14:paraId="034BADA1" w14:textId="77777777" w:rsidR="00D94758" w:rsidRPr="00E0193B" w:rsidRDefault="00D94758" w:rsidP="00D94758">
            <w:pPr>
              <w:spacing w:after="0" w:line="240" w:lineRule="auto"/>
              <w:jc w:val="left"/>
              <w:rPr>
                <w:rFonts w:eastAsia="Calibri"/>
              </w:rPr>
            </w:pPr>
            <w:r w:rsidRPr="00E0193B">
              <w:rPr>
                <w:rFonts w:eastAsia="Calibri"/>
              </w:rPr>
              <w:t>Brak / None</w:t>
            </w:r>
          </w:p>
        </w:tc>
        <w:tc>
          <w:tcPr>
            <w:tcW w:w="2020" w:type="pct"/>
            <w:shd w:val="clear" w:color="auto" w:fill="FFFFFF"/>
          </w:tcPr>
          <w:p w14:paraId="0950B6C9" w14:textId="070B4851" w:rsidR="00D94758" w:rsidRPr="00E0193B" w:rsidRDefault="00D94758" w:rsidP="00D94758">
            <w:pPr>
              <w:spacing w:line="259" w:lineRule="auto"/>
              <w:ind w:right="151"/>
              <w:jc w:val="left"/>
              <w:rPr>
                <w:rFonts w:eastAsia="Calibri"/>
                <w:color w:val="FF0000"/>
                <w:lang w:val="en-GB"/>
              </w:rPr>
            </w:pPr>
            <w:r w:rsidRPr="00E0193B">
              <w:rPr>
                <w:rFonts w:eastAsia="Calibri"/>
                <w:color w:val="FF0000"/>
                <w:lang w:val="en-GB"/>
              </w:rPr>
              <w:t xml:space="preserve">Nowy wskaźnik: E18aG Elimination of </w:t>
            </w:r>
            <w:r w:rsidR="00A036BB" w:rsidRPr="00E0193B">
              <w:rPr>
                <w:rFonts w:eastAsia="Calibri"/>
                <w:color w:val="FF0000"/>
                <w:lang w:val="en-GB"/>
              </w:rPr>
              <w:t>18</w:t>
            </w:r>
            <w:r w:rsidRPr="00E0193B">
              <w:rPr>
                <w:rFonts w:eastAsia="Calibri"/>
                <w:color w:val="FF0000"/>
                <w:lang w:val="en-GB"/>
              </w:rPr>
              <w:t>0 bottlenecks</w:t>
            </w:r>
          </w:p>
          <w:p w14:paraId="7880E076" w14:textId="749A493D" w:rsidR="00D94758" w:rsidRPr="00E0193B" w:rsidRDefault="00D94758" w:rsidP="00D94758">
            <w:pPr>
              <w:spacing w:line="259" w:lineRule="auto"/>
              <w:ind w:right="151"/>
              <w:jc w:val="left"/>
              <w:rPr>
                <w:rFonts w:eastAsia="Calibri"/>
                <w:lang w:val="en-GB"/>
              </w:rPr>
            </w:pPr>
            <w:r w:rsidRPr="00E0193B">
              <w:rPr>
                <w:rFonts w:eastAsia="Calibri"/>
                <w:color w:val="FF0000"/>
                <w:lang w:val="en-GB"/>
              </w:rPr>
              <w:t xml:space="preserve">E18aG Eliminacja </w:t>
            </w:r>
            <w:r w:rsidR="00A036BB" w:rsidRPr="00E0193B">
              <w:rPr>
                <w:rFonts w:eastAsia="Calibri"/>
                <w:color w:val="FF0000"/>
                <w:lang w:val="en-GB"/>
              </w:rPr>
              <w:t>18</w:t>
            </w:r>
            <w:r w:rsidRPr="00E0193B">
              <w:rPr>
                <w:rFonts w:eastAsia="Calibri"/>
                <w:color w:val="FF0000"/>
                <w:lang w:val="en-GB"/>
              </w:rPr>
              <w:t>0 wąskich gardeł</w:t>
            </w:r>
          </w:p>
          <w:p w14:paraId="032FFC7B" w14:textId="77777777" w:rsidR="00D94758" w:rsidRPr="00E0193B" w:rsidRDefault="00D94758" w:rsidP="00D94758">
            <w:pPr>
              <w:spacing w:line="259" w:lineRule="auto"/>
              <w:ind w:right="151"/>
              <w:jc w:val="left"/>
              <w:rPr>
                <w:rFonts w:eastAsia="Calibri"/>
                <w:i/>
                <w:lang w:val="en-GB"/>
              </w:rPr>
            </w:pPr>
            <w:r w:rsidRPr="00E0193B">
              <w:rPr>
                <w:rFonts w:eastAsia="Calibri"/>
                <w:i/>
                <w:lang w:val="en-GB"/>
              </w:rPr>
              <w:t>GoalCel</w:t>
            </w:r>
          </w:p>
          <w:p w14:paraId="62F5BB58" w14:textId="78A720D5" w:rsidR="00D94758" w:rsidRPr="00E0193B" w:rsidRDefault="00A036BB" w:rsidP="00D94758">
            <w:pPr>
              <w:spacing w:after="0" w:line="259" w:lineRule="auto"/>
              <w:ind w:left="66" w:right="89"/>
              <w:jc w:val="left"/>
              <w:rPr>
                <w:rFonts w:eastAsia="Calibri"/>
                <w:color w:val="FF0000"/>
                <w:lang w:val="en-GB"/>
              </w:rPr>
            </w:pPr>
            <w:r w:rsidRPr="00E0193B">
              <w:rPr>
                <w:rFonts w:eastAsia="Calibri"/>
                <w:color w:val="FF0000"/>
                <w:lang w:val="en-GB"/>
              </w:rPr>
              <w:t>18</w:t>
            </w:r>
            <w:r w:rsidR="00D94758" w:rsidRPr="00E0193B">
              <w:rPr>
                <w:rFonts w:eastAsia="Calibri"/>
                <w:color w:val="FF0000"/>
                <w:lang w:val="en-GB"/>
              </w:rPr>
              <w:t>0 bottlenecks (including level-crossings)</w:t>
            </w:r>
          </w:p>
          <w:p w14:paraId="082115D0" w14:textId="77777777" w:rsidR="00D94758" w:rsidRPr="00E0193B" w:rsidRDefault="00D94758" w:rsidP="00D94758">
            <w:pPr>
              <w:spacing w:after="0" w:line="259" w:lineRule="auto"/>
              <w:ind w:left="66" w:right="89"/>
              <w:jc w:val="left"/>
              <w:rPr>
                <w:rFonts w:eastAsia="Calibri"/>
                <w:color w:val="FF0000"/>
                <w:lang w:val="en-GB"/>
              </w:rPr>
            </w:pPr>
          </w:p>
          <w:p w14:paraId="784E73D2" w14:textId="2A1DF574" w:rsidR="00D94758" w:rsidRPr="00E0193B" w:rsidRDefault="00A036BB" w:rsidP="00D94758">
            <w:pPr>
              <w:spacing w:after="0" w:line="259" w:lineRule="auto"/>
              <w:ind w:left="66" w:right="89"/>
              <w:jc w:val="left"/>
              <w:rPr>
                <w:rFonts w:eastAsia="Calibri"/>
                <w:color w:val="FF0000"/>
              </w:rPr>
            </w:pPr>
            <w:r w:rsidRPr="00E0193B">
              <w:rPr>
                <w:rFonts w:eastAsia="Calibri"/>
                <w:color w:val="FF0000"/>
              </w:rPr>
              <w:t>18</w:t>
            </w:r>
            <w:r w:rsidR="00D94758" w:rsidRPr="00E0193B">
              <w:rPr>
                <w:rFonts w:eastAsia="Calibri"/>
                <w:color w:val="FF0000"/>
              </w:rPr>
              <w:t>0 wąskich gardeł (włączając przejazdy)</w:t>
            </w:r>
          </w:p>
          <w:p w14:paraId="74BE4662" w14:textId="77777777" w:rsidR="00D94758" w:rsidRPr="00E0193B" w:rsidRDefault="00D94758" w:rsidP="00D94758">
            <w:pPr>
              <w:spacing w:after="0" w:line="259" w:lineRule="auto"/>
              <w:ind w:left="66" w:right="89"/>
              <w:jc w:val="left"/>
              <w:rPr>
                <w:rFonts w:eastAsia="Calibri"/>
                <w:color w:val="FF0000"/>
              </w:rPr>
            </w:pPr>
          </w:p>
          <w:p w14:paraId="429F0A9F" w14:textId="77777777" w:rsidR="00D94758" w:rsidRPr="00E0193B" w:rsidRDefault="00D94758" w:rsidP="00D94758">
            <w:pPr>
              <w:spacing w:line="259" w:lineRule="auto"/>
              <w:jc w:val="left"/>
              <w:rPr>
                <w:rFonts w:eastAsia="Calibri"/>
                <w:color w:val="FF0000"/>
              </w:rPr>
            </w:pPr>
            <w:r w:rsidRPr="00E0193B">
              <w:rPr>
                <w:rFonts w:eastAsia="Calibri"/>
                <w:iCs/>
              </w:rPr>
              <w:t xml:space="preserve">Termin realizacji: </w:t>
            </w:r>
            <w:r w:rsidRPr="00E0193B">
              <w:rPr>
                <w:rFonts w:eastAsia="Calibri"/>
                <w:color w:val="FF0000"/>
              </w:rPr>
              <w:t>Q2 2026</w:t>
            </w:r>
          </w:p>
          <w:p w14:paraId="6A675AB0" w14:textId="12978E80" w:rsidR="00D94758" w:rsidRPr="00E0193B" w:rsidRDefault="00D94758" w:rsidP="00D94758">
            <w:pPr>
              <w:spacing w:after="0" w:line="259" w:lineRule="auto"/>
              <w:ind w:left="66" w:right="89"/>
              <w:jc w:val="left"/>
              <w:rPr>
                <w:rFonts w:eastAsia="Calibri"/>
                <w:color w:val="FF0000"/>
                <w:lang w:val="en-GB"/>
              </w:rPr>
            </w:pPr>
            <w:r w:rsidRPr="00E0193B">
              <w:rPr>
                <w:rFonts w:eastAsia="Calibri"/>
                <w:color w:val="FF0000"/>
                <w:lang w:val="en-GB"/>
              </w:rPr>
              <w:t xml:space="preserve">Completion of works - </w:t>
            </w:r>
            <w:r w:rsidR="00A036BB" w:rsidRPr="00E0193B">
              <w:rPr>
                <w:rFonts w:eastAsia="Calibri"/>
                <w:color w:val="FF0000"/>
                <w:lang w:val="en-GB"/>
              </w:rPr>
              <w:t>18</w:t>
            </w:r>
            <w:r w:rsidRPr="00E0193B">
              <w:rPr>
                <w:rFonts w:eastAsia="Calibri"/>
                <w:color w:val="FF0000"/>
                <w:lang w:val="en-GB"/>
              </w:rPr>
              <w:t>0 bottlenecks shall be removed including level crossings concerning installation of automatic controlled safety devices, which is accompanying to works on railways lines.</w:t>
            </w:r>
          </w:p>
          <w:p w14:paraId="1A0F057B" w14:textId="77777777" w:rsidR="00D94758" w:rsidRPr="00E0193B" w:rsidRDefault="00D94758" w:rsidP="00D94758">
            <w:pPr>
              <w:spacing w:after="0" w:line="259" w:lineRule="auto"/>
              <w:ind w:left="66" w:right="89"/>
              <w:jc w:val="left"/>
              <w:rPr>
                <w:rFonts w:eastAsia="Calibri"/>
                <w:color w:val="FF0000"/>
                <w:lang w:val="en-GB"/>
              </w:rPr>
            </w:pPr>
          </w:p>
          <w:p w14:paraId="4D51F69B" w14:textId="71316CED" w:rsidR="00D94758" w:rsidRPr="00E0193B" w:rsidRDefault="00D94758" w:rsidP="00D94758">
            <w:pPr>
              <w:spacing w:after="0" w:line="259" w:lineRule="auto"/>
              <w:ind w:left="66" w:right="89"/>
              <w:jc w:val="left"/>
              <w:rPr>
                <w:rFonts w:eastAsia="Calibri"/>
                <w:color w:val="FF0000"/>
              </w:rPr>
            </w:pPr>
            <w:r w:rsidRPr="00E0193B">
              <w:rPr>
                <w:rFonts w:eastAsia="Calibri"/>
                <w:color w:val="FF0000"/>
              </w:rPr>
              <w:t xml:space="preserve">Ukończenie prac – </w:t>
            </w:r>
            <w:r w:rsidR="00A036BB" w:rsidRPr="00E0193B">
              <w:rPr>
                <w:rFonts w:eastAsia="Calibri"/>
                <w:color w:val="FF0000"/>
              </w:rPr>
              <w:t>18</w:t>
            </w:r>
            <w:r w:rsidRPr="00E0193B">
              <w:rPr>
                <w:rFonts w:eastAsia="Calibri"/>
                <w:color w:val="FF0000"/>
              </w:rPr>
              <w:t xml:space="preserve">0 wąskich gardeł zostanie usuniętych w tym przejazdy kolejowe w zakresie montażu automatycznie sterowanych urządzeń zabezpieczających, towarzyszących pracom na liniach kolejowych. </w:t>
            </w:r>
          </w:p>
        </w:tc>
      </w:tr>
      <w:tr w:rsidR="00D94758" w:rsidRPr="00E0193B" w14:paraId="611CDB98" w14:textId="77777777" w:rsidTr="00D94758">
        <w:tc>
          <w:tcPr>
            <w:tcW w:w="1068" w:type="pct"/>
            <w:shd w:val="clear" w:color="auto" w:fill="FFFFFF"/>
          </w:tcPr>
          <w:p w14:paraId="14EFC40A" w14:textId="77777777" w:rsidR="00D94758" w:rsidRPr="00E0193B" w:rsidRDefault="00D94758" w:rsidP="00D94758">
            <w:pPr>
              <w:spacing w:after="0" w:line="240" w:lineRule="auto"/>
              <w:jc w:val="left"/>
              <w:rPr>
                <w:rFonts w:eastAsia="Calibri"/>
              </w:rPr>
            </w:pPr>
            <w:r w:rsidRPr="00E0193B">
              <w:rPr>
                <w:rFonts w:eastAsia="Calibri"/>
              </w:rPr>
              <w:t>Uzasadnienie</w:t>
            </w:r>
          </w:p>
        </w:tc>
        <w:tc>
          <w:tcPr>
            <w:tcW w:w="3932" w:type="pct"/>
            <w:gridSpan w:val="2"/>
            <w:shd w:val="clear" w:color="auto" w:fill="FFFFFF"/>
          </w:tcPr>
          <w:p w14:paraId="10D5A04C" w14:textId="77777777" w:rsidR="00625648" w:rsidRPr="00E0193B" w:rsidRDefault="00625648" w:rsidP="00625648">
            <w:pPr>
              <w:spacing w:after="120" w:line="240" w:lineRule="auto"/>
              <w:ind w:left="-5"/>
              <w:jc w:val="left"/>
              <w:rPr>
                <w:rFonts w:eastAsia="Calibri"/>
              </w:rPr>
            </w:pPr>
            <w:r w:rsidRPr="00E0193B">
              <w:rPr>
                <w:rFonts w:eastAsia="Calibri"/>
              </w:rPr>
              <w:t>W ramach dostosowań kolejowych zdecydowano się na zmianę przepisu ze względu na trudności we wdrażaniu szczegółowych podwskaźników. Ponadto należy zauważyć, że proponowana zmiana jest zgodna z obowiązującym przepisem w ramach kolejowego kamienia milowego w innych krajach UE.</w:t>
            </w:r>
          </w:p>
          <w:p w14:paraId="6E733DC0" w14:textId="77777777" w:rsidR="00625648" w:rsidRPr="00E0193B" w:rsidRDefault="00625648" w:rsidP="00625648">
            <w:pPr>
              <w:spacing w:after="120" w:line="240" w:lineRule="auto"/>
              <w:ind w:left="-5"/>
              <w:jc w:val="left"/>
              <w:rPr>
                <w:rFonts w:eastAsia="Calibri"/>
              </w:rPr>
            </w:pPr>
            <w:r w:rsidRPr="00E0193B">
              <w:rPr>
                <w:rFonts w:eastAsia="Calibri"/>
              </w:rPr>
              <w:t>Zmienione podejście umożliwi bardziej przejrzyste monitorowanie osiągania celów pośrednich. Powyższa zmiana ułatwi również osiągnięcie wskaźnika, który dodatkowo został zwiększony z 478 km do 500 km. Z drugiej strony poprzedni wskaźnik (odnoszący się do elektryfikacji linii TEN-T, zwiększenia prędkości do 250 km/h itp.) stanowi dodatkowe ryzyko przy wdrażaniu wskaźników KPO. Biorąc pod uwagę zaawansowany etap realizacji wieloletnich programów inwestycyjnych w infrastrukturę kolejową, Ministerstwo Infrastruktury było w stanie wskazać jedynie pojedyncze inwestycje realizujące tak szczegółowe wskaźniki KPO. Należy również wziąć pod uwagę, że część elementów inwestycyjnych ujętych w obecnym brzmieniu wskaźników inwestycyjnych (tj. związane z nimi dostosowanie parametrów sieci TEN-T) może zostać zrealizowana dopiero po zakończeniu robót budowlanych. W związku z tym nie byłoby możliwe osiągnięcie wszystkich parametrów w terminie określonym w KPO.</w:t>
            </w:r>
          </w:p>
          <w:p w14:paraId="5614ED27" w14:textId="77777777" w:rsidR="00625648" w:rsidRPr="00E0193B" w:rsidRDefault="00625648" w:rsidP="00625648">
            <w:pPr>
              <w:spacing w:after="120" w:line="240" w:lineRule="auto"/>
              <w:ind w:left="-5"/>
              <w:jc w:val="left"/>
              <w:rPr>
                <w:rFonts w:eastAsia="Calibri"/>
              </w:rPr>
            </w:pPr>
            <w:r w:rsidRPr="00E0193B">
              <w:rPr>
                <w:rFonts w:eastAsia="Calibri"/>
              </w:rPr>
              <w:t>Rezygnacja ze szczegółowych wskaźników cząstkowych pozwoli na łatwiejszy wybór linii kolejowych, które mogą zostać zmodernizowane lub zrewitalizowane. Proponowane przez stronę polską zmiany mają również na celu uproszczenie realizacji kamienia milowego zgodnie z zakresem już wskazanym w kosztorysie, w związku z czym proponujemy wprowadzenie dwóch definicji, które odzwierciedlają zakres rzeczowy inwestycji realizowanych już w ramach E2.1.1 Linie kolejowe:</w:t>
            </w:r>
          </w:p>
          <w:p w14:paraId="7BDADB7D" w14:textId="77777777" w:rsidR="00625648" w:rsidRPr="00E0193B" w:rsidRDefault="00625648" w:rsidP="00625648">
            <w:pPr>
              <w:spacing w:after="120" w:line="240" w:lineRule="auto"/>
              <w:ind w:left="-5"/>
              <w:jc w:val="left"/>
              <w:rPr>
                <w:rFonts w:eastAsia="Calibri"/>
              </w:rPr>
            </w:pPr>
            <w:r w:rsidRPr="00E0193B">
              <w:rPr>
                <w:rFonts w:eastAsia="Calibri"/>
              </w:rPr>
              <w:t>1.</w:t>
            </w:r>
            <w:r w:rsidRPr="00E0193B">
              <w:rPr>
                <w:rFonts w:eastAsia="Calibri"/>
              </w:rPr>
              <w:tab/>
              <w:t>Modernizacja polega na podniesieniu parametrów techniczno-eksploatacyjnych odcinków linii kolejowych powyżej parametrów obecnych i przeszłych. W wyniku modernizacji linii osiąga się skrócenie czasu przejazdu, zwiększenie dopuszczalnych obciążeń, poprawę infrastruktury pasażerskiej, zwiększenie przepustowości linii czy obniżenie kosztów operacyjnych.</w:t>
            </w:r>
          </w:p>
          <w:p w14:paraId="162340F3" w14:textId="77777777" w:rsidR="00625648" w:rsidRPr="00E0193B" w:rsidRDefault="00625648" w:rsidP="00625648">
            <w:pPr>
              <w:spacing w:after="120" w:line="240" w:lineRule="auto"/>
              <w:ind w:left="-5"/>
              <w:jc w:val="left"/>
              <w:rPr>
                <w:rFonts w:eastAsia="Calibri"/>
              </w:rPr>
            </w:pPr>
            <w:r w:rsidRPr="00E0193B">
              <w:rPr>
                <w:rFonts w:eastAsia="Calibri"/>
              </w:rPr>
              <w:t>2.</w:t>
            </w:r>
            <w:r w:rsidRPr="00E0193B">
              <w:rPr>
                <w:rFonts w:eastAsia="Calibri"/>
              </w:rPr>
              <w:tab/>
              <w:t>Rewitalizacja polega na przywróceniu maksymalnych parametrów techniczno-eksploatacyjnych linii, które istniały w przeszłości (lub maksymalnych parametrów określonych w przepisach zarządcy infrastruktury), przy jednoczesnym zastosowaniu nowoczesnych rozwiązań technicznych niedostępnych w czasie poprzednich inwestycji na linii. W wyniku rewitalizacji linii uzyskuje się przywrócenie wcześniej osiągniętych czasów przejazdu (lub krótszych) i dopuszczalnych obciążeń, poprawę stanu infrastruktury pasażerskiej, przywrócenie większej przepustowości linii oraz obniżenie kosztów eksploatacji.</w:t>
            </w:r>
          </w:p>
          <w:p w14:paraId="617F6B8A" w14:textId="77777777" w:rsidR="00625648" w:rsidRPr="00E0193B" w:rsidRDefault="00625648" w:rsidP="00625648">
            <w:pPr>
              <w:spacing w:after="120" w:line="240" w:lineRule="auto"/>
              <w:ind w:left="-5"/>
              <w:jc w:val="left"/>
              <w:rPr>
                <w:rFonts w:eastAsia="Calibri"/>
              </w:rPr>
            </w:pPr>
            <w:r w:rsidRPr="00E0193B">
              <w:rPr>
                <w:rFonts w:eastAsia="Calibri"/>
              </w:rPr>
              <w:t xml:space="preserve">Realizacja inwestycji w ramach E2.1.1 odnosi się również do likwidacji wąskich gardeł, przez które należy rozumieć projekty punktowe polegające na budowie lub przebudowie elementów infrastruktury wyróżniających się zmniejszoną przepustowością, np.: stacji, mijanek, obiektów inżynierskich, urządzeń sterowania ruchem w celu wyeliminowania ograniczeń eksploatacyjnych i w efekcie zwiększenia przepustowości na większej części linii lub sieci. Likwidacja wąskich gardeł może polegać m.in. na: dobudowie mijanek, torów stacyjnych lub krawędzi peronowych, budowie blokady liniowej, automatycznych posterunków odstępowych czy bezkolizyjnych skrzyżowań torów. Również wymiana urządzeń przejazdowych na nowszą </w:t>
            </w:r>
            <w:r w:rsidRPr="00E0193B">
              <w:rPr>
                <w:rFonts w:eastAsia="Calibri"/>
              </w:rPr>
              <w:lastRenderedPageBreak/>
              <w:t>generację poprawia przepustowość linii kolejowej, eliminując potrzebę czasowych ograniczeń prędkości. Zakłada się likwidację 180 wąskich gardeł.</w:t>
            </w:r>
          </w:p>
          <w:p w14:paraId="65AE0C5B" w14:textId="7AE88B6B" w:rsidR="008A1AA6" w:rsidRPr="00E0193B" w:rsidRDefault="00625648" w:rsidP="00625648">
            <w:pPr>
              <w:spacing w:after="120" w:line="240" w:lineRule="auto"/>
              <w:ind w:left="-5"/>
              <w:jc w:val="left"/>
              <w:rPr>
                <w:rFonts w:eastAsia="Calibri"/>
              </w:rPr>
            </w:pPr>
            <w:r w:rsidRPr="00E0193B">
              <w:rPr>
                <w:rFonts w:eastAsia="Calibri"/>
              </w:rPr>
              <w:t>Dotychczas zadania związane z likwidacją wąskich gardeł były zapisane w ramach treści KPO jednak nie miały one odzwierciedlenia w ramach CID, co utrudniało zrobienie costingu dla linii kolejowych, jak również utrudniało sprawozdawanie z realizowanych zadań. Nieujmowania powyższego jako wskaźnika nie było właściwym podejściem i rodziło wiele wątpliwości.</w:t>
            </w:r>
          </w:p>
        </w:tc>
      </w:tr>
      <w:tr w:rsidR="00D94758" w:rsidRPr="00E0193B" w14:paraId="497E6F64" w14:textId="77777777" w:rsidTr="00D94758">
        <w:tc>
          <w:tcPr>
            <w:tcW w:w="1068" w:type="pct"/>
            <w:shd w:val="clear" w:color="auto" w:fill="FFFFFF"/>
          </w:tcPr>
          <w:p w14:paraId="2B213C93" w14:textId="77777777" w:rsidR="00D94758" w:rsidRPr="00E0193B" w:rsidRDefault="00D94758" w:rsidP="00D94758">
            <w:pPr>
              <w:spacing w:after="0" w:line="240" w:lineRule="auto"/>
              <w:jc w:val="left"/>
              <w:rPr>
                <w:rFonts w:eastAsia="Calibri"/>
              </w:rPr>
            </w:pPr>
            <w:r w:rsidRPr="00E0193B">
              <w:rPr>
                <w:rFonts w:eastAsia="Calibri"/>
              </w:rPr>
              <w:lastRenderedPageBreak/>
              <w:t>Szacowany koszt</w:t>
            </w:r>
          </w:p>
        </w:tc>
        <w:tc>
          <w:tcPr>
            <w:tcW w:w="3932" w:type="pct"/>
            <w:gridSpan w:val="2"/>
            <w:shd w:val="clear" w:color="auto" w:fill="FFFFFF"/>
          </w:tcPr>
          <w:p w14:paraId="351D8B86" w14:textId="77777777" w:rsidR="00D94758" w:rsidRPr="00E0193B" w:rsidRDefault="00D94758" w:rsidP="00D94758">
            <w:pPr>
              <w:spacing w:after="0" w:line="240" w:lineRule="auto"/>
              <w:jc w:val="left"/>
              <w:rPr>
                <w:rFonts w:eastAsia="Calibri"/>
              </w:rPr>
            </w:pPr>
            <w:r w:rsidRPr="00E0193B">
              <w:rPr>
                <w:rFonts w:eastAsia="Calibri"/>
              </w:rPr>
              <w:t xml:space="preserve">Zmiana nie ma wpływu na szacowany koszt </w:t>
            </w:r>
          </w:p>
        </w:tc>
      </w:tr>
      <w:tr w:rsidR="00D94758" w:rsidRPr="00935797" w14:paraId="0F714395" w14:textId="77777777" w:rsidTr="00D94758">
        <w:tc>
          <w:tcPr>
            <w:tcW w:w="1068" w:type="pct"/>
            <w:shd w:val="clear" w:color="auto" w:fill="FFFFFF"/>
          </w:tcPr>
          <w:p w14:paraId="128435C2" w14:textId="77777777" w:rsidR="00D94758" w:rsidRPr="00E0193B" w:rsidRDefault="00D94758" w:rsidP="00D94758">
            <w:pPr>
              <w:spacing w:after="0" w:line="240" w:lineRule="auto"/>
              <w:jc w:val="left"/>
              <w:rPr>
                <w:rFonts w:eastAsia="Calibri"/>
              </w:rPr>
            </w:pPr>
            <w:r w:rsidRPr="00E0193B">
              <w:rPr>
                <w:rFonts w:eastAsia="Calibri"/>
              </w:rPr>
              <w:t xml:space="preserve">Cyfrowy i klimatyczny tagging </w:t>
            </w:r>
          </w:p>
        </w:tc>
        <w:tc>
          <w:tcPr>
            <w:tcW w:w="3932" w:type="pct"/>
            <w:gridSpan w:val="2"/>
            <w:shd w:val="clear" w:color="auto" w:fill="FFFFFF"/>
          </w:tcPr>
          <w:p w14:paraId="750F1290" w14:textId="750FF102" w:rsidR="00D94758" w:rsidRPr="001C57B7" w:rsidRDefault="00D94758" w:rsidP="00D94758">
            <w:pPr>
              <w:spacing w:line="240" w:lineRule="auto"/>
              <w:rPr>
                <w:rFonts w:eastAsia="Calibri"/>
                <w:lang w:val="en-US"/>
              </w:rPr>
            </w:pPr>
            <w:r w:rsidRPr="00E0193B">
              <w:rPr>
                <w:rFonts w:eastAsia="Calibri"/>
              </w:rPr>
              <w:t xml:space="preserve">Proponowane zmiany mogą mieć wpływ na zmniejszenie kwoty objętej taggingiem.  </w:t>
            </w:r>
            <w:r w:rsidRPr="001C57B7">
              <w:rPr>
                <w:rFonts w:eastAsia="Calibri"/>
                <w:lang w:val="en-US"/>
              </w:rPr>
              <w:t xml:space="preserve">Część linii kolejowych będzie mieć obniżony marker ze 100 % do 40%. </w:t>
            </w:r>
          </w:p>
          <w:p w14:paraId="5E481C44" w14:textId="77777777" w:rsidR="00D94758" w:rsidRPr="00E0193B" w:rsidRDefault="00D94758" w:rsidP="00D94758">
            <w:pPr>
              <w:spacing w:line="240" w:lineRule="auto"/>
              <w:jc w:val="left"/>
              <w:rPr>
                <w:rFonts w:eastAsia="Calibri"/>
                <w:lang w:val="en-GB"/>
              </w:rPr>
            </w:pPr>
            <w:r w:rsidRPr="00E0193B">
              <w:rPr>
                <w:rFonts w:eastAsia="Calibri"/>
                <w:lang w:val="en-GB"/>
              </w:rPr>
              <w:t>The proposed changes may result in a reduction in the amount covered by tagging. Some railway lines will have their marker reduced from 100% to 40%. The changes reduce the amount covered by the 100% marker to 86% of the value.</w:t>
            </w:r>
          </w:p>
        </w:tc>
      </w:tr>
      <w:tr w:rsidR="00D94758" w:rsidRPr="00E0193B" w14:paraId="4C6F6799" w14:textId="77777777" w:rsidTr="00D94758">
        <w:tc>
          <w:tcPr>
            <w:tcW w:w="1068" w:type="pct"/>
            <w:tcBorders>
              <w:bottom w:val="single" w:sz="4" w:space="0" w:color="auto"/>
            </w:tcBorders>
            <w:shd w:val="clear" w:color="auto" w:fill="FFFFFF"/>
          </w:tcPr>
          <w:p w14:paraId="073A6DAB" w14:textId="77777777" w:rsidR="00D94758" w:rsidRPr="00E0193B" w:rsidRDefault="00D94758" w:rsidP="00D94758">
            <w:pPr>
              <w:spacing w:after="0" w:line="240" w:lineRule="auto"/>
              <w:jc w:val="left"/>
              <w:rPr>
                <w:rFonts w:eastAsia="Calibri"/>
              </w:rPr>
            </w:pPr>
            <w:r w:rsidRPr="00E0193B">
              <w:rPr>
                <w:rFonts w:eastAsia="Calibri"/>
              </w:rPr>
              <w:t xml:space="preserve">Zasada DNSH </w:t>
            </w:r>
          </w:p>
        </w:tc>
        <w:tc>
          <w:tcPr>
            <w:tcW w:w="3932" w:type="pct"/>
            <w:gridSpan w:val="2"/>
            <w:tcBorders>
              <w:bottom w:val="single" w:sz="4" w:space="0" w:color="auto"/>
            </w:tcBorders>
            <w:shd w:val="clear" w:color="auto" w:fill="FFFFFF"/>
          </w:tcPr>
          <w:p w14:paraId="678DF7FC" w14:textId="77777777" w:rsidR="00D94758" w:rsidRPr="00E0193B" w:rsidRDefault="00D94758" w:rsidP="00D94758">
            <w:pPr>
              <w:spacing w:after="0" w:line="240" w:lineRule="auto"/>
              <w:jc w:val="left"/>
              <w:rPr>
                <w:rFonts w:eastAsia="Calibri"/>
              </w:rPr>
            </w:pPr>
            <w:r w:rsidRPr="00E0193B">
              <w:rPr>
                <w:rFonts w:eastAsia="Calibri"/>
              </w:rPr>
              <w:t>Zmiana nie ma wpływu na DNSH</w:t>
            </w:r>
          </w:p>
        </w:tc>
      </w:tr>
      <w:tr w:rsidR="00D94758" w:rsidRPr="00E0193B" w14:paraId="6C83E6B1" w14:textId="77777777" w:rsidTr="00D94758">
        <w:tc>
          <w:tcPr>
            <w:tcW w:w="1068" w:type="pct"/>
            <w:tcBorders>
              <w:bottom w:val="single" w:sz="4" w:space="0" w:color="auto"/>
            </w:tcBorders>
            <w:shd w:val="clear" w:color="auto" w:fill="FFFFFF"/>
          </w:tcPr>
          <w:p w14:paraId="68E62562" w14:textId="77777777" w:rsidR="00D94758" w:rsidRPr="00E0193B" w:rsidRDefault="00D94758" w:rsidP="00D94758">
            <w:pPr>
              <w:spacing w:after="0" w:line="240" w:lineRule="auto"/>
              <w:jc w:val="left"/>
              <w:rPr>
                <w:rFonts w:eastAsia="Calibri"/>
              </w:rPr>
            </w:pPr>
            <w:r w:rsidRPr="00E0193B">
              <w:rPr>
                <w:rFonts w:eastAsia="Calibri"/>
              </w:rPr>
              <w:t xml:space="preserve">Pomoc publiczna </w:t>
            </w:r>
          </w:p>
        </w:tc>
        <w:tc>
          <w:tcPr>
            <w:tcW w:w="3932" w:type="pct"/>
            <w:gridSpan w:val="2"/>
            <w:tcBorders>
              <w:bottom w:val="single" w:sz="4" w:space="0" w:color="auto"/>
            </w:tcBorders>
            <w:shd w:val="clear" w:color="auto" w:fill="FFFFFF"/>
          </w:tcPr>
          <w:p w14:paraId="60350168" w14:textId="77777777" w:rsidR="00D94758" w:rsidRPr="00E0193B" w:rsidRDefault="00D94758" w:rsidP="00D94758">
            <w:pPr>
              <w:spacing w:after="0" w:line="240" w:lineRule="auto"/>
              <w:jc w:val="left"/>
              <w:rPr>
                <w:rFonts w:eastAsia="Calibri"/>
              </w:rPr>
            </w:pPr>
            <w:r w:rsidRPr="00E0193B">
              <w:rPr>
                <w:rFonts w:eastAsia="Calibri"/>
              </w:rPr>
              <w:t xml:space="preserve">Nie dotyczy/ </w:t>
            </w:r>
            <w:r w:rsidRPr="00E0193B">
              <w:rPr>
                <w:rFonts w:eastAsia="Calibri"/>
                <w:lang w:val="en"/>
              </w:rPr>
              <w:t>Not applicable</w:t>
            </w:r>
          </w:p>
        </w:tc>
      </w:tr>
    </w:tbl>
    <w:p w14:paraId="1B36146E" w14:textId="77777777" w:rsidR="00D94758" w:rsidRPr="00E0193B" w:rsidRDefault="00D94758" w:rsidP="00D94758">
      <w:pPr>
        <w:spacing w:line="240" w:lineRule="auto"/>
        <w:jc w:val="left"/>
        <w:rPr>
          <w:rFonts w:eastAsia="Calibri"/>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26"/>
        <w:gridCol w:w="3448"/>
        <w:gridCol w:w="3642"/>
      </w:tblGrid>
      <w:tr w:rsidR="00D94758" w:rsidRPr="00E0193B" w14:paraId="69D3EDB2" w14:textId="77777777" w:rsidTr="00D94758">
        <w:tc>
          <w:tcPr>
            <w:tcW w:w="1068" w:type="pct"/>
            <w:shd w:val="clear" w:color="auto" w:fill="FFFFFF"/>
          </w:tcPr>
          <w:p w14:paraId="04BA8AD1" w14:textId="77777777" w:rsidR="00D94758" w:rsidRPr="00E0193B" w:rsidRDefault="00D94758" w:rsidP="00D94758">
            <w:pPr>
              <w:spacing w:after="0" w:line="240" w:lineRule="auto"/>
              <w:jc w:val="left"/>
              <w:rPr>
                <w:rFonts w:eastAsia="Calibri"/>
                <w:b/>
                <w:bCs/>
              </w:rPr>
            </w:pPr>
            <w:r w:rsidRPr="00E0193B">
              <w:rPr>
                <w:rFonts w:eastAsia="Calibri"/>
                <w:b/>
                <w:bCs/>
              </w:rPr>
              <w:t>Numer inwestycji</w:t>
            </w:r>
          </w:p>
        </w:tc>
        <w:tc>
          <w:tcPr>
            <w:tcW w:w="3932" w:type="pct"/>
            <w:gridSpan w:val="2"/>
            <w:shd w:val="clear" w:color="auto" w:fill="FFFFFF"/>
          </w:tcPr>
          <w:p w14:paraId="036C3904" w14:textId="77777777" w:rsidR="00D94758" w:rsidRPr="00E0193B" w:rsidRDefault="00D94758" w:rsidP="00D94758">
            <w:pPr>
              <w:spacing w:line="240" w:lineRule="auto"/>
              <w:ind w:firstLine="21"/>
              <w:contextualSpacing/>
              <w:rPr>
                <w:b/>
                <w:bCs/>
              </w:rPr>
            </w:pPr>
            <w:r w:rsidRPr="00E0193B">
              <w:rPr>
                <w:b/>
                <w:bCs/>
              </w:rPr>
              <w:t xml:space="preserve">E2.1.2. </w:t>
            </w:r>
          </w:p>
        </w:tc>
      </w:tr>
      <w:tr w:rsidR="00D94758" w:rsidRPr="00E0193B" w14:paraId="5A4D9560" w14:textId="77777777" w:rsidTr="008C1B0D">
        <w:tc>
          <w:tcPr>
            <w:tcW w:w="1068" w:type="pct"/>
          </w:tcPr>
          <w:p w14:paraId="0252BC0E" w14:textId="77777777" w:rsidR="00D94758" w:rsidRPr="00E0193B" w:rsidRDefault="00D94758" w:rsidP="00D94758">
            <w:pPr>
              <w:spacing w:line="240" w:lineRule="auto"/>
              <w:contextualSpacing/>
              <w:rPr>
                <w:b/>
                <w:bCs/>
              </w:rPr>
            </w:pPr>
            <w:r w:rsidRPr="00E0193B">
              <w:rPr>
                <w:b/>
                <w:bCs/>
              </w:rPr>
              <w:t xml:space="preserve">Nazwa inwestycji </w:t>
            </w:r>
          </w:p>
        </w:tc>
        <w:tc>
          <w:tcPr>
            <w:tcW w:w="3932" w:type="pct"/>
            <w:gridSpan w:val="2"/>
          </w:tcPr>
          <w:p w14:paraId="3B051843" w14:textId="77777777" w:rsidR="00D94758" w:rsidRPr="00E0193B" w:rsidRDefault="00D94758" w:rsidP="00D94758">
            <w:pPr>
              <w:spacing w:line="240" w:lineRule="auto"/>
              <w:ind w:left="-24"/>
              <w:contextualSpacing/>
              <w:rPr>
                <w:b/>
                <w:bCs/>
              </w:rPr>
            </w:pPr>
            <w:r w:rsidRPr="00E0193B">
              <w:rPr>
                <w:b/>
                <w:bCs/>
              </w:rPr>
              <w:t>Pasażerski tabor kolejowy</w:t>
            </w:r>
          </w:p>
          <w:p w14:paraId="4D809E81" w14:textId="77777777" w:rsidR="00D94758" w:rsidRPr="00E0193B" w:rsidRDefault="00D94758" w:rsidP="00D94758">
            <w:pPr>
              <w:spacing w:line="240" w:lineRule="auto"/>
              <w:ind w:left="720"/>
              <w:contextualSpacing/>
              <w:rPr>
                <w:b/>
                <w:bCs/>
              </w:rPr>
            </w:pPr>
          </w:p>
        </w:tc>
      </w:tr>
      <w:tr w:rsidR="00D94758" w:rsidRPr="00E0193B" w14:paraId="1CAC73B7" w14:textId="77777777" w:rsidTr="008C1B0D">
        <w:tc>
          <w:tcPr>
            <w:tcW w:w="1068" w:type="pct"/>
          </w:tcPr>
          <w:p w14:paraId="6D686DE5" w14:textId="77777777" w:rsidR="00D94758" w:rsidRPr="00E0193B" w:rsidRDefault="00D94758" w:rsidP="00D94758">
            <w:pPr>
              <w:spacing w:line="240" w:lineRule="auto"/>
              <w:ind w:left="67"/>
              <w:contextualSpacing/>
            </w:pPr>
            <w:r w:rsidRPr="00E0193B">
              <w:t>Rodzaj wprowadzonej zmiany w odniesieniu do CID</w:t>
            </w:r>
          </w:p>
        </w:tc>
        <w:tc>
          <w:tcPr>
            <w:tcW w:w="3932" w:type="pct"/>
            <w:gridSpan w:val="2"/>
          </w:tcPr>
          <w:p w14:paraId="5A4CEB37" w14:textId="77777777" w:rsidR="00D94758" w:rsidRPr="00E0193B" w:rsidRDefault="00D94758" w:rsidP="00D94758">
            <w:pPr>
              <w:spacing w:line="240" w:lineRule="auto"/>
              <w:ind w:left="67"/>
              <w:contextualSpacing/>
            </w:pPr>
            <w:r w:rsidRPr="00E0193B">
              <w:t xml:space="preserve">Modyfikacja opisu oraz zmiana wartości wskaźnika E19aG oraz wartości początkowej wskaźnika E20G. Przesunięcie terminu realizacji wskaźnika E19G </w:t>
            </w:r>
          </w:p>
          <w:p w14:paraId="53E89517" w14:textId="77777777" w:rsidR="00D94758" w:rsidRPr="00E0193B" w:rsidRDefault="00D94758" w:rsidP="00D94758">
            <w:pPr>
              <w:spacing w:line="240" w:lineRule="auto"/>
              <w:ind w:left="67"/>
              <w:contextualSpacing/>
            </w:pPr>
          </w:p>
        </w:tc>
      </w:tr>
      <w:tr w:rsidR="00D94758" w:rsidRPr="00E0193B" w14:paraId="11FFAF38" w14:textId="77777777" w:rsidTr="00D94758">
        <w:tc>
          <w:tcPr>
            <w:tcW w:w="1068" w:type="pct"/>
            <w:shd w:val="clear" w:color="auto" w:fill="FFFFFF"/>
          </w:tcPr>
          <w:p w14:paraId="1EDFFD96" w14:textId="77777777" w:rsidR="00D94758" w:rsidRPr="00E0193B" w:rsidRDefault="00D94758" w:rsidP="00D94758">
            <w:pPr>
              <w:spacing w:line="240" w:lineRule="auto"/>
              <w:ind w:left="67"/>
              <w:contextualSpacing/>
            </w:pPr>
            <w:r w:rsidRPr="00E0193B">
              <w:t>Podstawa prawna zmiany</w:t>
            </w:r>
          </w:p>
        </w:tc>
        <w:tc>
          <w:tcPr>
            <w:tcW w:w="3932" w:type="pct"/>
            <w:gridSpan w:val="2"/>
            <w:shd w:val="clear" w:color="auto" w:fill="FFFFFF"/>
          </w:tcPr>
          <w:p w14:paraId="12102F9F" w14:textId="77777777" w:rsidR="00D94758" w:rsidRPr="00E0193B" w:rsidRDefault="00D94758" w:rsidP="00D94758">
            <w:pPr>
              <w:spacing w:after="0" w:line="240" w:lineRule="auto"/>
              <w:jc w:val="left"/>
              <w:rPr>
                <w:rFonts w:eastAsia="Calibri"/>
              </w:rPr>
            </w:pPr>
            <w:r w:rsidRPr="00E0193B">
              <w:rPr>
                <w:rFonts w:eastAsia="Calibri"/>
              </w:rPr>
              <w:t>art. 21 rozporządzenia Parlamentu Europejskiego i Rady (UE) 2021/241 z dnia 12 lutego 2021 r. ustanawiające Instrument na rzecz Odbudowy i Zwiększania Odporności</w:t>
            </w:r>
            <w:r w:rsidRPr="00E0193B" w:rsidDel="00A106E1">
              <w:rPr>
                <w:rFonts w:eastAsia="Calibri"/>
              </w:rPr>
              <w:t xml:space="preserve"> </w:t>
            </w:r>
          </w:p>
        </w:tc>
      </w:tr>
      <w:tr w:rsidR="00D94758" w:rsidRPr="00E0193B" w14:paraId="071B54D2" w14:textId="77777777" w:rsidTr="00D94758">
        <w:tc>
          <w:tcPr>
            <w:tcW w:w="1068" w:type="pct"/>
            <w:shd w:val="clear" w:color="auto" w:fill="D9D9D9"/>
          </w:tcPr>
          <w:p w14:paraId="18F1C3A0" w14:textId="77777777" w:rsidR="00D94758" w:rsidRPr="00E0193B" w:rsidRDefault="00D94758" w:rsidP="00D94758">
            <w:pPr>
              <w:spacing w:after="0" w:line="240" w:lineRule="auto"/>
              <w:jc w:val="left"/>
              <w:rPr>
                <w:rFonts w:eastAsia="Calibri"/>
                <w:highlight w:val="lightGray"/>
              </w:rPr>
            </w:pPr>
            <w:r w:rsidRPr="00E0193B">
              <w:rPr>
                <w:rFonts w:eastAsia="Calibri"/>
                <w:highlight w:val="lightGray"/>
              </w:rPr>
              <w:t>Modyfikowany element</w:t>
            </w:r>
          </w:p>
        </w:tc>
        <w:tc>
          <w:tcPr>
            <w:tcW w:w="1912" w:type="pct"/>
            <w:shd w:val="clear" w:color="auto" w:fill="D9D9D9"/>
          </w:tcPr>
          <w:p w14:paraId="0DEA8128" w14:textId="77777777" w:rsidR="00D94758" w:rsidRPr="00E0193B" w:rsidRDefault="00D94758" w:rsidP="00D94758">
            <w:pPr>
              <w:spacing w:after="0" w:line="240" w:lineRule="auto"/>
              <w:jc w:val="center"/>
              <w:rPr>
                <w:rFonts w:eastAsia="Calibri"/>
                <w:highlight w:val="lightGray"/>
              </w:rPr>
            </w:pPr>
            <w:r w:rsidRPr="00E0193B">
              <w:rPr>
                <w:rFonts w:eastAsia="Calibri"/>
                <w:highlight w:val="lightGray"/>
              </w:rPr>
              <w:t>Wersja aktualna</w:t>
            </w:r>
          </w:p>
        </w:tc>
        <w:tc>
          <w:tcPr>
            <w:tcW w:w="2020" w:type="pct"/>
            <w:shd w:val="clear" w:color="auto" w:fill="D9D9D9"/>
          </w:tcPr>
          <w:p w14:paraId="78699F90" w14:textId="77777777" w:rsidR="00D94758" w:rsidRPr="00E0193B" w:rsidRDefault="00D94758" w:rsidP="00D94758">
            <w:pPr>
              <w:spacing w:after="0" w:line="240" w:lineRule="auto"/>
              <w:jc w:val="center"/>
              <w:rPr>
                <w:rFonts w:eastAsia="Calibri"/>
                <w:highlight w:val="lightGray"/>
              </w:rPr>
            </w:pPr>
            <w:r w:rsidRPr="00E0193B">
              <w:rPr>
                <w:rFonts w:eastAsia="Calibri"/>
                <w:highlight w:val="lightGray"/>
              </w:rPr>
              <w:t>Wersja zmieniona</w:t>
            </w:r>
          </w:p>
        </w:tc>
      </w:tr>
      <w:tr w:rsidR="00D94758" w:rsidRPr="00E0193B" w14:paraId="713BA6D7" w14:textId="77777777" w:rsidTr="008C1B0D">
        <w:tc>
          <w:tcPr>
            <w:tcW w:w="1068" w:type="pct"/>
          </w:tcPr>
          <w:p w14:paraId="3E91B95B" w14:textId="77777777" w:rsidR="00D94758" w:rsidRPr="00E0193B" w:rsidRDefault="00D94758" w:rsidP="00D94758">
            <w:pPr>
              <w:spacing w:after="0" w:line="240" w:lineRule="auto"/>
              <w:jc w:val="left"/>
              <w:rPr>
                <w:rFonts w:eastAsia="Calibri"/>
              </w:rPr>
            </w:pPr>
            <w:r w:rsidRPr="00E0193B">
              <w:rPr>
                <w:rFonts w:eastAsia="Calibri"/>
              </w:rPr>
              <w:t>Opis kamienia milowego lub wskaźnika.</w:t>
            </w:r>
          </w:p>
        </w:tc>
        <w:tc>
          <w:tcPr>
            <w:tcW w:w="1912" w:type="pct"/>
          </w:tcPr>
          <w:p w14:paraId="7780B351" w14:textId="77777777" w:rsidR="00D94758" w:rsidRPr="00E0193B" w:rsidRDefault="00D94758" w:rsidP="00D94758">
            <w:pPr>
              <w:spacing w:after="0" w:line="240" w:lineRule="auto"/>
              <w:jc w:val="left"/>
              <w:rPr>
                <w:rFonts w:eastAsia="Calibri"/>
                <w:lang w:val="en-GB"/>
              </w:rPr>
            </w:pPr>
            <w:r w:rsidRPr="00E0193B">
              <w:rPr>
                <w:rFonts w:eastAsia="Calibri"/>
                <w:lang w:val="en-GB"/>
              </w:rPr>
              <w:t>E19G</w:t>
            </w:r>
          </w:p>
          <w:p w14:paraId="1F6C33C6" w14:textId="77777777" w:rsidR="00D94758" w:rsidRPr="00E0193B" w:rsidRDefault="00D94758" w:rsidP="00D94758">
            <w:pPr>
              <w:spacing w:after="0" w:line="240" w:lineRule="auto"/>
              <w:jc w:val="left"/>
              <w:rPr>
                <w:rFonts w:eastAsia="Calibri"/>
                <w:i/>
                <w:lang w:val="en-GB"/>
              </w:rPr>
            </w:pPr>
            <w:r w:rsidRPr="00E0193B">
              <w:rPr>
                <w:rFonts w:eastAsia="Calibri"/>
                <w:i/>
                <w:lang w:val="en-GB"/>
              </w:rPr>
              <w:t>Timeline/Harmonogram</w:t>
            </w:r>
          </w:p>
          <w:p w14:paraId="150AE476" w14:textId="77777777" w:rsidR="00D94758" w:rsidRPr="00E0193B" w:rsidRDefault="00D94758" w:rsidP="00D94758">
            <w:pPr>
              <w:spacing w:after="0" w:line="240" w:lineRule="auto"/>
              <w:jc w:val="left"/>
              <w:rPr>
                <w:rFonts w:eastAsia="Calibri"/>
                <w:lang w:val="en-GB"/>
              </w:rPr>
            </w:pPr>
            <w:r w:rsidRPr="00E0193B">
              <w:rPr>
                <w:rFonts w:eastAsia="Calibri"/>
                <w:lang w:val="en-GB"/>
              </w:rPr>
              <w:t>Q1 2024</w:t>
            </w:r>
          </w:p>
          <w:p w14:paraId="5DEB38D0" w14:textId="77777777" w:rsidR="00D94758" w:rsidRPr="00E0193B" w:rsidRDefault="00D94758" w:rsidP="00D94758">
            <w:pPr>
              <w:spacing w:after="0" w:line="240" w:lineRule="auto"/>
              <w:jc w:val="left"/>
              <w:rPr>
                <w:rFonts w:eastAsia="Calibri"/>
                <w:lang w:val="en-GB"/>
              </w:rPr>
            </w:pPr>
          </w:p>
          <w:p w14:paraId="23EF7B60" w14:textId="77777777" w:rsidR="00D94758" w:rsidRPr="00E0193B" w:rsidRDefault="00D94758" w:rsidP="00D94758">
            <w:pPr>
              <w:spacing w:after="0" w:line="240" w:lineRule="auto"/>
              <w:jc w:val="left"/>
              <w:rPr>
                <w:rFonts w:eastAsia="Calibri"/>
                <w:lang w:val="en-GB"/>
              </w:rPr>
            </w:pPr>
            <w:r w:rsidRPr="00E0193B">
              <w:rPr>
                <w:rFonts w:eastAsia="Calibri"/>
                <w:lang w:val="en-GB"/>
              </w:rPr>
              <w:t>(…)signed for 71 units zero-emission / electric (…)</w:t>
            </w:r>
          </w:p>
          <w:p w14:paraId="355CD65C" w14:textId="77777777" w:rsidR="00D94758" w:rsidRPr="00E0193B" w:rsidRDefault="00D94758" w:rsidP="00D94758">
            <w:pPr>
              <w:spacing w:line="240" w:lineRule="auto"/>
              <w:contextualSpacing/>
            </w:pPr>
            <w:r w:rsidRPr="00E0193B">
              <w:t>(…) podpisane zostaną umowy na dostawę 71 jednostek zeroemisyjnego/elektrycznego (…)</w:t>
            </w:r>
          </w:p>
          <w:p w14:paraId="45986203" w14:textId="77777777" w:rsidR="00D94758" w:rsidRPr="00E0193B" w:rsidRDefault="00D94758" w:rsidP="00D94758">
            <w:pPr>
              <w:spacing w:line="240" w:lineRule="auto"/>
              <w:contextualSpacing/>
            </w:pPr>
          </w:p>
          <w:p w14:paraId="01F4D7B9" w14:textId="77777777" w:rsidR="00D94758" w:rsidRPr="00E0193B" w:rsidRDefault="00D94758" w:rsidP="00D94758">
            <w:pPr>
              <w:spacing w:line="240" w:lineRule="auto"/>
              <w:contextualSpacing/>
              <w:rPr>
                <w:lang w:val="en-GB"/>
              </w:rPr>
            </w:pPr>
            <w:r w:rsidRPr="00E0193B">
              <w:rPr>
                <w:lang w:val="en-GB"/>
              </w:rPr>
              <w:t>E19aG</w:t>
            </w:r>
          </w:p>
          <w:p w14:paraId="29048463" w14:textId="77777777" w:rsidR="00D94758" w:rsidRPr="00E0193B" w:rsidRDefault="00D94758" w:rsidP="00D94758">
            <w:pPr>
              <w:spacing w:line="240" w:lineRule="auto"/>
              <w:contextualSpacing/>
              <w:rPr>
                <w:i/>
                <w:lang w:val="en-GB"/>
              </w:rPr>
            </w:pPr>
            <w:r w:rsidRPr="00E0193B">
              <w:rPr>
                <w:i/>
                <w:lang w:val="en-GB"/>
              </w:rPr>
              <w:t>Goal/Cel</w:t>
            </w:r>
          </w:p>
          <w:p w14:paraId="2D579BF1" w14:textId="77777777" w:rsidR="00D94758" w:rsidRPr="00E0193B" w:rsidRDefault="00D94758" w:rsidP="00D94758">
            <w:pPr>
              <w:spacing w:after="0" w:line="240" w:lineRule="auto"/>
              <w:ind w:left="-6"/>
              <w:jc w:val="left"/>
              <w:rPr>
                <w:rFonts w:eastAsia="Calibri"/>
                <w:lang w:val="en-GB"/>
              </w:rPr>
            </w:pPr>
            <w:r w:rsidRPr="00E0193B">
              <w:rPr>
                <w:rFonts w:eastAsia="Calibri"/>
                <w:lang w:val="en-GB"/>
              </w:rPr>
              <w:t>199 </w:t>
            </w:r>
          </w:p>
          <w:p w14:paraId="15062C18" w14:textId="77777777" w:rsidR="00D94758" w:rsidRPr="00E0193B" w:rsidRDefault="00D94758" w:rsidP="00D94758">
            <w:pPr>
              <w:spacing w:after="0" w:line="240" w:lineRule="auto"/>
              <w:jc w:val="left"/>
              <w:rPr>
                <w:rFonts w:eastAsia="Calibri"/>
                <w:lang w:val="en-GB"/>
              </w:rPr>
            </w:pPr>
            <w:r w:rsidRPr="00E0193B">
              <w:rPr>
                <w:rFonts w:eastAsia="Calibri"/>
                <w:lang w:val="en-GB"/>
              </w:rPr>
              <w:t xml:space="preserve">Delivery of 16 new locomotives and 183 modernized wagons for long-distance lines. </w:t>
            </w:r>
          </w:p>
          <w:p w14:paraId="28D64965" w14:textId="77777777" w:rsidR="00D94758" w:rsidRPr="00E0193B" w:rsidRDefault="00D94758" w:rsidP="00D94758">
            <w:pPr>
              <w:spacing w:after="0" w:line="240" w:lineRule="auto"/>
              <w:jc w:val="left"/>
              <w:rPr>
                <w:rFonts w:eastAsia="Calibri"/>
              </w:rPr>
            </w:pPr>
            <w:r w:rsidRPr="00E0193B">
              <w:rPr>
                <w:rFonts w:eastAsia="Calibri"/>
              </w:rPr>
              <w:t>Dostawa 16 nowych lokomotyw i 183 zmodernizowanych wagonów przeznaczonych na linie długodystansowe.</w:t>
            </w:r>
          </w:p>
          <w:p w14:paraId="3FCA75C4" w14:textId="77777777" w:rsidR="00D94758" w:rsidRPr="00E0193B" w:rsidRDefault="00D94758" w:rsidP="00D94758">
            <w:pPr>
              <w:spacing w:after="0" w:line="240" w:lineRule="auto"/>
              <w:jc w:val="left"/>
              <w:rPr>
                <w:rFonts w:eastAsia="Calibri"/>
              </w:rPr>
            </w:pPr>
          </w:p>
          <w:p w14:paraId="5514C462" w14:textId="77777777" w:rsidR="00D94758" w:rsidRPr="00E0193B" w:rsidRDefault="00D94758" w:rsidP="00D94758">
            <w:pPr>
              <w:spacing w:after="0" w:line="240" w:lineRule="auto"/>
              <w:ind w:left="-6"/>
              <w:jc w:val="left"/>
              <w:rPr>
                <w:rFonts w:eastAsia="Calibri"/>
                <w:lang w:val="en-GB"/>
              </w:rPr>
            </w:pPr>
            <w:r w:rsidRPr="00E0193B">
              <w:rPr>
                <w:rFonts w:eastAsia="Calibri"/>
                <w:lang w:val="en-GB"/>
              </w:rPr>
              <w:t>E20G</w:t>
            </w:r>
          </w:p>
          <w:p w14:paraId="18BEB7D3" w14:textId="77777777" w:rsidR="00D94758" w:rsidRPr="00E0193B" w:rsidRDefault="00D94758" w:rsidP="00D94758">
            <w:pPr>
              <w:spacing w:after="0" w:line="240" w:lineRule="auto"/>
              <w:ind w:left="-6"/>
              <w:jc w:val="left"/>
              <w:rPr>
                <w:rFonts w:eastAsia="Calibri"/>
                <w:i/>
                <w:lang w:val="en-GB"/>
              </w:rPr>
            </w:pPr>
            <w:r w:rsidRPr="00E0193B">
              <w:rPr>
                <w:rFonts w:eastAsia="Calibri"/>
                <w:i/>
                <w:lang w:val="en-GB"/>
              </w:rPr>
              <w:t>Baseline/ Poziom bazowy</w:t>
            </w:r>
          </w:p>
          <w:p w14:paraId="679ED36C" w14:textId="77777777" w:rsidR="00D94758" w:rsidRPr="00E0193B" w:rsidRDefault="00D94758" w:rsidP="00D94758">
            <w:pPr>
              <w:spacing w:after="0" w:line="240" w:lineRule="auto"/>
              <w:ind w:left="-6"/>
              <w:jc w:val="left"/>
              <w:rPr>
                <w:rFonts w:eastAsia="Calibri"/>
                <w:lang w:val="en-GB"/>
              </w:rPr>
            </w:pPr>
            <w:r w:rsidRPr="00E0193B">
              <w:rPr>
                <w:rFonts w:eastAsia="Calibri"/>
                <w:lang w:val="en-GB"/>
              </w:rPr>
              <w:t xml:space="preserve">199 </w:t>
            </w:r>
          </w:p>
          <w:p w14:paraId="5321B1CC" w14:textId="77777777" w:rsidR="00D94758" w:rsidRPr="00E0193B" w:rsidRDefault="00D94758" w:rsidP="00D94758">
            <w:pPr>
              <w:spacing w:after="0" w:line="240" w:lineRule="auto"/>
              <w:ind w:left="-6"/>
              <w:jc w:val="left"/>
              <w:rPr>
                <w:rFonts w:eastAsia="Calibri"/>
                <w:lang w:val="en-GB"/>
              </w:rPr>
            </w:pPr>
            <w:r w:rsidRPr="00E0193B">
              <w:rPr>
                <w:rFonts w:eastAsia="Calibri"/>
                <w:lang w:val="en-GB"/>
              </w:rPr>
              <w:t>Number of new rolling stock units for longdistance and regional traffic delivered. Rolling stock shall be zero emission / electric, compliant with the DNSH principles (e.g. zeroemission) and equipped with ERTMS: 77 units for regional lines and 304 units (56 new locomotives and 248 modernized wagons) for long-distance lines (within Public Service Contracts). The rolling stock shall be transferred to the competent authority or the next operator (at market price net of the aid) at the end of the public service contract</w:t>
            </w:r>
          </w:p>
          <w:p w14:paraId="4EAEB799" w14:textId="77777777" w:rsidR="00D94758" w:rsidRPr="00E0193B" w:rsidRDefault="00D94758" w:rsidP="00D94758">
            <w:pPr>
              <w:spacing w:after="0" w:line="240" w:lineRule="auto"/>
              <w:ind w:left="-6"/>
              <w:jc w:val="left"/>
              <w:rPr>
                <w:rFonts w:eastAsia="Calibri"/>
                <w:lang w:val="en-GB"/>
              </w:rPr>
            </w:pPr>
          </w:p>
          <w:p w14:paraId="1FC65648" w14:textId="77777777" w:rsidR="00D94758" w:rsidRPr="00E0193B" w:rsidRDefault="00D94758" w:rsidP="00D94758">
            <w:pPr>
              <w:spacing w:after="0" w:line="240" w:lineRule="auto"/>
              <w:ind w:left="-6"/>
              <w:jc w:val="left"/>
              <w:rPr>
                <w:rFonts w:eastAsia="Calibri"/>
              </w:rPr>
            </w:pPr>
            <w:r w:rsidRPr="00E0193B">
              <w:rPr>
                <w:rFonts w:eastAsia="Calibri"/>
              </w:rPr>
              <w:t>Liczba dostarczonych nowych jednostek taboru dla ruchu dalekobieżnego i regionalnego. Tabor zeroemisyjny/elektryczny, zgodny z zasadami DNSH (np. zeroemisyjny) i wyposażony w ERTMS: 77 jednostek dla linii regionalnych i 304 jednostki (56 nowych lokomotyw i 248 zmodernizowanych wagonów) dla linii dalekobieżnych (w ramach zamówień publicznych na usługi ). Tabor zostaje przekazany właściwemu organowi lub następnemu operatorowi (po cenie rynkowej po odliczeniu pomocy) po zakończeniu umowy o świadczenie usług publicznych.</w:t>
            </w:r>
          </w:p>
        </w:tc>
        <w:tc>
          <w:tcPr>
            <w:tcW w:w="2020" w:type="pct"/>
          </w:tcPr>
          <w:p w14:paraId="16E8B8A3" w14:textId="77777777" w:rsidR="00D94758" w:rsidRPr="00E0193B" w:rsidRDefault="00D94758" w:rsidP="00D94758">
            <w:pPr>
              <w:spacing w:line="240" w:lineRule="auto"/>
              <w:ind w:left="55" w:hanging="55"/>
              <w:contextualSpacing/>
              <w:rPr>
                <w:lang w:val="en-GB"/>
              </w:rPr>
            </w:pPr>
            <w:r w:rsidRPr="00E0193B">
              <w:rPr>
                <w:lang w:val="en-GB"/>
              </w:rPr>
              <w:t>E19G</w:t>
            </w:r>
          </w:p>
          <w:p w14:paraId="79000CB1" w14:textId="77777777" w:rsidR="00D94758" w:rsidRPr="00E0193B" w:rsidRDefault="00D94758" w:rsidP="00D94758">
            <w:pPr>
              <w:spacing w:after="0" w:line="240" w:lineRule="auto"/>
              <w:jc w:val="left"/>
              <w:rPr>
                <w:rFonts w:eastAsia="Calibri"/>
                <w:lang w:val="en-GB"/>
              </w:rPr>
            </w:pPr>
            <w:r w:rsidRPr="00E0193B">
              <w:rPr>
                <w:rFonts w:eastAsia="Calibri"/>
                <w:i/>
                <w:lang w:val="en-GB"/>
              </w:rPr>
              <w:t>Timeline/Harmonogram</w:t>
            </w:r>
            <w:r w:rsidRPr="00E0193B">
              <w:rPr>
                <w:rFonts w:eastAsia="Calibri"/>
                <w:lang w:val="en-GB"/>
              </w:rPr>
              <w:t xml:space="preserve"> Q</w:t>
            </w:r>
            <w:r w:rsidRPr="00E0193B">
              <w:rPr>
                <w:rFonts w:eastAsia="Calibri"/>
                <w:color w:val="FF0000"/>
                <w:lang w:val="en-GB"/>
              </w:rPr>
              <w:t xml:space="preserve">4 </w:t>
            </w:r>
            <w:r w:rsidRPr="00E0193B">
              <w:rPr>
                <w:rFonts w:eastAsia="Calibri"/>
                <w:lang w:val="en-GB"/>
              </w:rPr>
              <w:t>2024</w:t>
            </w:r>
          </w:p>
          <w:p w14:paraId="11F3ED72" w14:textId="77777777" w:rsidR="00D94758" w:rsidRPr="00E0193B" w:rsidRDefault="00D94758" w:rsidP="00D94758">
            <w:pPr>
              <w:spacing w:after="0" w:line="240" w:lineRule="auto"/>
              <w:ind w:left="55" w:hanging="55"/>
              <w:jc w:val="left"/>
              <w:rPr>
                <w:rFonts w:eastAsia="Calibri"/>
                <w:lang w:val="en-GB"/>
              </w:rPr>
            </w:pPr>
            <w:r w:rsidRPr="00E0193B">
              <w:rPr>
                <w:rFonts w:eastAsia="Calibri"/>
                <w:lang w:val="en-GB"/>
              </w:rPr>
              <w:t xml:space="preserve">(…)signed for </w:t>
            </w:r>
            <w:r w:rsidRPr="00E0193B">
              <w:rPr>
                <w:rFonts w:eastAsia="Calibri"/>
                <w:color w:val="FF0000"/>
                <w:lang w:val="en-GB"/>
              </w:rPr>
              <w:t>77</w:t>
            </w:r>
            <w:r w:rsidRPr="00E0193B">
              <w:rPr>
                <w:rFonts w:eastAsia="Calibri"/>
                <w:lang w:val="en-GB"/>
              </w:rPr>
              <w:t xml:space="preserve"> units zero-emission / electric (…)</w:t>
            </w:r>
          </w:p>
          <w:p w14:paraId="55E8EDBA" w14:textId="77777777" w:rsidR="00D94758" w:rsidRPr="00E0193B" w:rsidRDefault="00D94758" w:rsidP="00D94758">
            <w:pPr>
              <w:spacing w:line="240" w:lineRule="auto"/>
              <w:ind w:left="55" w:hanging="55"/>
              <w:contextualSpacing/>
            </w:pPr>
            <w:r w:rsidRPr="00E0193B">
              <w:t xml:space="preserve">(…) podpisane zostaną umowy na dostawę </w:t>
            </w:r>
            <w:r w:rsidRPr="00E0193B">
              <w:rPr>
                <w:color w:val="FF0000"/>
              </w:rPr>
              <w:t>77</w:t>
            </w:r>
            <w:r w:rsidRPr="00E0193B">
              <w:t xml:space="preserve"> jednostek zeroemisyjnego/elektrycznego (…)</w:t>
            </w:r>
          </w:p>
          <w:p w14:paraId="63F4E511" w14:textId="77777777" w:rsidR="00D94758" w:rsidRPr="00E0193B" w:rsidRDefault="00D94758" w:rsidP="00D94758">
            <w:pPr>
              <w:spacing w:line="240" w:lineRule="auto"/>
              <w:ind w:left="55" w:hanging="55"/>
              <w:contextualSpacing/>
            </w:pPr>
          </w:p>
          <w:p w14:paraId="4504979D" w14:textId="77777777" w:rsidR="00D94758" w:rsidRPr="00E0193B" w:rsidRDefault="00D94758" w:rsidP="00D94758">
            <w:pPr>
              <w:spacing w:line="240" w:lineRule="auto"/>
              <w:ind w:left="55" w:hanging="55"/>
              <w:contextualSpacing/>
              <w:rPr>
                <w:lang w:val="en-GB"/>
              </w:rPr>
            </w:pPr>
            <w:r w:rsidRPr="00E0193B">
              <w:rPr>
                <w:lang w:val="en-GB"/>
              </w:rPr>
              <w:t>E19aG</w:t>
            </w:r>
          </w:p>
          <w:p w14:paraId="5C394517" w14:textId="77777777" w:rsidR="00D94758" w:rsidRPr="00E0193B" w:rsidRDefault="00D94758" w:rsidP="00D94758">
            <w:pPr>
              <w:spacing w:line="240" w:lineRule="auto"/>
              <w:ind w:left="55" w:hanging="55"/>
              <w:contextualSpacing/>
              <w:rPr>
                <w:i/>
                <w:lang w:val="en-GB"/>
              </w:rPr>
            </w:pPr>
            <w:r w:rsidRPr="00E0193B">
              <w:rPr>
                <w:i/>
                <w:lang w:val="en-GB"/>
              </w:rPr>
              <w:t>Goal/Cel</w:t>
            </w:r>
          </w:p>
          <w:p w14:paraId="1C1C6224" w14:textId="77777777" w:rsidR="00D94758" w:rsidRPr="00E0193B" w:rsidRDefault="00D94758" w:rsidP="00D94758">
            <w:pPr>
              <w:spacing w:after="0" w:line="240" w:lineRule="auto"/>
              <w:ind w:left="-6"/>
              <w:jc w:val="left"/>
              <w:rPr>
                <w:rFonts w:eastAsia="Calibri"/>
                <w:color w:val="FF0000"/>
                <w:lang w:val="en-GB"/>
              </w:rPr>
            </w:pPr>
            <w:r w:rsidRPr="00E0193B">
              <w:rPr>
                <w:rFonts w:eastAsia="Calibri"/>
                <w:color w:val="FF0000"/>
                <w:lang w:val="en-GB"/>
              </w:rPr>
              <w:t>160</w:t>
            </w:r>
          </w:p>
          <w:p w14:paraId="07EDD04E" w14:textId="77777777" w:rsidR="00D94758" w:rsidRPr="00E0193B" w:rsidRDefault="00D94758" w:rsidP="00D94758">
            <w:pPr>
              <w:spacing w:after="0" w:line="240" w:lineRule="auto"/>
              <w:jc w:val="left"/>
              <w:rPr>
                <w:rFonts w:eastAsia="Calibri"/>
                <w:lang w:val="en-GB"/>
              </w:rPr>
            </w:pPr>
            <w:r w:rsidRPr="00E0193B">
              <w:rPr>
                <w:rFonts w:eastAsia="Calibri"/>
                <w:lang w:val="en-GB"/>
              </w:rPr>
              <w:t xml:space="preserve">Delivery of </w:t>
            </w:r>
            <w:r w:rsidRPr="00E0193B">
              <w:rPr>
                <w:rFonts w:eastAsia="Calibri"/>
                <w:color w:val="FF0000"/>
                <w:lang w:val="en-GB"/>
              </w:rPr>
              <w:t>10</w:t>
            </w:r>
            <w:r w:rsidRPr="00E0193B">
              <w:rPr>
                <w:rFonts w:eastAsia="Calibri"/>
                <w:lang w:val="en-GB"/>
              </w:rPr>
              <w:t xml:space="preserve"> new locomotives and </w:t>
            </w:r>
            <w:r w:rsidRPr="00E0193B">
              <w:rPr>
                <w:rFonts w:eastAsia="Calibri"/>
                <w:color w:val="FF0000"/>
                <w:lang w:val="en-GB"/>
              </w:rPr>
              <w:t>150</w:t>
            </w:r>
            <w:r w:rsidRPr="00E0193B">
              <w:rPr>
                <w:rFonts w:eastAsia="Calibri"/>
                <w:lang w:val="en-GB"/>
              </w:rPr>
              <w:t xml:space="preserve"> modernized wagons for long-distance lines. </w:t>
            </w:r>
          </w:p>
          <w:p w14:paraId="495CEFEA" w14:textId="77777777" w:rsidR="00D94758" w:rsidRPr="00E0193B" w:rsidRDefault="00D94758" w:rsidP="00D94758">
            <w:pPr>
              <w:spacing w:after="0" w:line="240" w:lineRule="auto"/>
              <w:jc w:val="left"/>
              <w:rPr>
                <w:rFonts w:eastAsia="Calibri"/>
              </w:rPr>
            </w:pPr>
            <w:r w:rsidRPr="00E0193B">
              <w:rPr>
                <w:rFonts w:eastAsia="Calibri"/>
              </w:rPr>
              <w:t xml:space="preserve">Dostawa </w:t>
            </w:r>
            <w:r w:rsidRPr="00E0193B">
              <w:rPr>
                <w:rFonts w:eastAsia="Calibri"/>
                <w:color w:val="FF0000"/>
              </w:rPr>
              <w:t xml:space="preserve">10 </w:t>
            </w:r>
            <w:r w:rsidRPr="00E0193B">
              <w:rPr>
                <w:rFonts w:eastAsia="Calibri"/>
              </w:rPr>
              <w:t xml:space="preserve">nowych lokomotyw i </w:t>
            </w:r>
            <w:r w:rsidRPr="00E0193B">
              <w:rPr>
                <w:rFonts w:eastAsia="Calibri"/>
                <w:color w:val="FF0000"/>
              </w:rPr>
              <w:t xml:space="preserve">150 </w:t>
            </w:r>
            <w:r w:rsidRPr="00E0193B">
              <w:rPr>
                <w:rFonts w:eastAsia="Calibri"/>
              </w:rPr>
              <w:t>zmodernizowanych wagonów przeznaczonych na linie długodystansowe.</w:t>
            </w:r>
          </w:p>
          <w:p w14:paraId="0D6CCAF6" w14:textId="77777777" w:rsidR="00D94758" w:rsidRPr="00E0193B" w:rsidRDefault="00D94758" w:rsidP="00D94758">
            <w:pPr>
              <w:spacing w:after="0" w:line="240" w:lineRule="auto"/>
              <w:jc w:val="left"/>
              <w:rPr>
                <w:rFonts w:eastAsia="Calibri"/>
              </w:rPr>
            </w:pPr>
          </w:p>
          <w:p w14:paraId="21B308E0" w14:textId="77777777" w:rsidR="00D94758" w:rsidRPr="00E0193B" w:rsidRDefault="00D94758" w:rsidP="00D94758">
            <w:pPr>
              <w:spacing w:after="0" w:line="240" w:lineRule="auto"/>
              <w:ind w:left="-6"/>
              <w:jc w:val="left"/>
              <w:rPr>
                <w:rFonts w:eastAsia="Calibri"/>
                <w:lang w:val="en-GB"/>
              </w:rPr>
            </w:pPr>
            <w:r w:rsidRPr="00E0193B">
              <w:rPr>
                <w:rFonts w:eastAsia="Calibri"/>
                <w:lang w:val="en-GB"/>
              </w:rPr>
              <w:t>E20G</w:t>
            </w:r>
          </w:p>
          <w:p w14:paraId="6C68341E" w14:textId="77777777" w:rsidR="00D94758" w:rsidRPr="00E0193B" w:rsidRDefault="00D94758" w:rsidP="00D94758">
            <w:pPr>
              <w:spacing w:after="0" w:line="240" w:lineRule="auto"/>
              <w:ind w:left="-6"/>
              <w:jc w:val="left"/>
              <w:rPr>
                <w:rFonts w:eastAsia="Calibri"/>
                <w:i/>
                <w:lang w:val="en-GB"/>
              </w:rPr>
            </w:pPr>
            <w:r w:rsidRPr="00E0193B">
              <w:rPr>
                <w:rFonts w:eastAsia="Calibri"/>
                <w:i/>
                <w:lang w:val="en-GB"/>
              </w:rPr>
              <w:t>Baseline/ Poziom bazowy</w:t>
            </w:r>
          </w:p>
          <w:p w14:paraId="74A44C52" w14:textId="77777777" w:rsidR="00D94758" w:rsidRPr="00E0193B" w:rsidRDefault="00D94758" w:rsidP="00D94758">
            <w:pPr>
              <w:spacing w:after="0" w:line="240" w:lineRule="auto"/>
              <w:ind w:left="-6"/>
              <w:jc w:val="left"/>
              <w:rPr>
                <w:rFonts w:eastAsia="Calibri"/>
                <w:color w:val="FF0000"/>
                <w:lang w:val="en-GB"/>
              </w:rPr>
            </w:pPr>
            <w:r w:rsidRPr="00E0193B">
              <w:rPr>
                <w:rFonts w:eastAsia="Calibri"/>
                <w:color w:val="FF0000"/>
                <w:lang w:val="en-GB"/>
              </w:rPr>
              <w:t>160</w:t>
            </w:r>
          </w:p>
          <w:p w14:paraId="5E10D581" w14:textId="63FC72D6" w:rsidR="00D94758" w:rsidRPr="00E0193B" w:rsidRDefault="00D94758" w:rsidP="00D94758">
            <w:pPr>
              <w:spacing w:after="0" w:line="240" w:lineRule="auto"/>
              <w:ind w:left="-6"/>
              <w:jc w:val="left"/>
              <w:rPr>
                <w:rFonts w:eastAsia="Calibri"/>
                <w:lang w:val="en-GB"/>
              </w:rPr>
            </w:pPr>
            <w:r w:rsidRPr="00E0193B">
              <w:rPr>
                <w:rFonts w:eastAsia="Calibri"/>
                <w:lang w:val="en-GB"/>
              </w:rPr>
              <w:t xml:space="preserve">Number of new rolling stock units for longdistance and regional traffic delivered. Rolling stock shall be zero emission / electric, compliant with the DNSH principles (e.g. zeroemission) and equipped with ERTMS: 77 units for regional lines </w:t>
            </w:r>
            <w:r w:rsidRPr="00E0193B">
              <w:rPr>
                <w:rFonts w:eastAsia="Calibri"/>
                <w:color w:val="FF0000"/>
                <w:lang w:val="en-GB"/>
              </w:rPr>
              <w:t>(</w:t>
            </w:r>
            <w:r w:rsidR="00625648" w:rsidRPr="00E0193B">
              <w:rPr>
                <w:rFonts w:eastAsia="Calibri"/>
                <w:color w:val="FF0000"/>
                <w:lang w:val="en-GB"/>
              </w:rPr>
              <w:t>30 units delivered and 47 units for which their construction has been completed, as evidenced by factory/commissioning protocols)</w:t>
            </w:r>
            <w:r w:rsidR="00625648" w:rsidRPr="00E0193B" w:rsidDel="002E7B53">
              <w:rPr>
                <w:rFonts w:eastAsia="Calibri"/>
                <w:color w:val="FF0000"/>
                <w:lang w:val="en-GB"/>
              </w:rPr>
              <w:t xml:space="preserve"> </w:t>
            </w:r>
            <w:r w:rsidRPr="00E0193B">
              <w:rPr>
                <w:rFonts w:eastAsia="Calibri"/>
                <w:color w:val="FF0000"/>
                <w:lang w:val="en-GB"/>
              </w:rPr>
              <w:t xml:space="preserve">  </w:t>
            </w:r>
            <w:r w:rsidRPr="00E0193B">
              <w:rPr>
                <w:rFonts w:eastAsia="Calibri"/>
                <w:lang w:val="en-GB"/>
              </w:rPr>
              <w:t>and 304 units (56 new locomotives and 248 modernized wagons) for long-distance lines (within Public Service Contracts). The rolling stock shall be transferred to the competent authority or the next operator (at market price net of the aid) at the end of the public service contract.</w:t>
            </w:r>
          </w:p>
          <w:p w14:paraId="46DBAF79" w14:textId="77777777" w:rsidR="00D94758" w:rsidRPr="00E0193B" w:rsidRDefault="00D94758" w:rsidP="00D94758">
            <w:pPr>
              <w:spacing w:after="0" w:line="240" w:lineRule="auto"/>
              <w:ind w:left="-6"/>
              <w:jc w:val="left"/>
              <w:rPr>
                <w:rFonts w:eastAsia="Calibri"/>
                <w:lang w:val="en-GB"/>
              </w:rPr>
            </w:pPr>
          </w:p>
          <w:p w14:paraId="74E7873A" w14:textId="45135A57" w:rsidR="00D94758" w:rsidRPr="00E0193B" w:rsidRDefault="00D94758" w:rsidP="00D94758">
            <w:pPr>
              <w:spacing w:after="0" w:line="240" w:lineRule="auto"/>
              <w:ind w:left="-6"/>
              <w:jc w:val="left"/>
              <w:rPr>
                <w:rFonts w:eastAsia="Calibri"/>
                <w:color w:val="FF0000"/>
              </w:rPr>
            </w:pPr>
            <w:r w:rsidRPr="00E0193B">
              <w:rPr>
                <w:rFonts w:eastAsia="Calibri"/>
              </w:rPr>
              <w:t xml:space="preserve">Liczba dostarczonych nowych jednostek taboru dla ruchu dalekobieżnego i regionalnego. Tabor zeroemisyjny/elektryczny, zgodny z zasadami DNSH (np. zeroemisyjny) i wyposażony w ERTMS: 77 jednostek dla linii regionalnych </w:t>
            </w:r>
            <w:r w:rsidRPr="00E0193B">
              <w:rPr>
                <w:rFonts w:eastAsia="Calibri"/>
                <w:color w:val="FF0000"/>
              </w:rPr>
              <w:t>(</w:t>
            </w:r>
            <w:r w:rsidR="00625648" w:rsidRPr="00E0193B">
              <w:rPr>
                <w:rFonts w:eastAsia="Calibri"/>
                <w:color w:val="FF0000"/>
              </w:rPr>
              <w:t>30 sztuk dostarczonych oraz 47 sztuk, odnośnie do których zakończona została ich budowa, co potwierdzają protokoły odbiorów fabrycznych /komisarycznych</w:t>
            </w:r>
            <w:r w:rsidRPr="00E0193B">
              <w:rPr>
                <w:rFonts w:eastAsia="Calibri"/>
                <w:color w:val="FF0000"/>
              </w:rPr>
              <w:t xml:space="preserve">) </w:t>
            </w:r>
            <w:r w:rsidRPr="00E0193B">
              <w:rPr>
                <w:rFonts w:eastAsia="Calibri"/>
              </w:rPr>
              <w:t>oraz 304 jednostki (56 nowych lokomotyw i 248 zmodernizowanych wagonów) dla linii dalekobieżnych (w ramach zamówień publicznych na usługi). Tabor zostaje przekazany właściwemu organowi lub następnemu operatorowi (po cenie rynkowej po odliczeniu pomocy) po zakończeniu umowy o świadczenie usług publicznych.</w:t>
            </w:r>
          </w:p>
        </w:tc>
      </w:tr>
      <w:tr w:rsidR="00D94758" w:rsidRPr="00E0193B" w14:paraId="2012297F" w14:textId="77777777" w:rsidTr="008C1B0D">
        <w:tc>
          <w:tcPr>
            <w:tcW w:w="1068" w:type="pct"/>
          </w:tcPr>
          <w:p w14:paraId="187C802B" w14:textId="77777777" w:rsidR="00D94758" w:rsidRPr="00E0193B" w:rsidRDefault="00D94758" w:rsidP="00D94758">
            <w:pPr>
              <w:spacing w:after="0" w:line="240" w:lineRule="auto"/>
              <w:jc w:val="left"/>
              <w:rPr>
                <w:rFonts w:eastAsia="Calibri"/>
              </w:rPr>
            </w:pPr>
            <w:r w:rsidRPr="00E0193B">
              <w:rPr>
                <w:rFonts w:eastAsia="Calibri"/>
              </w:rPr>
              <w:t>Uzasadnienie</w:t>
            </w:r>
          </w:p>
        </w:tc>
        <w:tc>
          <w:tcPr>
            <w:tcW w:w="3932" w:type="pct"/>
            <w:gridSpan w:val="2"/>
          </w:tcPr>
          <w:p w14:paraId="4108E122" w14:textId="77777777" w:rsidR="00625648" w:rsidRPr="00E0193B" w:rsidRDefault="00625648" w:rsidP="00625648">
            <w:pPr>
              <w:spacing w:after="120" w:line="240" w:lineRule="auto"/>
              <w:jc w:val="left"/>
              <w:rPr>
                <w:rFonts w:eastAsia="Calibri"/>
              </w:rPr>
            </w:pPr>
            <w:r w:rsidRPr="00E0193B">
              <w:rPr>
                <w:rFonts w:eastAsia="Calibri"/>
              </w:rPr>
              <w:t>W ramach taboru elektrycznego wyposażonego w ERTMS dla E19G proponuje się przesunięcie terminu na podpisanie kontraktów na IV kwartał 2024 roku z uwagi na przyznaną, dodatkową alokację (z offshorów), która spowodowała konieczność zmian w regulaminie konkursu taborowego w związku z przyznaniem dodatkowych środków, co uniemożliwia jego rozstrzygnięcie. Dodatkowo zauważono, że w treści CID omyłkowo nie została zmieniona wartość w opisie wskaźnika E19G, uwzględniająca poczynione w trakcie rewizji uzgodnienia z KE w zakresie ilości taboru regionalnego.</w:t>
            </w:r>
          </w:p>
          <w:p w14:paraId="0CB19CC3" w14:textId="77777777" w:rsidR="00625648" w:rsidRPr="00E0193B" w:rsidRDefault="00625648" w:rsidP="00625648">
            <w:pPr>
              <w:spacing w:after="120" w:line="240" w:lineRule="auto"/>
              <w:jc w:val="left"/>
              <w:rPr>
                <w:rFonts w:eastAsia="Calibri"/>
              </w:rPr>
            </w:pPr>
            <w:r w:rsidRPr="00E0193B">
              <w:rPr>
                <w:rFonts w:eastAsia="Calibri"/>
              </w:rPr>
              <w:t xml:space="preserve">W ramach taboru elektrycznego wyposażonego w ERTMS dla E19aG proponuje się zmianę ze 199 jednostek na 160 jednostek z założeniem dostarczenia 10 nowych lokomotyw i 150 zmodernizowanych wagonów. Zmiana ta wynika z analizy PKP IC uzgodnionych już harmonogramów dostaw pojazdów od wykonawców realizowanych w ramach KPO kontraktów, przeprowadzeniu analizy ryzyka oraz biorąc pod uwagę fakt, że jeden z planowanych kontraktów został zawarty później niż planowano. Umowa ta została zawarta w </w:t>
            </w:r>
            <w:r w:rsidRPr="00E0193B">
              <w:rPr>
                <w:rFonts w:eastAsia="Calibri"/>
              </w:rPr>
              <w:lastRenderedPageBreak/>
              <w:t>wyniku rozstrzygnięcia postępowania o udzielenie zamówienia sektorowego przeprowadzonego w trybie przetargu nieograniczonego na podstawie ustawy Prawo zamówień publicznych (numer referencyjny: 23/WNP-018977/TUT), opublikowanego w Dzienniku Urzędowym Unii Europejskiej nr 2023/S 147-468631 z dnia 02.08.2023 r.</w:t>
            </w:r>
          </w:p>
          <w:p w14:paraId="14D79C4A" w14:textId="77777777" w:rsidR="00625648" w:rsidRPr="00E0193B" w:rsidRDefault="00625648" w:rsidP="00625648">
            <w:pPr>
              <w:spacing w:after="120" w:line="240" w:lineRule="auto"/>
              <w:jc w:val="left"/>
              <w:rPr>
                <w:rFonts w:eastAsia="Calibri"/>
              </w:rPr>
            </w:pPr>
            <w:r w:rsidRPr="00E0193B">
              <w:rPr>
                <w:rFonts w:eastAsia="Calibri"/>
              </w:rPr>
              <w:t xml:space="preserve">Zawarcie umowy było wcześniej niemożliwe z uwagi na trwającą obligatoryjną kontrolę uprzednią Prezesa UZP dokumentacji postępowania, z powodu współfinansowania zamówienia ze środków UE. Dodatkowo pod uwagę brano  plany PKP IC. Dla zadań, dla których Spółka jeszcze nie posiada opracowanych harmonogramów dostaw, plany te zostały opracowane na podstawie własnych prognoz odbiorów taboru, co się wiąże z ryzykiem, że ostateczna wersja harmonogramów dostaw będzie różniła się od przyjętych założeń. Tym samym przyjęte założenia dla zadań bez harmonogramów mogą być obarczone błędem, nie zaś same harmonogramy dostaw. Ponadto z uwagi na dużą liczbę zamówień dostępnych na rynku czas oczekiwania na realizację może ulec wydłużeniu niezależnie od woli stron. Ze względu opóźnienia rozstrzygnięciu konkursu proponuje się wprowadzenie dodatkowego rozbicia regionalnego taboru pasażerskiego na wskazane w opisie kamienia milowego/wskaźnika jednostki dostarczone (30 sztuk) i  jednostki, których budowa została zakończona, co zostało udokumentowane (protokołami odbiorów fabrycznych/ komisarycznych)(47 sztuk taboru). </w:t>
            </w:r>
            <w:bookmarkStart w:id="34" w:name="_Hlk164855415"/>
            <w:r w:rsidRPr="00E0193B">
              <w:rPr>
                <w:rFonts w:eastAsia="Calibri"/>
              </w:rPr>
              <w:t xml:space="preserve">W związku z ograniczeniami terminowymi kwalifikowalności środków w KPO, proponuje się uznanie również jednostek wybudowanych ale niedostarczonych, </w:t>
            </w:r>
            <w:bookmarkEnd w:id="34"/>
            <w:r w:rsidRPr="00E0193B">
              <w:rPr>
                <w:rFonts w:eastAsia="Calibri"/>
              </w:rPr>
              <w:t>jako spełniających wartość wskaźnika E20G w ramach tej inwestycji. Pojazdy zostaną dostarczone zgodnie z podpisanymi umowami pomiędzy producentami a beneficjentami.</w:t>
            </w:r>
          </w:p>
          <w:p w14:paraId="70DB171A" w14:textId="63FC2412" w:rsidR="00D94758" w:rsidRPr="00E0193B" w:rsidRDefault="00625648" w:rsidP="00ED5265">
            <w:pPr>
              <w:spacing w:after="120" w:line="240" w:lineRule="auto"/>
              <w:jc w:val="left"/>
              <w:rPr>
                <w:rFonts w:eastAsia="Calibri"/>
              </w:rPr>
            </w:pPr>
            <w:r w:rsidRPr="00E0193B">
              <w:rPr>
                <w:rFonts w:eastAsia="Calibri"/>
              </w:rPr>
              <w:t>Należy podkreślić, że zawarcie umów o objęcie wsparciem jest niezbędne, aby móc zakontraktować wykonawców taboru przez jednostki samorządu terytorialnego. Jednocześnie należy mieć na uwadze czas niezbędny na wyprodukowanie taboru, który obecnie szacować należy na ok. 1,5 – 2 lata. Dodatkowo zasady PZP nie dają w tym zakresie możliwości elastycznego podejścia, w tym swobodnej rezygnacji z zakontraktowanego taboru.</w:t>
            </w:r>
          </w:p>
        </w:tc>
      </w:tr>
      <w:tr w:rsidR="00D94758" w:rsidRPr="00E0193B" w14:paraId="2B4C341F" w14:textId="77777777" w:rsidTr="008C1B0D">
        <w:tc>
          <w:tcPr>
            <w:tcW w:w="1068" w:type="pct"/>
          </w:tcPr>
          <w:p w14:paraId="73CEBA16" w14:textId="77777777" w:rsidR="00D94758" w:rsidRPr="00E0193B" w:rsidRDefault="00D94758" w:rsidP="00D94758">
            <w:pPr>
              <w:spacing w:after="0" w:line="240" w:lineRule="auto"/>
              <w:jc w:val="left"/>
              <w:rPr>
                <w:rFonts w:eastAsia="Calibri"/>
              </w:rPr>
            </w:pPr>
            <w:r w:rsidRPr="00E0193B">
              <w:rPr>
                <w:rFonts w:eastAsia="Calibri"/>
              </w:rPr>
              <w:lastRenderedPageBreak/>
              <w:t>Szacowany koszt</w:t>
            </w:r>
          </w:p>
        </w:tc>
        <w:tc>
          <w:tcPr>
            <w:tcW w:w="3932" w:type="pct"/>
            <w:gridSpan w:val="2"/>
          </w:tcPr>
          <w:p w14:paraId="5CC5CCBC" w14:textId="77777777" w:rsidR="00D94758" w:rsidRPr="00E0193B" w:rsidRDefault="00D94758" w:rsidP="00D94758">
            <w:pPr>
              <w:spacing w:after="0" w:line="240" w:lineRule="auto"/>
              <w:jc w:val="left"/>
              <w:rPr>
                <w:rFonts w:eastAsia="Calibri"/>
              </w:rPr>
            </w:pPr>
            <w:r w:rsidRPr="00E0193B">
              <w:rPr>
                <w:rFonts w:eastAsia="Calibri"/>
              </w:rPr>
              <w:t xml:space="preserve">Zmiana nie ma wpływu na szacowany koszt </w:t>
            </w:r>
          </w:p>
        </w:tc>
      </w:tr>
      <w:tr w:rsidR="00D94758" w:rsidRPr="00E0193B" w14:paraId="07B96EF4" w14:textId="77777777" w:rsidTr="008C1B0D">
        <w:tc>
          <w:tcPr>
            <w:tcW w:w="1068" w:type="pct"/>
          </w:tcPr>
          <w:p w14:paraId="25784B5A" w14:textId="77777777" w:rsidR="00D94758" w:rsidRPr="00E0193B" w:rsidRDefault="00D94758" w:rsidP="00D94758">
            <w:pPr>
              <w:spacing w:after="0" w:line="240" w:lineRule="auto"/>
              <w:jc w:val="left"/>
              <w:rPr>
                <w:rFonts w:eastAsia="Calibri"/>
              </w:rPr>
            </w:pPr>
            <w:r w:rsidRPr="00E0193B">
              <w:rPr>
                <w:rFonts w:eastAsia="Calibri"/>
              </w:rPr>
              <w:t xml:space="preserve">Cyfrowy i klimatyczny tagging </w:t>
            </w:r>
          </w:p>
        </w:tc>
        <w:tc>
          <w:tcPr>
            <w:tcW w:w="3932" w:type="pct"/>
            <w:gridSpan w:val="2"/>
          </w:tcPr>
          <w:p w14:paraId="12EF771E" w14:textId="77777777" w:rsidR="00D94758" w:rsidRPr="00E0193B" w:rsidRDefault="00D94758" w:rsidP="00D94758">
            <w:pPr>
              <w:spacing w:after="0" w:line="240" w:lineRule="auto"/>
              <w:jc w:val="left"/>
              <w:rPr>
                <w:rFonts w:eastAsia="Calibri"/>
              </w:rPr>
            </w:pPr>
            <w:r w:rsidRPr="00E0193B">
              <w:rPr>
                <w:rFonts w:eastAsia="Calibri"/>
              </w:rPr>
              <w:t xml:space="preserve">Zmiana nie ma wpływu na tagging klimatyczny i cyfrowy </w:t>
            </w:r>
          </w:p>
        </w:tc>
      </w:tr>
      <w:tr w:rsidR="00D94758" w:rsidRPr="00E0193B" w14:paraId="45A1F2E2" w14:textId="77777777" w:rsidTr="008C1B0D">
        <w:tc>
          <w:tcPr>
            <w:tcW w:w="1068" w:type="pct"/>
            <w:tcBorders>
              <w:bottom w:val="single" w:sz="4" w:space="0" w:color="auto"/>
            </w:tcBorders>
          </w:tcPr>
          <w:p w14:paraId="6FE22AD4" w14:textId="77777777" w:rsidR="00D94758" w:rsidRPr="00E0193B" w:rsidRDefault="00D94758" w:rsidP="00D94758">
            <w:pPr>
              <w:spacing w:after="0" w:line="240" w:lineRule="auto"/>
              <w:jc w:val="left"/>
              <w:rPr>
                <w:rFonts w:eastAsia="Calibri"/>
              </w:rPr>
            </w:pPr>
            <w:r w:rsidRPr="00E0193B">
              <w:rPr>
                <w:rFonts w:eastAsia="Calibri"/>
              </w:rPr>
              <w:t xml:space="preserve">Zasada DNSH </w:t>
            </w:r>
          </w:p>
        </w:tc>
        <w:tc>
          <w:tcPr>
            <w:tcW w:w="3932" w:type="pct"/>
            <w:gridSpan w:val="2"/>
            <w:tcBorders>
              <w:bottom w:val="single" w:sz="4" w:space="0" w:color="auto"/>
            </w:tcBorders>
          </w:tcPr>
          <w:p w14:paraId="5291FCF4" w14:textId="77777777" w:rsidR="00D94758" w:rsidRPr="00E0193B" w:rsidRDefault="00D94758" w:rsidP="00D94758">
            <w:pPr>
              <w:spacing w:after="0" w:line="240" w:lineRule="auto"/>
              <w:jc w:val="left"/>
              <w:rPr>
                <w:rFonts w:eastAsia="Calibri"/>
              </w:rPr>
            </w:pPr>
            <w:r w:rsidRPr="00E0193B">
              <w:rPr>
                <w:rFonts w:eastAsia="Calibri"/>
              </w:rPr>
              <w:t>Zmiana nie ma wpływu na DNSH</w:t>
            </w:r>
            <w:r w:rsidRPr="00E0193B" w:rsidDel="00EB2612">
              <w:rPr>
                <w:rFonts w:eastAsia="Calibri"/>
              </w:rPr>
              <w:t xml:space="preserve"> </w:t>
            </w:r>
          </w:p>
        </w:tc>
      </w:tr>
      <w:tr w:rsidR="00D94758" w:rsidRPr="00E0193B" w14:paraId="07F91A59" w14:textId="77777777" w:rsidTr="008C1B0D">
        <w:tc>
          <w:tcPr>
            <w:tcW w:w="1068" w:type="pct"/>
            <w:tcBorders>
              <w:bottom w:val="single" w:sz="4" w:space="0" w:color="auto"/>
            </w:tcBorders>
          </w:tcPr>
          <w:p w14:paraId="70EFA48F" w14:textId="77777777" w:rsidR="00D94758" w:rsidRPr="00E0193B" w:rsidRDefault="00D94758" w:rsidP="00D94758">
            <w:pPr>
              <w:spacing w:after="0" w:line="240" w:lineRule="auto"/>
              <w:jc w:val="left"/>
              <w:rPr>
                <w:rFonts w:eastAsia="Calibri"/>
              </w:rPr>
            </w:pPr>
            <w:r w:rsidRPr="00E0193B">
              <w:rPr>
                <w:rFonts w:eastAsia="Calibri"/>
              </w:rPr>
              <w:t xml:space="preserve">Pomoc publiczna </w:t>
            </w:r>
          </w:p>
        </w:tc>
        <w:tc>
          <w:tcPr>
            <w:tcW w:w="3932" w:type="pct"/>
            <w:gridSpan w:val="2"/>
            <w:tcBorders>
              <w:bottom w:val="single" w:sz="4" w:space="0" w:color="auto"/>
            </w:tcBorders>
          </w:tcPr>
          <w:p w14:paraId="348907B2" w14:textId="77777777" w:rsidR="00D94758" w:rsidRPr="00E0193B" w:rsidRDefault="00D94758" w:rsidP="00D94758">
            <w:pPr>
              <w:spacing w:after="0" w:line="240" w:lineRule="auto"/>
              <w:jc w:val="left"/>
              <w:rPr>
                <w:rFonts w:eastAsia="Calibri"/>
              </w:rPr>
            </w:pPr>
            <w:r w:rsidRPr="00E0193B">
              <w:rPr>
                <w:rFonts w:eastAsia="Calibri"/>
              </w:rPr>
              <w:t xml:space="preserve">Nie dotyczy / </w:t>
            </w:r>
            <w:r w:rsidRPr="00E0193B">
              <w:rPr>
                <w:rFonts w:eastAsia="Calibri"/>
                <w:lang w:val="en"/>
              </w:rPr>
              <w:t>Not applicable</w:t>
            </w:r>
          </w:p>
        </w:tc>
      </w:tr>
    </w:tbl>
    <w:p w14:paraId="7A748445" w14:textId="77777777" w:rsidR="00D94758" w:rsidRPr="00E0193B" w:rsidRDefault="00D94758" w:rsidP="00D94758">
      <w:pPr>
        <w:spacing w:line="240" w:lineRule="auto"/>
        <w:jc w:val="left"/>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26"/>
        <w:gridCol w:w="3448"/>
        <w:gridCol w:w="3642"/>
      </w:tblGrid>
      <w:tr w:rsidR="00D94758" w:rsidRPr="00E0193B" w14:paraId="6F7CA56C" w14:textId="77777777" w:rsidTr="00D94758">
        <w:tc>
          <w:tcPr>
            <w:tcW w:w="1068" w:type="pct"/>
            <w:shd w:val="clear" w:color="auto" w:fill="FFFFFF"/>
          </w:tcPr>
          <w:p w14:paraId="63035741" w14:textId="77777777" w:rsidR="00D94758" w:rsidRPr="00E0193B" w:rsidRDefault="00D94758" w:rsidP="00D94758">
            <w:pPr>
              <w:spacing w:after="0" w:line="240" w:lineRule="auto"/>
              <w:jc w:val="left"/>
              <w:rPr>
                <w:rFonts w:eastAsia="Calibri"/>
                <w:b/>
                <w:bCs/>
              </w:rPr>
            </w:pPr>
            <w:r w:rsidRPr="00E0193B">
              <w:rPr>
                <w:rFonts w:eastAsia="Calibri"/>
                <w:b/>
                <w:bCs/>
              </w:rPr>
              <w:t>Numer inwestycji</w:t>
            </w:r>
          </w:p>
        </w:tc>
        <w:tc>
          <w:tcPr>
            <w:tcW w:w="3932" w:type="pct"/>
            <w:gridSpan w:val="2"/>
            <w:shd w:val="clear" w:color="auto" w:fill="FFFFFF"/>
          </w:tcPr>
          <w:p w14:paraId="12375320" w14:textId="77777777" w:rsidR="00D94758" w:rsidRPr="00E0193B" w:rsidRDefault="00D94758" w:rsidP="00D94758">
            <w:pPr>
              <w:spacing w:line="240" w:lineRule="auto"/>
              <w:ind w:left="118"/>
              <w:contextualSpacing/>
              <w:rPr>
                <w:b/>
                <w:bCs/>
              </w:rPr>
            </w:pPr>
            <w:r w:rsidRPr="00E0193B">
              <w:rPr>
                <w:b/>
                <w:bCs/>
              </w:rPr>
              <w:t>E2.1.3.</w:t>
            </w:r>
          </w:p>
        </w:tc>
      </w:tr>
      <w:tr w:rsidR="00D94758" w:rsidRPr="00E0193B" w14:paraId="6722D827" w14:textId="77777777" w:rsidTr="008C1B0D">
        <w:tc>
          <w:tcPr>
            <w:tcW w:w="1068" w:type="pct"/>
          </w:tcPr>
          <w:p w14:paraId="1BE32649" w14:textId="77777777" w:rsidR="00D94758" w:rsidRPr="00E0193B" w:rsidRDefault="00D94758" w:rsidP="00D94758">
            <w:pPr>
              <w:spacing w:line="240" w:lineRule="auto"/>
              <w:contextualSpacing/>
              <w:rPr>
                <w:b/>
                <w:bCs/>
              </w:rPr>
            </w:pPr>
            <w:r w:rsidRPr="00E0193B">
              <w:rPr>
                <w:b/>
                <w:bCs/>
              </w:rPr>
              <w:t xml:space="preserve">Nazwa inwestycji </w:t>
            </w:r>
          </w:p>
        </w:tc>
        <w:tc>
          <w:tcPr>
            <w:tcW w:w="3932" w:type="pct"/>
            <w:gridSpan w:val="2"/>
          </w:tcPr>
          <w:p w14:paraId="74407058" w14:textId="77777777" w:rsidR="00D94758" w:rsidRPr="00E0193B" w:rsidRDefault="00D94758" w:rsidP="00D94758">
            <w:pPr>
              <w:spacing w:line="240" w:lineRule="auto"/>
              <w:ind w:left="118"/>
              <w:contextualSpacing/>
            </w:pPr>
            <w:r w:rsidRPr="00E0193B">
              <w:rPr>
                <w:b/>
                <w:bCs/>
              </w:rPr>
              <w:t xml:space="preserve">Projekty intermodalne </w:t>
            </w:r>
          </w:p>
        </w:tc>
      </w:tr>
      <w:tr w:rsidR="00D94758" w:rsidRPr="00E0193B" w14:paraId="52450223" w14:textId="77777777" w:rsidTr="008C1B0D">
        <w:tc>
          <w:tcPr>
            <w:tcW w:w="1068" w:type="pct"/>
          </w:tcPr>
          <w:p w14:paraId="3ECB377F" w14:textId="77777777" w:rsidR="00D94758" w:rsidRPr="00E0193B" w:rsidRDefault="00D94758" w:rsidP="00D94758">
            <w:pPr>
              <w:spacing w:line="240" w:lineRule="auto"/>
              <w:contextualSpacing/>
            </w:pPr>
            <w:r w:rsidRPr="00E0193B">
              <w:t>Rodzaj wprowadzonej zmiany w odniesieniu do CID</w:t>
            </w:r>
          </w:p>
        </w:tc>
        <w:tc>
          <w:tcPr>
            <w:tcW w:w="3932" w:type="pct"/>
            <w:gridSpan w:val="2"/>
          </w:tcPr>
          <w:p w14:paraId="151CC91F" w14:textId="77777777" w:rsidR="00D94758" w:rsidRPr="00E0193B" w:rsidRDefault="00D94758" w:rsidP="00D94758">
            <w:pPr>
              <w:spacing w:line="240" w:lineRule="auto"/>
              <w:ind w:left="118"/>
              <w:contextualSpacing/>
            </w:pPr>
            <w:r w:rsidRPr="00E0193B">
              <w:t xml:space="preserve">Zmiana wartości wskaźnika E21G </w:t>
            </w:r>
          </w:p>
          <w:p w14:paraId="0C5C76C4" w14:textId="77777777" w:rsidR="00D94758" w:rsidRPr="00E0193B" w:rsidRDefault="00D94758" w:rsidP="00D94758">
            <w:pPr>
              <w:spacing w:line="240" w:lineRule="auto"/>
              <w:ind w:left="720"/>
              <w:contextualSpacing/>
            </w:pPr>
          </w:p>
        </w:tc>
      </w:tr>
      <w:tr w:rsidR="00D94758" w:rsidRPr="00E0193B" w14:paraId="556CDE3E" w14:textId="77777777" w:rsidTr="00D94758">
        <w:tc>
          <w:tcPr>
            <w:tcW w:w="1068" w:type="pct"/>
            <w:shd w:val="clear" w:color="auto" w:fill="FFFFFF"/>
          </w:tcPr>
          <w:p w14:paraId="3C6FD6C0" w14:textId="77777777" w:rsidR="00D94758" w:rsidRPr="00E0193B" w:rsidRDefault="00D94758" w:rsidP="00D94758">
            <w:pPr>
              <w:spacing w:line="240" w:lineRule="auto"/>
              <w:contextualSpacing/>
            </w:pPr>
            <w:r w:rsidRPr="00E0193B">
              <w:t>Podstawa prawna zmiany</w:t>
            </w:r>
          </w:p>
        </w:tc>
        <w:tc>
          <w:tcPr>
            <w:tcW w:w="3932" w:type="pct"/>
            <w:gridSpan w:val="2"/>
            <w:shd w:val="clear" w:color="auto" w:fill="FFFFFF"/>
          </w:tcPr>
          <w:p w14:paraId="298E5C04" w14:textId="77777777" w:rsidR="00D94758" w:rsidRPr="00E0193B" w:rsidRDefault="00D94758" w:rsidP="00D94758">
            <w:pPr>
              <w:spacing w:after="0" w:line="240" w:lineRule="auto"/>
              <w:jc w:val="left"/>
              <w:rPr>
                <w:rFonts w:eastAsia="Calibri"/>
              </w:rPr>
            </w:pPr>
            <w:r w:rsidRPr="00E0193B">
              <w:rPr>
                <w:rFonts w:eastAsia="Calibri"/>
              </w:rPr>
              <w:t>art. 21 rozporządzenia Parlamentu Europejskiego i Rady (UE) 2021/241 z dnia 12 lutego 2021 r. ustanawiające Instrument na rzecz Odbudowy i Zwiększania Odporności</w:t>
            </w:r>
            <w:r w:rsidRPr="00E0193B" w:rsidDel="00A106E1">
              <w:rPr>
                <w:rFonts w:eastAsia="Calibri"/>
              </w:rPr>
              <w:t xml:space="preserve"> </w:t>
            </w:r>
          </w:p>
        </w:tc>
      </w:tr>
      <w:tr w:rsidR="00D94758" w:rsidRPr="00E0193B" w14:paraId="662200C3" w14:textId="77777777" w:rsidTr="00D94758">
        <w:tc>
          <w:tcPr>
            <w:tcW w:w="1068" w:type="pct"/>
            <w:shd w:val="clear" w:color="auto" w:fill="D9D9D9"/>
          </w:tcPr>
          <w:p w14:paraId="4C96D3BA" w14:textId="77777777" w:rsidR="00D94758" w:rsidRPr="00E0193B" w:rsidRDefault="00D94758" w:rsidP="00D94758">
            <w:pPr>
              <w:spacing w:after="0" w:line="240" w:lineRule="auto"/>
              <w:jc w:val="left"/>
              <w:rPr>
                <w:rFonts w:eastAsia="Calibri"/>
                <w:highlight w:val="lightGray"/>
              </w:rPr>
            </w:pPr>
            <w:r w:rsidRPr="00E0193B">
              <w:rPr>
                <w:rFonts w:eastAsia="Calibri"/>
                <w:highlight w:val="lightGray"/>
              </w:rPr>
              <w:t>Modyfikowany element</w:t>
            </w:r>
          </w:p>
        </w:tc>
        <w:tc>
          <w:tcPr>
            <w:tcW w:w="1912" w:type="pct"/>
            <w:shd w:val="clear" w:color="auto" w:fill="D9D9D9"/>
          </w:tcPr>
          <w:p w14:paraId="5145734A" w14:textId="77777777" w:rsidR="00D94758" w:rsidRPr="00E0193B" w:rsidRDefault="00D94758" w:rsidP="00D94758">
            <w:pPr>
              <w:spacing w:after="0" w:line="240" w:lineRule="auto"/>
              <w:jc w:val="center"/>
              <w:rPr>
                <w:rFonts w:eastAsia="Calibri"/>
                <w:highlight w:val="lightGray"/>
              </w:rPr>
            </w:pPr>
            <w:r w:rsidRPr="00E0193B">
              <w:rPr>
                <w:rFonts w:eastAsia="Calibri"/>
                <w:highlight w:val="lightGray"/>
              </w:rPr>
              <w:t>Wersja aktualna</w:t>
            </w:r>
          </w:p>
        </w:tc>
        <w:tc>
          <w:tcPr>
            <w:tcW w:w="2020" w:type="pct"/>
            <w:shd w:val="clear" w:color="auto" w:fill="D9D9D9"/>
          </w:tcPr>
          <w:p w14:paraId="7064CD39" w14:textId="77777777" w:rsidR="00D94758" w:rsidRPr="00E0193B" w:rsidRDefault="00D94758" w:rsidP="00D94758">
            <w:pPr>
              <w:spacing w:after="0" w:line="240" w:lineRule="auto"/>
              <w:jc w:val="center"/>
              <w:rPr>
                <w:rFonts w:eastAsia="Calibri"/>
                <w:highlight w:val="lightGray"/>
              </w:rPr>
            </w:pPr>
            <w:r w:rsidRPr="00E0193B">
              <w:rPr>
                <w:rFonts w:eastAsia="Calibri"/>
                <w:highlight w:val="lightGray"/>
              </w:rPr>
              <w:t>Wersja zmieniona</w:t>
            </w:r>
          </w:p>
        </w:tc>
      </w:tr>
      <w:tr w:rsidR="00D94758" w:rsidRPr="00E0193B" w14:paraId="11270666" w14:textId="77777777" w:rsidTr="00C94B0A">
        <w:trPr>
          <w:trHeight w:val="841"/>
        </w:trPr>
        <w:tc>
          <w:tcPr>
            <w:tcW w:w="1068" w:type="pct"/>
          </w:tcPr>
          <w:p w14:paraId="418418D3" w14:textId="77777777" w:rsidR="00D94758" w:rsidRPr="00E0193B" w:rsidRDefault="00D94758" w:rsidP="00D94758">
            <w:pPr>
              <w:spacing w:after="0" w:line="240" w:lineRule="auto"/>
              <w:jc w:val="left"/>
              <w:rPr>
                <w:rFonts w:eastAsia="Calibri"/>
              </w:rPr>
            </w:pPr>
            <w:r w:rsidRPr="00E0193B">
              <w:rPr>
                <w:rFonts w:eastAsia="Calibri"/>
              </w:rPr>
              <w:t>Opis kamienia milowego lub wskaźnika.</w:t>
            </w:r>
          </w:p>
          <w:p w14:paraId="03B92448" w14:textId="77777777" w:rsidR="00D94758" w:rsidRPr="00E0193B" w:rsidRDefault="00D94758" w:rsidP="00D94758">
            <w:pPr>
              <w:spacing w:line="240" w:lineRule="auto"/>
              <w:jc w:val="left"/>
              <w:rPr>
                <w:rFonts w:eastAsia="Calibri"/>
              </w:rPr>
            </w:pPr>
          </w:p>
          <w:p w14:paraId="70B19886" w14:textId="77777777" w:rsidR="00D94758" w:rsidRPr="00E0193B" w:rsidRDefault="00D94758" w:rsidP="00D94758">
            <w:pPr>
              <w:spacing w:line="240" w:lineRule="auto"/>
              <w:jc w:val="left"/>
              <w:rPr>
                <w:rFonts w:eastAsia="Calibri"/>
              </w:rPr>
            </w:pPr>
          </w:p>
          <w:p w14:paraId="683539A0" w14:textId="77777777" w:rsidR="00D94758" w:rsidRPr="00E0193B" w:rsidRDefault="00D94758" w:rsidP="00D94758">
            <w:pPr>
              <w:spacing w:line="240" w:lineRule="auto"/>
              <w:jc w:val="left"/>
              <w:rPr>
                <w:rFonts w:eastAsia="Calibri"/>
              </w:rPr>
            </w:pPr>
          </w:p>
          <w:p w14:paraId="5CF08D29" w14:textId="77777777" w:rsidR="00D94758" w:rsidRPr="00E0193B" w:rsidRDefault="00D94758" w:rsidP="00D94758">
            <w:pPr>
              <w:spacing w:line="240" w:lineRule="auto"/>
              <w:jc w:val="left"/>
              <w:rPr>
                <w:rFonts w:eastAsia="Calibri"/>
              </w:rPr>
            </w:pPr>
          </w:p>
          <w:p w14:paraId="29E3361B" w14:textId="77777777" w:rsidR="00D94758" w:rsidRPr="00E0193B" w:rsidRDefault="00D94758" w:rsidP="00D94758">
            <w:pPr>
              <w:spacing w:line="240" w:lineRule="auto"/>
              <w:jc w:val="left"/>
              <w:rPr>
                <w:rFonts w:eastAsia="Calibri"/>
              </w:rPr>
            </w:pPr>
          </w:p>
          <w:p w14:paraId="0C9F683A" w14:textId="77777777" w:rsidR="00D94758" w:rsidRPr="00E0193B" w:rsidRDefault="00D94758" w:rsidP="00D94758">
            <w:pPr>
              <w:spacing w:line="240" w:lineRule="auto"/>
              <w:jc w:val="left"/>
              <w:rPr>
                <w:rFonts w:eastAsia="Calibri"/>
              </w:rPr>
            </w:pPr>
          </w:p>
        </w:tc>
        <w:tc>
          <w:tcPr>
            <w:tcW w:w="1912" w:type="pct"/>
          </w:tcPr>
          <w:p w14:paraId="5A6E384F" w14:textId="77777777" w:rsidR="00D94758" w:rsidRPr="00E0193B" w:rsidRDefault="00D94758" w:rsidP="00D94758">
            <w:pPr>
              <w:spacing w:line="240" w:lineRule="auto"/>
              <w:contextualSpacing/>
              <w:rPr>
                <w:lang w:val="en-GB"/>
              </w:rPr>
            </w:pPr>
            <w:r w:rsidRPr="00E0193B">
              <w:rPr>
                <w:lang w:val="en-GB"/>
              </w:rPr>
              <w:t>E21G</w:t>
            </w:r>
          </w:p>
          <w:p w14:paraId="5173143A" w14:textId="77777777" w:rsidR="00D94758" w:rsidRPr="00E0193B" w:rsidRDefault="00D94758" w:rsidP="00D94758">
            <w:pPr>
              <w:spacing w:after="0" w:line="240" w:lineRule="auto"/>
              <w:jc w:val="left"/>
              <w:rPr>
                <w:rFonts w:eastAsia="Calibri"/>
                <w:lang w:val="en-GB"/>
              </w:rPr>
            </w:pPr>
            <w:r w:rsidRPr="00E0193B">
              <w:rPr>
                <w:rFonts w:eastAsia="Calibri"/>
                <w:lang w:val="en-GB"/>
              </w:rPr>
              <w:t>(…) After the call, the contracts with selected beneficiaries shall be signed for support of 8 intermodal terminals and delivery of 200 units of rolling stock (…)</w:t>
            </w:r>
          </w:p>
          <w:p w14:paraId="46DBD3A1" w14:textId="77777777" w:rsidR="00D94758" w:rsidRPr="00E0193B" w:rsidRDefault="00D94758" w:rsidP="00D94758">
            <w:pPr>
              <w:spacing w:after="0" w:line="240" w:lineRule="auto"/>
              <w:jc w:val="left"/>
              <w:rPr>
                <w:rFonts w:eastAsia="Calibri"/>
              </w:rPr>
            </w:pPr>
            <w:r w:rsidRPr="00E0193B">
              <w:rPr>
                <w:rFonts w:eastAsia="Calibri"/>
              </w:rPr>
              <w:t>(…) Po zaproszeniu z wybranymi beneficjentami zostaną podpisane umowy na wsparcie 8 terminali intermodalnych i dostawę 200 jednostek taboru kolejowego (…)</w:t>
            </w:r>
          </w:p>
          <w:p w14:paraId="7A52AA2A" w14:textId="77777777" w:rsidR="00D94758" w:rsidRPr="00E0193B" w:rsidRDefault="00D94758" w:rsidP="00D94758">
            <w:pPr>
              <w:spacing w:after="0" w:line="240" w:lineRule="auto"/>
              <w:ind w:left="-6"/>
              <w:jc w:val="left"/>
              <w:rPr>
                <w:rFonts w:eastAsia="Calibri"/>
              </w:rPr>
            </w:pPr>
            <w:r w:rsidRPr="00E0193B">
              <w:rPr>
                <w:rFonts w:eastAsia="Calibri"/>
              </w:rPr>
              <w:t xml:space="preserve"> </w:t>
            </w:r>
          </w:p>
        </w:tc>
        <w:tc>
          <w:tcPr>
            <w:tcW w:w="2020" w:type="pct"/>
          </w:tcPr>
          <w:p w14:paraId="505715ED" w14:textId="77777777" w:rsidR="00D94758" w:rsidRPr="00E0193B" w:rsidRDefault="00D94758" w:rsidP="00D94758">
            <w:pPr>
              <w:spacing w:line="240" w:lineRule="auto"/>
              <w:ind w:left="55"/>
              <w:contextualSpacing/>
              <w:rPr>
                <w:lang w:val="en-GB"/>
              </w:rPr>
            </w:pPr>
            <w:r w:rsidRPr="00E0193B">
              <w:rPr>
                <w:lang w:val="en-GB"/>
              </w:rPr>
              <w:t>E21G</w:t>
            </w:r>
          </w:p>
          <w:p w14:paraId="37F10AED" w14:textId="77777777" w:rsidR="00D94758" w:rsidRPr="00E0193B" w:rsidRDefault="00D94758" w:rsidP="00D94758">
            <w:pPr>
              <w:spacing w:after="0" w:line="240" w:lineRule="auto"/>
              <w:ind w:left="-6"/>
              <w:jc w:val="left"/>
              <w:rPr>
                <w:rFonts w:eastAsia="Calibri"/>
                <w:lang w:val="en-GB"/>
              </w:rPr>
            </w:pPr>
            <w:r w:rsidRPr="00E0193B">
              <w:rPr>
                <w:rFonts w:eastAsia="Calibri"/>
                <w:lang w:val="en-GB"/>
              </w:rPr>
              <w:t xml:space="preserve">(…) After the call, the contracts with selected beneficiaries shall be signed for support of </w:t>
            </w:r>
            <w:r w:rsidRPr="00E0193B">
              <w:rPr>
                <w:rFonts w:eastAsia="Calibri"/>
                <w:color w:val="FF0000"/>
                <w:lang w:val="en-GB"/>
              </w:rPr>
              <w:t xml:space="preserve">5 </w:t>
            </w:r>
            <w:r w:rsidRPr="00E0193B">
              <w:rPr>
                <w:rFonts w:eastAsia="Calibri"/>
                <w:lang w:val="en-GB"/>
              </w:rPr>
              <w:t>intermodal terminals and delivery of 200 units of rolling stock (…)</w:t>
            </w:r>
          </w:p>
          <w:p w14:paraId="19BA0A3A" w14:textId="195402B7" w:rsidR="00D94758" w:rsidRPr="00E0193B" w:rsidRDefault="00D94758" w:rsidP="00B77B97">
            <w:pPr>
              <w:spacing w:after="0" w:line="240" w:lineRule="auto"/>
              <w:ind w:left="-6"/>
              <w:jc w:val="left"/>
              <w:rPr>
                <w:rFonts w:eastAsia="Calibri"/>
              </w:rPr>
            </w:pPr>
            <w:r w:rsidRPr="00E0193B">
              <w:rPr>
                <w:rFonts w:eastAsia="Calibri"/>
              </w:rPr>
              <w:t xml:space="preserve">Po zaproszeniu z wybranymi beneficjentami zostaną podpisane umowy na wsparcie </w:t>
            </w:r>
            <w:r w:rsidRPr="00E0193B">
              <w:rPr>
                <w:rFonts w:eastAsia="Calibri"/>
                <w:color w:val="FF0000"/>
              </w:rPr>
              <w:t xml:space="preserve">5 </w:t>
            </w:r>
            <w:r w:rsidRPr="00E0193B">
              <w:rPr>
                <w:rFonts w:eastAsia="Calibri"/>
              </w:rPr>
              <w:t xml:space="preserve">terminali intermodalnych i dostawę 200 jednostek taboru kolejowego (…) </w:t>
            </w:r>
          </w:p>
        </w:tc>
      </w:tr>
      <w:tr w:rsidR="00D94758" w:rsidRPr="00E0193B" w14:paraId="3CCFCFEB" w14:textId="77777777" w:rsidTr="008C1B0D">
        <w:tc>
          <w:tcPr>
            <w:tcW w:w="1068" w:type="pct"/>
          </w:tcPr>
          <w:p w14:paraId="212D3ACB" w14:textId="77777777" w:rsidR="00D94758" w:rsidRPr="00E0193B" w:rsidRDefault="00D94758" w:rsidP="00D94758">
            <w:pPr>
              <w:spacing w:after="0" w:line="240" w:lineRule="auto"/>
              <w:jc w:val="left"/>
              <w:rPr>
                <w:rFonts w:eastAsia="Calibri"/>
              </w:rPr>
            </w:pPr>
            <w:r w:rsidRPr="00E0193B">
              <w:rPr>
                <w:rFonts w:eastAsia="Calibri"/>
              </w:rPr>
              <w:t>Uzasadnienie</w:t>
            </w:r>
          </w:p>
        </w:tc>
        <w:tc>
          <w:tcPr>
            <w:tcW w:w="3932" w:type="pct"/>
            <w:gridSpan w:val="2"/>
          </w:tcPr>
          <w:p w14:paraId="5F353903" w14:textId="2E735749" w:rsidR="00D94758" w:rsidRPr="00E0193B" w:rsidRDefault="00D94758" w:rsidP="00D94758">
            <w:pPr>
              <w:spacing w:after="120" w:line="240" w:lineRule="auto"/>
              <w:jc w:val="left"/>
              <w:rPr>
                <w:rFonts w:eastAsia="Calibri"/>
              </w:rPr>
            </w:pPr>
            <w:r w:rsidRPr="00E0193B">
              <w:rPr>
                <w:rFonts w:eastAsia="Calibri"/>
              </w:rPr>
              <w:t>W ramach realizacji inwestycji E2.1.3 Projekty intermodalne proponowana zmiana z 8 na 5 terminali jest związana z prowadzoną prekwalifikacją i zgłoszeniem się wyłącznie 6 projektów polegających na wsparciu terminali intermodalnych. Wstępna kwalifikacja projektów polega na przeprowadzeniu naboru wniosków o udzielenie pomocy publicznej na inwestycje w zakresie transportu intermodalnego w ramach KPO oraz na dokonaniu wyłącznie ich wstępnej oceny przez CUPT pod kątem kwalifikowania się projektu do otrzymania pomocy.</w:t>
            </w:r>
          </w:p>
          <w:p w14:paraId="3208F5F5" w14:textId="77777777" w:rsidR="00B77B97" w:rsidRPr="00E0193B" w:rsidRDefault="00B77B97" w:rsidP="00B77B97">
            <w:pPr>
              <w:spacing w:after="120" w:line="240" w:lineRule="auto"/>
              <w:jc w:val="left"/>
              <w:rPr>
                <w:rFonts w:eastAsia="Calibri"/>
              </w:rPr>
            </w:pPr>
            <w:r w:rsidRPr="00E0193B">
              <w:rPr>
                <w:rFonts w:eastAsia="Calibri"/>
              </w:rPr>
              <w:t>Dodatkowo czas na realizację do 30.06.2026 r. jest zbyt krótki na realizację projektów terminalowych, co może dodatkowo ograniczyć liczbę zainteresowanych skorzystaniem ze środków RRF.</w:t>
            </w:r>
          </w:p>
          <w:p w14:paraId="1CD08EC6" w14:textId="77777777" w:rsidR="00B77B97" w:rsidRPr="00E0193B" w:rsidRDefault="00B77B97" w:rsidP="00B77B97">
            <w:pPr>
              <w:spacing w:after="120" w:line="240" w:lineRule="auto"/>
              <w:jc w:val="left"/>
              <w:rPr>
                <w:rFonts w:eastAsia="Calibri"/>
              </w:rPr>
            </w:pPr>
            <w:r w:rsidRPr="00E0193B">
              <w:rPr>
                <w:rFonts w:eastAsia="Calibri"/>
              </w:rPr>
              <w:t>Wybór projektów do dofinansowania będzie przebiegał w trybie konkurencyjnym. Ocena projektów w ramach procedury wyboru projektów do wsparcia będzie obejmowała m.in. weryfikację stopnia przygotowania projektów, stopnia efektywności ekonomicznej proponowanych działań i zostanie przeprowadzona zgodnie z kryteriami formalnymi i merytorycznymi stosowanymi dotychczas dla konkursów przez CUPT, w tym pod kątem spełnienia wymagań środowiskowych UE,  tj. czy przedsięwzięcie zostało przygotowane zgodnie z ustawą o ochronie środowiska.</w:t>
            </w:r>
          </w:p>
          <w:p w14:paraId="08020272" w14:textId="77777777" w:rsidR="00B77B97" w:rsidRPr="00E0193B" w:rsidRDefault="00B77B97" w:rsidP="00B77B97">
            <w:pPr>
              <w:spacing w:after="120" w:line="240" w:lineRule="auto"/>
              <w:jc w:val="left"/>
              <w:rPr>
                <w:rFonts w:eastAsia="Calibri"/>
              </w:rPr>
            </w:pPr>
            <w:r w:rsidRPr="00E0193B">
              <w:rPr>
                <w:rFonts w:eastAsia="Calibri"/>
              </w:rPr>
              <w:t>Zgodnie z § 6 Regulaminu Konkursu, ceny poszczególnych projektów pod kątem spełnienia kryteriów wyboru realizowane są przez RRF w terminie nie dłuższym niż łącznie 120 dni od daty zakończenia naboru (kalkulowane indywidualnie dla każdego projektu). Do okresu oceny nie wlicza się czasu przyznanego wnioskodawcy na przedstawienie wyjaśnień lub uzupełnienie braków we wniosku o objęcie projektu wsparciem, o ile łączny czas przyznany wnioskodawcy nie przekracza 60 dni.</w:t>
            </w:r>
          </w:p>
          <w:p w14:paraId="502491F3" w14:textId="77777777" w:rsidR="00B77B97" w:rsidRPr="00E0193B" w:rsidRDefault="00B77B97" w:rsidP="00B77B97">
            <w:pPr>
              <w:spacing w:after="120" w:line="240" w:lineRule="auto"/>
              <w:jc w:val="left"/>
              <w:rPr>
                <w:rFonts w:eastAsia="Calibri"/>
              </w:rPr>
            </w:pPr>
            <w:r w:rsidRPr="00E0193B">
              <w:rPr>
                <w:rFonts w:eastAsia="Calibri"/>
              </w:rPr>
              <w:t>W związku z tym nie mamy na ten moment jednoznacznej pewności, że projekty zgłoszone w ramach prekwalifikacji zostaną złożone w ramach naboru wniosków i przejdą procedurę wyboru projektów konkursowych. Złożenie wniosku w trakcie prekwalifikacji nie jest zobowiązaniem do udziału w procedurze konkursowej i nie gwarantuje, że podmiot zdecyduje się na realizację złożonego projektu w ramach RRF.</w:t>
            </w:r>
          </w:p>
          <w:p w14:paraId="25FFFC82" w14:textId="77777777" w:rsidR="00B77B97" w:rsidRPr="00E0193B" w:rsidRDefault="00B77B97" w:rsidP="00B77B97">
            <w:pPr>
              <w:spacing w:after="120" w:line="240" w:lineRule="auto"/>
              <w:jc w:val="left"/>
              <w:rPr>
                <w:rFonts w:eastAsia="Calibri"/>
              </w:rPr>
            </w:pPr>
            <w:r w:rsidRPr="00E0193B">
              <w:rPr>
                <w:rFonts w:eastAsia="Calibri"/>
              </w:rPr>
              <w:t>Może się zatem zdarzyć, że nie wszystkie projekty, które uzyskały pozytywną opinię w prekwalifikacji, spełnią kryteria wyboru lub nie otrzymają odpowiedniej liczby punktów w konkursie i nie otrzymają wsparcia w ramach RRF.</w:t>
            </w:r>
          </w:p>
          <w:p w14:paraId="6886C9E9" w14:textId="77777777" w:rsidR="00B77B97" w:rsidRPr="00E0193B" w:rsidRDefault="00B77B97" w:rsidP="00B77B97">
            <w:pPr>
              <w:spacing w:after="120" w:line="240" w:lineRule="auto"/>
              <w:jc w:val="left"/>
              <w:rPr>
                <w:rFonts w:eastAsia="Calibri"/>
              </w:rPr>
            </w:pPr>
            <w:r w:rsidRPr="00E0193B">
              <w:rPr>
                <w:rFonts w:eastAsia="Calibri"/>
              </w:rPr>
              <w:t>Zmiana związana jest ze znacznym wzrostem kosztów robót budowlanych i materiałów budowlanych. Analizę kosztów wykonano na podstawie projektów realizowanych w ramach POIŚ 14-20.W ramach przeprowadzonej prekwalifikacji do inwestycji E2.1.3 Transport intermodalny można zaobserwować znaczący wzrost kosztów robót budowlanych i materiałów budowlanych związany ze wzrostem cen energii i paliw.</w:t>
            </w:r>
          </w:p>
          <w:p w14:paraId="15FCE2D0" w14:textId="77777777" w:rsidR="00B77B97" w:rsidRPr="00E0193B" w:rsidRDefault="00B77B97" w:rsidP="00B77B97">
            <w:pPr>
              <w:spacing w:after="120" w:line="240" w:lineRule="auto"/>
              <w:jc w:val="left"/>
              <w:rPr>
                <w:rFonts w:eastAsia="Calibri"/>
              </w:rPr>
            </w:pPr>
            <w:r w:rsidRPr="00E0193B">
              <w:rPr>
                <w:rFonts w:eastAsia="Calibri"/>
              </w:rPr>
              <w:lastRenderedPageBreak/>
              <w:t>Ponadto w otwartej 31.03.2023 r. prekwalifikacji wpłynęło dotychczas 45 wniosków, w tym 14 wniosków na projekty obejmujące wsparcie (budowę, przebudowę i modernizację) terminali.</w:t>
            </w:r>
          </w:p>
          <w:p w14:paraId="21960002" w14:textId="77777777" w:rsidR="00B77B97" w:rsidRPr="00E0193B" w:rsidRDefault="00B77B97" w:rsidP="00B77B97">
            <w:pPr>
              <w:spacing w:after="120" w:line="240" w:lineRule="auto"/>
              <w:jc w:val="left"/>
              <w:rPr>
                <w:rFonts w:eastAsia="Calibri"/>
              </w:rPr>
            </w:pPr>
            <w:r w:rsidRPr="00E0193B">
              <w:rPr>
                <w:rFonts w:eastAsia="Calibri"/>
              </w:rPr>
              <w:t>Ze względu na lokalizację poza siecią TEN-T, okres realizacji inwestycji wykraczający poza 30.06.2026 r. oraz zakres projektu (nie spełnia warunku wykorzystania wyłącznie do transportu intermodalnego), tylko 6 projektów wstępnie kwalifikuje się do wsparcia w ramach inwestycji E2.1.3 RRF (dane na dzień 22.03.2024 r.).</w:t>
            </w:r>
          </w:p>
          <w:p w14:paraId="128B1A48" w14:textId="77777777" w:rsidR="00B77B97" w:rsidRPr="00E0193B" w:rsidRDefault="00B77B97" w:rsidP="00B77B97">
            <w:pPr>
              <w:spacing w:after="120" w:line="240" w:lineRule="auto"/>
              <w:jc w:val="left"/>
              <w:rPr>
                <w:rFonts w:eastAsia="Calibri"/>
              </w:rPr>
            </w:pPr>
            <w:r w:rsidRPr="00E0193B">
              <w:rPr>
                <w:rFonts w:eastAsia="Calibri"/>
              </w:rPr>
              <w:t>Na podstawie decyzji Komisji (26.03.2024 r.) wsparcie w ramach programu będzie udzielane na podstawie art. 93 TFUE zarówno dla projektów terminalowych, jak i taboru kolejowego. KE nie poparła propozycji zwiększenia poziomu pomocy do 75% dla projektów związanych z zakupem elektrycznych urządzeń transportu bliskiego.</w:t>
            </w:r>
          </w:p>
          <w:p w14:paraId="112468A9" w14:textId="66524C9E" w:rsidR="008A1AA6" w:rsidRPr="00E0193B" w:rsidRDefault="00B77B97" w:rsidP="008A1AA6">
            <w:pPr>
              <w:spacing w:after="120" w:line="240" w:lineRule="auto"/>
              <w:jc w:val="left"/>
              <w:rPr>
                <w:rFonts w:eastAsia="Calibri"/>
              </w:rPr>
            </w:pPr>
            <w:r w:rsidRPr="00E0193B">
              <w:rPr>
                <w:rFonts w:eastAsia="Calibri"/>
              </w:rPr>
              <w:t>W związku z tym konieczna jest zmiana zapisów projektu rozporządzenia Ministra Infrastruktury w sprawie udzielania pomocy publicznej na transport intermodalny w ramach RRF.</w:t>
            </w:r>
          </w:p>
        </w:tc>
      </w:tr>
      <w:tr w:rsidR="00D94758" w:rsidRPr="00E0193B" w14:paraId="03D3E0CC" w14:textId="77777777" w:rsidTr="008C1B0D">
        <w:tc>
          <w:tcPr>
            <w:tcW w:w="1068" w:type="pct"/>
          </w:tcPr>
          <w:p w14:paraId="0B6850E0" w14:textId="77777777" w:rsidR="00D94758" w:rsidRPr="00E0193B" w:rsidRDefault="00D94758" w:rsidP="00D94758">
            <w:pPr>
              <w:spacing w:after="0" w:line="240" w:lineRule="auto"/>
              <w:jc w:val="left"/>
              <w:rPr>
                <w:rFonts w:eastAsia="Calibri"/>
              </w:rPr>
            </w:pPr>
            <w:r w:rsidRPr="00E0193B">
              <w:rPr>
                <w:rFonts w:eastAsia="Calibri"/>
              </w:rPr>
              <w:lastRenderedPageBreak/>
              <w:t>Szacowany koszt</w:t>
            </w:r>
          </w:p>
        </w:tc>
        <w:tc>
          <w:tcPr>
            <w:tcW w:w="3932" w:type="pct"/>
            <w:gridSpan w:val="2"/>
          </w:tcPr>
          <w:p w14:paraId="3BF3676F" w14:textId="5CE1B27C" w:rsidR="00D94758" w:rsidRPr="00E0193B" w:rsidRDefault="00D94758" w:rsidP="00D94758">
            <w:pPr>
              <w:spacing w:line="240" w:lineRule="auto"/>
              <w:jc w:val="left"/>
              <w:rPr>
                <w:rFonts w:eastAsia="Calibri"/>
              </w:rPr>
            </w:pPr>
            <w:r w:rsidRPr="00E0193B">
              <w:rPr>
                <w:rFonts w:eastAsia="Calibri"/>
              </w:rPr>
              <w:t>Zmiana nie ma wpływu na szacowany koszt z uwagi na jedną, wspólną kwotę dla terminali i taboru</w:t>
            </w:r>
            <w:r w:rsidR="00ED5265" w:rsidRPr="00E0193B">
              <w:rPr>
                <w:rFonts w:eastAsia="Calibri"/>
              </w:rPr>
              <w:t>.</w:t>
            </w:r>
          </w:p>
        </w:tc>
      </w:tr>
      <w:tr w:rsidR="00D94758" w:rsidRPr="00E0193B" w14:paraId="392E6BB3" w14:textId="77777777" w:rsidTr="008C1B0D">
        <w:tc>
          <w:tcPr>
            <w:tcW w:w="1068" w:type="pct"/>
          </w:tcPr>
          <w:p w14:paraId="7263B2EB" w14:textId="77777777" w:rsidR="00D94758" w:rsidRPr="00E0193B" w:rsidRDefault="00D94758" w:rsidP="00D94758">
            <w:pPr>
              <w:spacing w:after="0" w:line="240" w:lineRule="auto"/>
              <w:jc w:val="left"/>
              <w:rPr>
                <w:rFonts w:eastAsia="Calibri"/>
              </w:rPr>
            </w:pPr>
            <w:r w:rsidRPr="00E0193B">
              <w:rPr>
                <w:rFonts w:eastAsia="Calibri"/>
              </w:rPr>
              <w:t xml:space="preserve">Cyfrowy i klimatyczny tagging </w:t>
            </w:r>
          </w:p>
        </w:tc>
        <w:tc>
          <w:tcPr>
            <w:tcW w:w="3932" w:type="pct"/>
            <w:gridSpan w:val="2"/>
          </w:tcPr>
          <w:p w14:paraId="5D30EE2F" w14:textId="761E3A9A" w:rsidR="00D94758" w:rsidRPr="00E0193B" w:rsidRDefault="00D94758" w:rsidP="00D94758">
            <w:pPr>
              <w:spacing w:after="0" w:line="240" w:lineRule="auto"/>
              <w:jc w:val="left"/>
              <w:rPr>
                <w:rFonts w:eastAsia="Calibri"/>
              </w:rPr>
            </w:pPr>
            <w:r w:rsidRPr="00E0193B">
              <w:rPr>
                <w:rFonts w:eastAsia="Calibri"/>
              </w:rPr>
              <w:t>W przypadku, gdy proponowane zmiany wpłyną na wartość inwestycji wówczas może to skutkować  zmniejszeniem kwoty środków przeznaczonych na tagging klimatyczny w tej inwestycji. Niemniej jednak niewykorzystane środki mogą zostać przeznaczone na wsparcie inwestycji o większym wpływie na tagging klimatyczny, np. na tabor kolejowy.</w:t>
            </w:r>
          </w:p>
        </w:tc>
      </w:tr>
      <w:tr w:rsidR="00D94758" w:rsidRPr="00E0193B" w14:paraId="74BFFF96" w14:textId="77777777" w:rsidTr="008C1B0D">
        <w:tc>
          <w:tcPr>
            <w:tcW w:w="1068" w:type="pct"/>
            <w:tcBorders>
              <w:bottom w:val="single" w:sz="4" w:space="0" w:color="auto"/>
            </w:tcBorders>
          </w:tcPr>
          <w:p w14:paraId="44E677B6" w14:textId="77777777" w:rsidR="00D94758" w:rsidRPr="00E0193B" w:rsidRDefault="00D94758" w:rsidP="00D94758">
            <w:pPr>
              <w:spacing w:after="0" w:line="240" w:lineRule="auto"/>
              <w:jc w:val="left"/>
              <w:rPr>
                <w:rFonts w:eastAsia="Calibri"/>
              </w:rPr>
            </w:pPr>
            <w:r w:rsidRPr="00E0193B">
              <w:rPr>
                <w:rFonts w:eastAsia="Calibri"/>
              </w:rPr>
              <w:t xml:space="preserve">Zasada DNSH </w:t>
            </w:r>
          </w:p>
        </w:tc>
        <w:tc>
          <w:tcPr>
            <w:tcW w:w="3932" w:type="pct"/>
            <w:gridSpan w:val="2"/>
            <w:tcBorders>
              <w:bottom w:val="single" w:sz="4" w:space="0" w:color="auto"/>
            </w:tcBorders>
          </w:tcPr>
          <w:p w14:paraId="588B581C" w14:textId="77777777" w:rsidR="00D94758" w:rsidRPr="00E0193B" w:rsidRDefault="00D94758" w:rsidP="00D94758">
            <w:pPr>
              <w:spacing w:after="0" w:line="240" w:lineRule="auto"/>
              <w:jc w:val="left"/>
              <w:rPr>
                <w:rFonts w:eastAsia="Calibri"/>
                <w:highlight w:val="yellow"/>
              </w:rPr>
            </w:pPr>
            <w:r w:rsidRPr="00E0193B">
              <w:rPr>
                <w:rFonts w:eastAsia="Calibri"/>
              </w:rPr>
              <w:t>Zmiana nie ma wpływu na DNSH</w:t>
            </w:r>
            <w:r w:rsidRPr="00E0193B" w:rsidDel="00EB2612">
              <w:rPr>
                <w:rFonts w:eastAsia="Calibri"/>
              </w:rPr>
              <w:t xml:space="preserve"> </w:t>
            </w:r>
          </w:p>
        </w:tc>
      </w:tr>
      <w:tr w:rsidR="00D94758" w:rsidRPr="00935797" w14:paraId="63C99144" w14:textId="77777777" w:rsidTr="008C1B0D">
        <w:tc>
          <w:tcPr>
            <w:tcW w:w="1068" w:type="pct"/>
            <w:tcBorders>
              <w:bottom w:val="single" w:sz="4" w:space="0" w:color="auto"/>
            </w:tcBorders>
          </w:tcPr>
          <w:p w14:paraId="04BD2065" w14:textId="77777777" w:rsidR="00D94758" w:rsidRPr="00E0193B" w:rsidRDefault="00D94758" w:rsidP="00D94758">
            <w:pPr>
              <w:spacing w:after="0" w:line="240" w:lineRule="auto"/>
              <w:jc w:val="left"/>
              <w:rPr>
                <w:rFonts w:eastAsia="Calibri"/>
              </w:rPr>
            </w:pPr>
            <w:r w:rsidRPr="00E0193B">
              <w:rPr>
                <w:rFonts w:eastAsia="Calibri"/>
              </w:rPr>
              <w:t xml:space="preserve">Pomoc publiczna </w:t>
            </w:r>
          </w:p>
        </w:tc>
        <w:tc>
          <w:tcPr>
            <w:tcW w:w="3932" w:type="pct"/>
            <w:gridSpan w:val="2"/>
            <w:tcBorders>
              <w:bottom w:val="single" w:sz="4" w:space="0" w:color="auto"/>
            </w:tcBorders>
          </w:tcPr>
          <w:p w14:paraId="669082C1" w14:textId="77777777" w:rsidR="00D94758" w:rsidRPr="00E0193B" w:rsidRDefault="00D94758" w:rsidP="00D94758">
            <w:pPr>
              <w:spacing w:after="0" w:line="240" w:lineRule="auto"/>
              <w:jc w:val="left"/>
              <w:rPr>
                <w:rFonts w:eastAsia="Calibri"/>
              </w:rPr>
            </w:pPr>
            <w:r w:rsidRPr="00E0193B">
              <w:rPr>
                <w:rFonts w:eastAsia="Calibri"/>
              </w:rPr>
              <w:t>Zmiana ma związek z procedowanym rozporządzeniem pomocowym.</w:t>
            </w:r>
          </w:p>
          <w:p w14:paraId="50F50B91" w14:textId="77777777" w:rsidR="00D94758" w:rsidRPr="00E0193B" w:rsidRDefault="00D94758" w:rsidP="00D94758">
            <w:pPr>
              <w:spacing w:after="0" w:line="240" w:lineRule="auto"/>
              <w:jc w:val="left"/>
              <w:rPr>
                <w:rFonts w:eastAsia="Calibri"/>
                <w:highlight w:val="yellow"/>
                <w:lang w:val="en-GB"/>
              </w:rPr>
            </w:pPr>
            <w:r w:rsidRPr="00E0193B">
              <w:rPr>
                <w:rFonts w:eastAsia="Calibri"/>
                <w:lang w:val="en"/>
              </w:rPr>
              <w:t>The change is related to the ongoing state aid regulation.</w:t>
            </w:r>
          </w:p>
        </w:tc>
      </w:tr>
    </w:tbl>
    <w:p w14:paraId="46D6C481" w14:textId="77777777" w:rsidR="00D94758" w:rsidRPr="00E0193B" w:rsidRDefault="00D94758" w:rsidP="00D94758">
      <w:pPr>
        <w:spacing w:line="240" w:lineRule="auto"/>
        <w:jc w:val="left"/>
        <w:rPr>
          <w:rFonts w:eastAsia="Calibri"/>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26"/>
        <w:gridCol w:w="3448"/>
        <w:gridCol w:w="3642"/>
      </w:tblGrid>
      <w:tr w:rsidR="00D94758" w:rsidRPr="00E0193B" w14:paraId="7DE69C64" w14:textId="77777777" w:rsidTr="00D94758">
        <w:tc>
          <w:tcPr>
            <w:tcW w:w="1068" w:type="pct"/>
            <w:shd w:val="clear" w:color="auto" w:fill="FFFFFF"/>
          </w:tcPr>
          <w:p w14:paraId="383D6ACC" w14:textId="77777777" w:rsidR="00D94758" w:rsidRPr="00E0193B" w:rsidRDefault="00D94758" w:rsidP="00D94758">
            <w:pPr>
              <w:spacing w:after="0" w:line="240" w:lineRule="auto"/>
              <w:jc w:val="left"/>
              <w:rPr>
                <w:rFonts w:eastAsia="Calibri"/>
                <w:b/>
                <w:bCs/>
              </w:rPr>
            </w:pPr>
            <w:r w:rsidRPr="00E0193B">
              <w:rPr>
                <w:rFonts w:eastAsia="Calibri"/>
                <w:b/>
                <w:bCs/>
              </w:rPr>
              <w:t>Numer inwestycji</w:t>
            </w:r>
          </w:p>
        </w:tc>
        <w:tc>
          <w:tcPr>
            <w:tcW w:w="3932" w:type="pct"/>
            <w:gridSpan w:val="2"/>
            <w:shd w:val="clear" w:color="auto" w:fill="FFFFFF"/>
          </w:tcPr>
          <w:p w14:paraId="2736D719" w14:textId="19C4EA55" w:rsidR="00D94758" w:rsidRPr="00E0193B" w:rsidRDefault="00D94758" w:rsidP="00D94758">
            <w:pPr>
              <w:spacing w:line="240" w:lineRule="auto"/>
              <w:ind w:left="34"/>
              <w:contextualSpacing/>
              <w:rPr>
                <w:b/>
                <w:bCs/>
              </w:rPr>
            </w:pPr>
            <w:r w:rsidRPr="00E0193B">
              <w:rPr>
                <w:b/>
                <w:bCs/>
              </w:rPr>
              <w:t>E.2.2.</w:t>
            </w:r>
            <w:r w:rsidR="00B72575" w:rsidRPr="00E0193B">
              <w:rPr>
                <w:b/>
                <w:bCs/>
              </w:rPr>
              <w:t>2</w:t>
            </w:r>
          </w:p>
        </w:tc>
      </w:tr>
      <w:tr w:rsidR="00D94758" w:rsidRPr="00E0193B" w14:paraId="2E48FC82" w14:textId="77777777" w:rsidTr="008C1B0D">
        <w:tc>
          <w:tcPr>
            <w:tcW w:w="1068" w:type="pct"/>
          </w:tcPr>
          <w:p w14:paraId="130A9F05" w14:textId="77777777" w:rsidR="00D94758" w:rsidRPr="00E0193B" w:rsidRDefault="00D94758" w:rsidP="00D94758">
            <w:pPr>
              <w:spacing w:line="240" w:lineRule="auto"/>
              <w:contextualSpacing/>
              <w:rPr>
                <w:b/>
                <w:bCs/>
              </w:rPr>
            </w:pPr>
            <w:r w:rsidRPr="00E0193B">
              <w:rPr>
                <w:b/>
                <w:bCs/>
              </w:rPr>
              <w:t xml:space="preserve">Nzwa inwestycji </w:t>
            </w:r>
          </w:p>
        </w:tc>
        <w:tc>
          <w:tcPr>
            <w:tcW w:w="3932" w:type="pct"/>
            <w:gridSpan w:val="2"/>
          </w:tcPr>
          <w:p w14:paraId="19832B81" w14:textId="77777777" w:rsidR="00D94758" w:rsidRPr="00E0193B" w:rsidRDefault="00D94758" w:rsidP="00D94758">
            <w:pPr>
              <w:spacing w:line="240" w:lineRule="auto"/>
              <w:ind w:left="34"/>
              <w:contextualSpacing/>
              <w:rPr>
                <w:b/>
                <w:bCs/>
              </w:rPr>
            </w:pPr>
            <w:r w:rsidRPr="00E0193B">
              <w:rPr>
                <w:b/>
                <w:bCs/>
              </w:rPr>
              <w:t xml:space="preserve">Cyfryzacja transportu </w:t>
            </w:r>
          </w:p>
          <w:p w14:paraId="5828BF8A" w14:textId="77777777" w:rsidR="00D94758" w:rsidRPr="00E0193B" w:rsidRDefault="00D94758" w:rsidP="00D94758">
            <w:pPr>
              <w:spacing w:line="240" w:lineRule="auto"/>
              <w:ind w:left="720"/>
              <w:contextualSpacing/>
              <w:rPr>
                <w:b/>
                <w:bCs/>
              </w:rPr>
            </w:pPr>
          </w:p>
        </w:tc>
      </w:tr>
      <w:tr w:rsidR="00D94758" w:rsidRPr="00E0193B" w14:paraId="030B2F7B" w14:textId="77777777" w:rsidTr="008C1B0D">
        <w:tc>
          <w:tcPr>
            <w:tcW w:w="1068" w:type="pct"/>
          </w:tcPr>
          <w:p w14:paraId="410BC5DE" w14:textId="77777777" w:rsidR="00D94758" w:rsidRPr="00E0193B" w:rsidRDefault="00D94758" w:rsidP="00D94758">
            <w:pPr>
              <w:spacing w:line="240" w:lineRule="auto"/>
              <w:contextualSpacing/>
            </w:pPr>
            <w:r w:rsidRPr="00E0193B">
              <w:t>Rodzaj wprowadzonej zmiany w odniesieniu do CID</w:t>
            </w:r>
          </w:p>
        </w:tc>
        <w:tc>
          <w:tcPr>
            <w:tcW w:w="3932" w:type="pct"/>
            <w:gridSpan w:val="2"/>
          </w:tcPr>
          <w:p w14:paraId="7BB2A9CA" w14:textId="77777777" w:rsidR="00D94758" w:rsidRPr="00E0193B" w:rsidRDefault="00D94758" w:rsidP="00D94758">
            <w:pPr>
              <w:spacing w:line="240" w:lineRule="auto"/>
              <w:contextualSpacing/>
            </w:pPr>
            <w:r w:rsidRPr="00E0193B">
              <w:t xml:space="preserve">Modyfikacja opisu inwestycji oraz opisu i wartości wskaźników E27G i E28G </w:t>
            </w:r>
          </w:p>
          <w:p w14:paraId="1028A9EA" w14:textId="77777777" w:rsidR="00D94758" w:rsidRPr="00E0193B" w:rsidRDefault="00D94758" w:rsidP="00D94758">
            <w:pPr>
              <w:spacing w:line="240" w:lineRule="auto"/>
              <w:ind w:left="720"/>
              <w:contextualSpacing/>
            </w:pPr>
          </w:p>
        </w:tc>
      </w:tr>
      <w:tr w:rsidR="00D94758" w:rsidRPr="00E0193B" w14:paraId="26DB1240" w14:textId="77777777" w:rsidTr="00D94758">
        <w:tc>
          <w:tcPr>
            <w:tcW w:w="1068" w:type="pct"/>
            <w:shd w:val="clear" w:color="auto" w:fill="FFFFFF"/>
          </w:tcPr>
          <w:p w14:paraId="5F29415F" w14:textId="77777777" w:rsidR="00D94758" w:rsidRPr="00E0193B" w:rsidRDefault="00D94758" w:rsidP="00D94758">
            <w:pPr>
              <w:spacing w:line="240" w:lineRule="auto"/>
              <w:ind w:firstLine="67"/>
              <w:contextualSpacing/>
            </w:pPr>
            <w:r w:rsidRPr="00E0193B">
              <w:t>Podstawa prawna zmiany</w:t>
            </w:r>
          </w:p>
        </w:tc>
        <w:tc>
          <w:tcPr>
            <w:tcW w:w="3932" w:type="pct"/>
            <w:gridSpan w:val="2"/>
            <w:shd w:val="clear" w:color="auto" w:fill="FFFFFF"/>
          </w:tcPr>
          <w:p w14:paraId="4CBDC27D" w14:textId="77777777" w:rsidR="00D94758" w:rsidRPr="00E0193B" w:rsidRDefault="00D94758" w:rsidP="00D94758">
            <w:pPr>
              <w:spacing w:after="0" w:line="240" w:lineRule="auto"/>
              <w:jc w:val="left"/>
              <w:rPr>
                <w:rFonts w:eastAsia="Calibri"/>
              </w:rPr>
            </w:pPr>
            <w:r w:rsidRPr="00E0193B">
              <w:rPr>
                <w:rFonts w:eastAsia="Calibri"/>
              </w:rPr>
              <w:t>art. 21 rozporządzenia Parlamentu Europejskiego i Rady (UE) 2021/241 z dnia 12 lutego 2021 r. ustanawiające Instrument na rzecz Odbudowy i Zwiększania Odporności</w:t>
            </w:r>
            <w:r w:rsidRPr="00E0193B" w:rsidDel="00A106E1">
              <w:rPr>
                <w:rFonts w:eastAsia="Calibri"/>
              </w:rPr>
              <w:t xml:space="preserve"> </w:t>
            </w:r>
          </w:p>
        </w:tc>
      </w:tr>
      <w:tr w:rsidR="00D94758" w:rsidRPr="00E0193B" w14:paraId="0D7028B6" w14:textId="77777777" w:rsidTr="00D94758">
        <w:tc>
          <w:tcPr>
            <w:tcW w:w="1068" w:type="pct"/>
            <w:shd w:val="clear" w:color="auto" w:fill="D9D9D9"/>
          </w:tcPr>
          <w:p w14:paraId="3D57D6C0" w14:textId="77777777" w:rsidR="00D94758" w:rsidRPr="00E0193B" w:rsidRDefault="00D94758" w:rsidP="00D94758">
            <w:pPr>
              <w:spacing w:after="0" w:line="240" w:lineRule="auto"/>
              <w:jc w:val="left"/>
              <w:rPr>
                <w:rFonts w:eastAsia="Calibri"/>
              </w:rPr>
            </w:pPr>
            <w:r w:rsidRPr="00E0193B">
              <w:rPr>
                <w:rFonts w:eastAsia="Calibri"/>
              </w:rPr>
              <w:t>Modyfikowany element</w:t>
            </w:r>
          </w:p>
        </w:tc>
        <w:tc>
          <w:tcPr>
            <w:tcW w:w="1912" w:type="pct"/>
            <w:shd w:val="clear" w:color="auto" w:fill="D9D9D9"/>
          </w:tcPr>
          <w:p w14:paraId="6DD651BF" w14:textId="77777777" w:rsidR="00D94758" w:rsidRPr="00E0193B" w:rsidRDefault="00D94758" w:rsidP="00D94758">
            <w:pPr>
              <w:spacing w:after="0" w:line="240" w:lineRule="auto"/>
              <w:jc w:val="center"/>
              <w:rPr>
                <w:rFonts w:eastAsia="Calibri"/>
              </w:rPr>
            </w:pPr>
            <w:r w:rsidRPr="00E0193B">
              <w:rPr>
                <w:rFonts w:eastAsia="Calibri"/>
              </w:rPr>
              <w:t>Wersja aktualna</w:t>
            </w:r>
          </w:p>
        </w:tc>
        <w:tc>
          <w:tcPr>
            <w:tcW w:w="2020" w:type="pct"/>
            <w:shd w:val="clear" w:color="auto" w:fill="D9D9D9"/>
          </w:tcPr>
          <w:p w14:paraId="520B0FF6" w14:textId="77777777" w:rsidR="00D94758" w:rsidRPr="00E0193B" w:rsidRDefault="00D94758" w:rsidP="00D94758">
            <w:pPr>
              <w:spacing w:after="0" w:line="240" w:lineRule="auto"/>
              <w:jc w:val="center"/>
              <w:rPr>
                <w:rFonts w:eastAsia="Calibri"/>
              </w:rPr>
            </w:pPr>
            <w:r w:rsidRPr="00E0193B">
              <w:rPr>
                <w:rFonts w:eastAsia="Calibri"/>
              </w:rPr>
              <w:t>Wersja zmieniona</w:t>
            </w:r>
          </w:p>
        </w:tc>
      </w:tr>
      <w:tr w:rsidR="00D94758" w:rsidRPr="00E0193B" w14:paraId="70A5E6D4" w14:textId="77777777" w:rsidTr="008C1B0D">
        <w:tc>
          <w:tcPr>
            <w:tcW w:w="1068" w:type="pct"/>
          </w:tcPr>
          <w:p w14:paraId="22D68784" w14:textId="77777777" w:rsidR="00D94758" w:rsidRPr="00E0193B" w:rsidRDefault="00D94758" w:rsidP="00D94758">
            <w:pPr>
              <w:spacing w:after="0" w:line="240" w:lineRule="auto"/>
              <w:jc w:val="left"/>
              <w:rPr>
                <w:rFonts w:eastAsia="Calibri"/>
              </w:rPr>
            </w:pPr>
            <w:r w:rsidRPr="00E0193B">
              <w:rPr>
                <w:rFonts w:eastAsia="Calibri"/>
              </w:rPr>
              <w:t>Opis kamienia milowego lub wskaźnika.</w:t>
            </w:r>
          </w:p>
        </w:tc>
        <w:tc>
          <w:tcPr>
            <w:tcW w:w="1912" w:type="pct"/>
          </w:tcPr>
          <w:p w14:paraId="1B198BAD" w14:textId="77777777" w:rsidR="00D94758" w:rsidRPr="00E0193B" w:rsidRDefault="00D94758" w:rsidP="00D94758">
            <w:pPr>
              <w:spacing w:line="240" w:lineRule="auto"/>
              <w:ind w:left="118"/>
              <w:contextualSpacing/>
              <w:rPr>
                <w:lang w:val="en-GB"/>
              </w:rPr>
            </w:pPr>
            <w:r w:rsidRPr="00E0193B">
              <w:rPr>
                <w:lang w:val="en-GB"/>
              </w:rPr>
              <w:t xml:space="preserve">Opis inwestycji </w:t>
            </w:r>
          </w:p>
          <w:p w14:paraId="3E103295" w14:textId="77777777" w:rsidR="00D94758" w:rsidRPr="00E0193B" w:rsidRDefault="00D94758" w:rsidP="00D94758">
            <w:pPr>
              <w:spacing w:after="0" w:line="240" w:lineRule="auto"/>
              <w:ind w:left="-5"/>
              <w:jc w:val="left"/>
              <w:rPr>
                <w:rFonts w:eastAsia="Calibri"/>
                <w:lang w:val="en-GB"/>
              </w:rPr>
            </w:pPr>
            <w:r w:rsidRPr="00E0193B">
              <w:rPr>
                <w:rFonts w:eastAsia="Calibri"/>
                <w:lang w:val="en-GB"/>
              </w:rPr>
              <w:t xml:space="preserve"> (…) The measure shall include investments in: </w:t>
            </w:r>
          </w:p>
          <w:p w14:paraId="0E714397" w14:textId="77777777" w:rsidR="00D94758" w:rsidRPr="00E0193B" w:rsidRDefault="00D94758" w:rsidP="00A1213F">
            <w:pPr>
              <w:numPr>
                <w:ilvl w:val="0"/>
                <w:numId w:val="6"/>
              </w:numPr>
              <w:spacing w:after="0" w:line="240" w:lineRule="auto"/>
              <w:ind w:left="401"/>
              <w:jc w:val="left"/>
              <w:rPr>
                <w:rFonts w:eastAsia="Calibri"/>
                <w:lang w:val="en-GB"/>
              </w:rPr>
            </w:pPr>
            <w:r w:rsidRPr="00E0193B">
              <w:rPr>
                <w:rFonts w:eastAsia="Calibri"/>
                <w:lang w:val="en-GB"/>
              </w:rPr>
              <w:t xml:space="preserve">purchase and installation of 160 ERTMS on-board equipment; </w:t>
            </w:r>
          </w:p>
          <w:p w14:paraId="2A3AB9F2" w14:textId="77777777" w:rsidR="00D94758" w:rsidRPr="00E0193B" w:rsidRDefault="00D94758" w:rsidP="00A1213F">
            <w:pPr>
              <w:numPr>
                <w:ilvl w:val="0"/>
                <w:numId w:val="6"/>
              </w:numPr>
              <w:spacing w:after="0" w:line="240" w:lineRule="auto"/>
              <w:ind w:left="401"/>
              <w:jc w:val="left"/>
              <w:rPr>
                <w:rFonts w:eastAsia="Calibri"/>
                <w:lang w:val="en-GB"/>
              </w:rPr>
            </w:pPr>
            <w:r w:rsidRPr="00E0193B">
              <w:rPr>
                <w:rFonts w:eastAsia="Calibri"/>
                <w:lang w:val="en-GB"/>
              </w:rPr>
              <w:t xml:space="preserve">implementation of remote control on 35 rail traffic stations; </w:t>
            </w:r>
          </w:p>
          <w:p w14:paraId="29FC3455" w14:textId="77777777" w:rsidR="00D94758" w:rsidRPr="00E0193B" w:rsidRDefault="00D94758" w:rsidP="00A1213F">
            <w:pPr>
              <w:numPr>
                <w:ilvl w:val="0"/>
                <w:numId w:val="6"/>
              </w:numPr>
              <w:spacing w:after="0" w:line="240" w:lineRule="auto"/>
              <w:ind w:left="401"/>
              <w:jc w:val="left"/>
              <w:rPr>
                <w:rFonts w:eastAsia="Calibri"/>
                <w:lang w:val="en-GB"/>
              </w:rPr>
            </w:pPr>
            <w:r w:rsidRPr="00E0193B">
              <w:rPr>
                <w:rFonts w:eastAsia="Calibri"/>
                <w:lang w:val="en-GB"/>
              </w:rPr>
              <w:t xml:space="preserve">modernisation of railway crossing systems in 45 locations; </w:t>
            </w:r>
          </w:p>
          <w:p w14:paraId="4B707C4B" w14:textId="77777777" w:rsidR="00D94758" w:rsidRPr="00E0193B" w:rsidRDefault="00D94758" w:rsidP="00A1213F">
            <w:pPr>
              <w:numPr>
                <w:ilvl w:val="0"/>
                <w:numId w:val="6"/>
              </w:numPr>
              <w:spacing w:after="0" w:line="240" w:lineRule="auto"/>
              <w:ind w:left="401"/>
              <w:jc w:val="left"/>
              <w:rPr>
                <w:rFonts w:eastAsia="Calibri"/>
                <w:lang w:val="en-GB"/>
              </w:rPr>
            </w:pPr>
            <w:r w:rsidRPr="00E0193B">
              <w:rPr>
                <w:rFonts w:eastAsia="Calibri"/>
                <w:lang w:val="en-GB"/>
              </w:rPr>
              <w:t xml:space="preserve">construction and renovation of local control centres and investments in traffic management; </w:t>
            </w:r>
          </w:p>
          <w:p w14:paraId="355D13CD" w14:textId="77777777" w:rsidR="00D94758" w:rsidRPr="00E0193B" w:rsidRDefault="00D94758" w:rsidP="00D94758">
            <w:pPr>
              <w:spacing w:after="0" w:line="240" w:lineRule="auto"/>
              <w:ind w:left="401"/>
              <w:jc w:val="left"/>
              <w:rPr>
                <w:rFonts w:eastAsia="Calibri"/>
                <w:lang w:val="en-GB"/>
              </w:rPr>
            </w:pPr>
          </w:p>
          <w:p w14:paraId="4ECD6F0C" w14:textId="77777777" w:rsidR="00D94758" w:rsidRPr="00E0193B" w:rsidRDefault="00D94758" w:rsidP="00D94758">
            <w:pPr>
              <w:spacing w:after="0" w:line="240" w:lineRule="auto"/>
              <w:jc w:val="left"/>
              <w:rPr>
                <w:rFonts w:eastAsia="Calibri"/>
                <w:lang w:val="en-GB"/>
              </w:rPr>
            </w:pPr>
          </w:p>
          <w:p w14:paraId="3A29F574" w14:textId="77777777" w:rsidR="00D94758" w:rsidRPr="00E0193B" w:rsidRDefault="00D94758" w:rsidP="00D94758">
            <w:pPr>
              <w:spacing w:after="0" w:line="240" w:lineRule="auto"/>
              <w:jc w:val="left"/>
              <w:rPr>
                <w:rFonts w:eastAsia="Calibri"/>
                <w:color w:val="FF0000"/>
                <w:lang w:val="en-GB"/>
              </w:rPr>
            </w:pPr>
            <w:r w:rsidRPr="00E0193B">
              <w:rPr>
                <w:rFonts w:eastAsia="Calibri"/>
                <w:lang w:val="en-GB"/>
              </w:rPr>
              <w:t xml:space="preserve">to be completed by 30 June 2026 and the construction of  SDIP (Dynamic Passenger Information System), and other systems in 55 locations by 31 March 2025.  </w:t>
            </w:r>
          </w:p>
          <w:p w14:paraId="76BA31AA" w14:textId="77777777" w:rsidR="00D94758" w:rsidRPr="00E0193B" w:rsidRDefault="00D94758" w:rsidP="00D94758">
            <w:pPr>
              <w:spacing w:line="240" w:lineRule="auto"/>
              <w:ind w:left="720"/>
              <w:contextualSpacing/>
              <w:rPr>
                <w:lang w:val="en-GB"/>
              </w:rPr>
            </w:pPr>
          </w:p>
          <w:p w14:paraId="60102E62" w14:textId="77777777" w:rsidR="00D94758" w:rsidRPr="00E0193B" w:rsidRDefault="00D94758" w:rsidP="00D94758">
            <w:pPr>
              <w:spacing w:line="240" w:lineRule="auto"/>
              <w:ind w:left="720"/>
              <w:contextualSpacing/>
              <w:rPr>
                <w:u w:val="single"/>
                <w:lang w:val="en-GB"/>
              </w:rPr>
            </w:pPr>
          </w:p>
          <w:p w14:paraId="67D04788" w14:textId="77777777" w:rsidR="00D94758" w:rsidRPr="00E0193B" w:rsidRDefault="00D94758" w:rsidP="00D94758">
            <w:pPr>
              <w:spacing w:line="240" w:lineRule="auto"/>
              <w:ind w:left="720"/>
              <w:contextualSpacing/>
              <w:rPr>
                <w:u w:val="single"/>
                <w:lang w:val="en-GB"/>
              </w:rPr>
            </w:pPr>
          </w:p>
          <w:p w14:paraId="3C5515C2" w14:textId="77777777" w:rsidR="00D94758" w:rsidRPr="00E0193B" w:rsidRDefault="00D94758" w:rsidP="00D94758">
            <w:pPr>
              <w:spacing w:line="240" w:lineRule="auto"/>
              <w:jc w:val="left"/>
              <w:rPr>
                <w:rFonts w:eastAsia="Calibri"/>
                <w:u w:val="single"/>
                <w:lang w:val="en-GB"/>
              </w:rPr>
            </w:pPr>
          </w:p>
          <w:p w14:paraId="273075CA" w14:textId="77777777" w:rsidR="00D94758" w:rsidRPr="00E0193B" w:rsidRDefault="00D94758" w:rsidP="00D94758">
            <w:pPr>
              <w:spacing w:line="240" w:lineRule="auto"/>
              <w:ind w:left="118"/>
              <w:contextualSpacing/>
            </w:pPr>
            <w:r w:rsidRPr="00E0193B">
              <w:t xml:space="preserve">(…) Działanie to obejmuje inwestycje w: </w:t>
            </w:r>
          </w:p>
          <w:p w14:paraId="092396B6" w14:textId="77777777" w:rsidR="00D94758" w:rsidRPr="00E0193B" w:rsidRDefault="00D94758" w:rsidP="00D94758">
            <w:pPr>
              <w:spacing w:line="240" w:lineRule="auto"/>
              <w:ind w:left="118"/>
              <w:contextualSpacing/>
            </w:pPr>
            <w:r w:rsidRPr="00E0193B">
              <w:t xml:space="preserve">• zakup i instalację 160 urządzeń pokładowych ERTMS; </w:t>
            </w:r>
          </w:p>
          <w:p w14:paraId="35596CCE" w14:textId="77777777" w:rsidR="00D94758" w:rsidRPr="00E0193B" w:rsidRDefault="00D94758" w:rsidP="00D94758">
            <w:pPr>
              <w:spacing w:line="240" w:lineRule="auto"/>
              <w:ind w:left="118"/>
              <w:contextualSpacing/>
            </w:pPr>
            <w:r w:rsidRPr="00E0193B">
              <w:t xml:space="preserve">• wdrożenie zdalnego sterowania na 35 stacjach kolejowych; </w:t>
            </w:r>
          </w:p>
          <w:p w14:paraId="42AFE684" w14:textId="77777777" w:rsidR="00D94758" w:rsidRPr="00E0193B" w:rsidRDefault="00D94758" w:rsidP="00D94758">
            <w:pPr>
              <w:spacing w:line="240" w:lineRule="auto"/>
              <w:ind w:left="118"/>
              <w:contextualSpacing/>
            </w:pPr>
            <w:r w:rsidRPr="00E0193B">
              <w:t xml:space="preserve">• modernizację systemów przejazdów kolejowych w 45 lokalizacjach; </w:t>
            </w:r>
          </w:p>
          <w:p w14:paraId="712B1AF6" w14:textId="77777777" w:rsidR="00D94758" w:rsidRPr="00E0193B" w:rsidRDefault="00D94758" w:rsidP="00D94758">
            <w:pPr>
              <w:spacing w:line="240" w:lineRule="auto"/>
              <w:ind w:left="118"/>
              <w:contextualSpacing/>
            </w:pPr>
            <w:r w:rsidRPr="00E0193B">
              <w:t xml:space="preserve">• budowę i renowację lokalnych ośrodków kontroli oraz inwestycje w zarządzanie ruchem, </w:t>
            </w:r>
          </w:p>
          <w:p w14:paraId="1DB6345F" w14:textId="77777777" w:rsidR="00D94758" w:rsidRPr="00E0193B" w:rsidRDefault="00D94758" w:rsidP="00D94758">
            <w:pPr>
              <w:spacing w:line="240" w:lineRule="auto"/>
              <w:ind w:left="118"/>
              <w:contextualSpacing/>
              <w:rPr>
                <w:u w:val="single"/>
              </w:rPr>
            </w:pPr>
            <w:r w:rsidRPr="00E0193B">
              <w:t>które mają zostać zakończone do dnia 30 czerwca 2026 r., natomiast budowa SDIP (Systemów Dynamicznej Informacji Pasażerskiej) i innych systemów w 55 lokalizacjach – do dnia 31 marca 2025 r.</w:t>
            </w:r>
          </w:p>
          <w:p w14:paraId="7203F4A7" w14:textId="77777777" w:rsidR="00D94758" w:rsidRPr="00E0193B" w:rsidRDefault="00D94758" w:rsidP="00D94758">
            <w:pPr>
              <w:spacing w:line="240" w:lineRule="auto"/>
              <w:ind w:left="720"/>
              <w:contextualSpacing/>
              <w:rPr>
                <w:u w:val="single"/>
              </w:rPr>
            </w:pPr>
          </w:p>
          <w:p w14:paraId="1CCDAA33" w14:textId="77777777" w:rsidR="00D94758" w:rsidRPr="00E0193B" w:rsidRDefault="00D94758" w:rsidP="00D94758">
            <w:pPr>
              <w:spacing w:line="240" w:lineRule="auto"/>
              <w:ind w:left="720"/>
              <w:contextualSpacing/>
              <w:rPr>
                <w:u w:val="single"/>
              </w:rPr>
            </w:pPr>
          </w:p>
          <w:p w14:paraId="19072000" w14:textId="77777777" w:rsidR="00D94758" w:rsidRPr="00E0193B" w:rsidRDefault="00D94758" w:rsidP="00D94758">
            <w:pPr>
              <w:spacing w:line="240" w:lineRule="auto"/>
              <w:ind w:left="720"/>
              <w:contextualSpacing/>
              <w:rPr>
                <w:u w:val="single"/>
              </w:rPr>
            </w:pPr>
          </w:p>
          <w:p w14:paraId="41635FB0" w14:textId="77777777" w:rsidR="00D94758" w:rsidRPr="00E0193B" w:rsidRDefault="00D94758" w:rsidP="00D94758">
            <w:pPr>
              <w:spacing w:line="240" w:lineRule="auto"/>
              <w:ind w:left="720"/>
              <w:contextualSpacing/>
              <w:rPr>
                <w:u w:val="single"/>
              </w:rPr>
            </w:pPr>
          </w:p>
          <w:p w14:paraId="1C5ACBEA" w14:textId="77777777" w:rsidR="00D94758" w:rsidRPr="00E0193B" w:rsidRDefault="00D94758" w:rsidP="00D94758">
            <w:pPr>
              <w:spacing w:line="240" w:lineRule="auto"/>
              <w:ind w:left="720"/>
              <w:contextualSpacing/>
              <w:rPr>
                <w:u w:val="single"/>
              </w:rPr>
            </w:pPr>
          </w:p>
          <w:p w14:paraId="624D95D7" w14:textId="77777777" w:rsidR="00D94758" w:rsidRPr="00E0193B" w:rsidRDefault="00D94758" w:rsidP="00D94758">
            <w:pPr>
              <w:spacing w:line="240" w:lineRule="auto"/>
              <w:jc w:val="left"/>
              <w:rPr>
                <w:rFonts w:eastAsia="Calibri"/>
              </w:rPr>
            </w:pPr>
          </w:p>
          <w:p w14:paraId="557A3E08" w14:textId="77777777" w:rsidR="00D94758" w:rsidRPr="00E0193B" w:rsidRDefault="00D94758" w:rsidP="00D94758">
            <w:pPr>
              <w:spacing w:after="0" w:line="240" w:lineRule="auto"/>
              <w:jc w:val="left"/>
              <w:rPr>
                <w:rFonts w:eastAsia="Calibri"/>
                <w:lang w:val="en-GB"/>
              </w:rPr>
            </w:pPr>
            <w:r w:rsidRPr="00E0193B">
              <w:rPr>
                <w:rFonts w:eastAsia="Calibri"/>
                <w:lang w:val="en-GB"/>
              </w:rPr>
              <w:t>E27G</w:t>
            </w:r>
          </w:p>
          <w:p w14:paraId="4DAAAC72" w14:textId="77777777" w:rsidR="00D94758" w:rsidRPr="00E0193B" w:rsidRDefault="00D94758" w:rsidP="00D94758">
            <w:pPr>
              <w:spacing w:after="0" w:line="240" w:lineRule="auto"/>
              <w:jc w:val="left"/>
              <w:rPr>
                <w:rFonts w:eastAsia="Calibri"/>
                <w:lang w:val="en-GB"/>
              </w:rPr>
            </w:pPr>
            <w:r w:rsidRPr="00E0193B">
              <w:rPr>
                <w:rFonts w:eastAsia="Calibri"/>
                <w:lang w:val="en-GB"/>
              </w:rPr>
              <w:t>Installation of: Dynamic Passenger Information System (SDIP), control systems and level crossings in 55 areas</w:t>
            </w:r>
          </w:p>
          <w:p w14:paraId="27A66EB4" w14:textId="77777777" w:rsidR="00D94758" w:rsidRPr="00E0193B" w:rsidRDefault="00D94758" w:rsidP="00D94758">
            <w:pPr>
              <w:spacing w:after="0" w:line="240" w:lineRule="auto"/>
              <w:jc w:val="left"/>
              <w:rPr>
                <w:rFonts w:eastAsia="Calibri"/>
                <w:lang w:val="en-GB"/>
              </w:rPr>
            </w:pPr>
          </w:p>
          <w:p w14:paraId="36F1A856" w14:textId="77777777" w:rsidR="00D94758" w:rsidRPr="00E0193B" w:rsidRDefault="00D94758" w:rsidP="00D94758">
            <w:pPr>
              <w:spacing w:after="0" w:line="240" w:lineRule="auto"/>
              <w:jc w:val="left"/>
              <w:rPr>
                <w:rFonts w:eastAsia="Calibri"/>
              </w:rPr>
            </w:pPr>
            <w:r w:rsidRPr="00E0193B">
              <w:rPr>
                <w:rFonts w:eastAsia="Calibri"/>
              </w:rPr>
              <w:t>Instalacja: Systemu Dynamicznej Informacji Pasażerskiej (SDIP), systemów sterowania i przejazdów kolejowych w 55 obszarach</w:t>
            </w:r>
          </w:p>
          <w:p w14:paraId="6FD3C6E0" w14:textId="77777777" w:rsidR="00D94758" w:rsidRPr="00E0193B" w:rsidRDefault="00D94758" w:rsidP="00D94758">
            <w:pPr>
              <w:spacing w:after="0" w:line="240" w:lineRule="auto"/>
              <w:jc w:val="left"/>
              <w:rPr>
                <w:rFonts w:eastAsia="Calibri"/>
              </w:rPr>
            </w:pPr>
          </w:p>
          <w:p w14:paraId="2A818533" w14:textId="77777777" w:rsidR="00D94758" w:rsidRPr="00E0193B" w:rsidRDefault="00D94758" w:rsidP="00D94758">
            <w:pPr>
              <w:spacing w:line="240" w:lineRule="auto"/>
              <w:jc w:val="left"/>
              <w:rPr>
                <w:rFonts w:eastAsia="Calibri"/>
                <w:i/>
                <w:lang w:val="en-GB"/>
              </w:rPr>
            </w:pPr>
            <w:r w:rsidRPr="00E0193B">
              <w:rPr>
                <w:rFonts w:eastAsia="Calibri"/>
                <w:i/>
                <w:lang w:val="en-GB"/>
              </w:rPr>
              <w:t>Goal/ Cel</w:t>
            </w:r>
          </w:p>
          <w:p w14:paraId="45DFB8E3" w14:textId="77777777" w:rsidR="00D94758" w:rsidRPr="00E0193B" w:rsidRDefault="00D94758" w:rsidP="00D94758">
            <w:pPr>
              <w:spacing w:after="0" w:line="240" w:lineRule="auto"/>
              <w:jc w:val="left"/>
              <w:rPr>
                <w:rFonts w:eastAsia="Calibri"/>
                <w:lang w:val="en-GB"/>
              </w:rPr>
            </w:pPr>
            <w:r w:rsidRPr="00E0193B">
              <w:rPr>
                <w:rFonts w:eastAsia="Calibri"/>
                <w:lang w:val="en-GB"/>
              </w:rPr>
              <w:t xml:space="preserve">SDIP: 10 locations, </w:t>
            </w:r>
          </w:p>
          <w:p w14:paraId="32C4C19F" w14:textId="77777777" w:rsidR="00D94758" w:rsidRPr="00E0193B" w:rsidRDefault="00D94758" w:rsidP="00D94758">
            <w:pPr>
              <w:spacing w:after="0" w:line="240" w:lineRule="auto"/>
              <w:jc w:val="left"/>
              <w:rPr>
                <w:rFonts w:eastAsia="Calibri"/>
                <w:lang w:val="en-GB"/>
              </w:rPr>
            </w:pPr>
            <w:r w:rsidRPr="00E0193B">
              <w:rPr>
                <w:rFonts w:eastAsia="Calibri"/>
                <w:lang w:val="en-GB"/>
              </w:rPr>
              <w:t>control: 15 locations,</w:t>
            </w:r>
          </w:p>
          <w:p w14:paraId="4144AC7B" w14:textId="77777777" w:rsidR="00D94758" w:rsidRPr="00E0193B" w:rsidRDefault="00D94758" w:rsidP="00D94758">
            <w:pPr>
              <w:spacing w:after="0" w:line="240" w:lineRule="auto"/>
              <w:jc w:val="left"/>
              <w:rPr>
                <w:rFonts w:eastAsia="Calibri"/>
                <w:lang w:val="en-GB"/>
              </w:rPr>
            </w:pPr>
            <w:r w:rsidRPr="00E0193B">
              <w:rPr>
                <w:rFonts w:eastAsia="Calibri"/>
                <w:lang w:val="en-GB"/>
              </w:rPr>
              <w:lastRenderedPageBreak/>
              <w:t xml:space="preserve"> level crossings: 30 locations</w:t>
            </w:r>
          </w:p>
          <w:p w14:paraId="0299BB9C" w14:textId="77777777" w:rsidR="00D94758" w:rsidRPr="00E0193B" w:rsidRDefault="00D94758" w:rsidP="00D94758">
            <w:pPr>
              <w:spacing w:after="0" w:line="240" w:lineRule="auto"/>
              <w:jc w:val="left"/>
              <w:rPr>
                <w:rFonts w:eastAsia="Calibri"/>
                <w:u w:val="single"/>
                <w:lang w:val="en-GB"/>
              </w:rPr>
            </w:pPr>
          </w:p>
          <w:p w14:paraId="5EBF09BD" w14:textId="77777777" w:rsidR="00D94758" w:rsidRPr="00E0193B" w:rsidRDefault="00D94758" w:rsidP="00D94758">
            <w:pPr>
              <w:spacing w:after="0" w:line="240" w:lineRule="auto"/>
              <w:jc w:val="left"/>
              <w:rPr>
                <w:rFonts w:eastAsia="Calibri"/>
                <w:lang w:val="en-GB"/>
              </w:rPr>
            </w:pPr>
            <w:r w:rsidRPr="00E0193B">
              <w:rPr>
                <w:rFonts w:eastAsia="Calibri"/>
                <w:lang w:val="en-GB"/>
              </w:rPr>
              <w:t xml:space="preserve">SDIP: 10 lokalizacji; </w:t>
            </w:r>
          </w:p>
          <w:p w14:paraId="61E58F19" w14:textId="77777777" w:rsidR="00D94758" w:rsidRPr="00E0193B" w:rsidRDefault="00D94758" w:rsidP="00D94758">
            <w:pPr>
              <w:spacing w:after="0" w:line="240" w:lineRule="auto"/>
              <w:jc w:val="left"/>
              <w:rPr>
                <w:rFonts w:eastAsia="Calibri"/>
              </w:rPr>
            </w:pPr>
            <w:r w:rsidRPr="00E0193B">
              <w:rPr>
                <w:rFonts w:eastAsia="Calibri"/>
              </w:rPr>
              <w:t>control: 15 lokalizacji</w:t>
            </w:r>
          </w:p>
          <w:p w14:paraId="3EAF9117" w14:textId="77777777" w:rsidR="00D94758" w:rsidRPr="00E0193B" w:rsidRDefault="00D94758" w:rsidP="00D94758">
            <w:pPr>
              <w:spacing w:after="0" w:line="240" w:lineRule="auto"/>
              <w:jc w:val="left"/>
              <w:rPr>
                <w:rFonts w:eastAsia="Calibri"/>
              </w:rPr>
            </w:pPr>
            <w:r w:rsidRPr="00E0193B">
              <w:rPr>
                <w:rFonts w:eastAsia="Calibri"/>
              </w:rPr>
              <w:t>przejazdy: 30 lokalizacji</w:t>
            </w:r>
          </w:p>
          <w:p w14:paraId="705E057B" w14:textId="77777777" w:rsidR="00D94758" w:rsidRPr="00E0193B" w:rsidRDefault="00D94758" w:rsidP="00D94758">
            <w:pPr>
              <w:spacing w:after="0" w:line="240" w:lineRule="auto"/>
              <w:ind w:left="-6"/>
              <w:jc w:val="left"/>
              <w:rPr>
                <w:rFonts w:eastAsia="Calibri"/>
                <w:i/>
              </w:rPr>
            </w:pPr>
          </w:p>
          <w:p w14:paraId="62052FA0" w14:textId="77777777" w:rsidR="00D94758" w:rsidRPr="00E0193B" w:rsidRDefault="00D94758" w:rsidP="00D94758">
            <w:pPr>
              <w:spacing w:after="0" w:line="240" w:lineRule="auto"/>
              <w:ind w:left="-6"/>
              <w:jc w:val="left"/>
              <w:rPr>
                <w:rFonts w:eastAsia="Calibri"/>
                <w:i/>
                <w:lang w:val="en-GB"/>
              </w:rPr>
            </w:pPr>
            <w:r w:rsidRPr="00E0193B">
              <w:rPr>
                <w:rFonts w:eastAsia="Calibri"/>
                <w:i/>
              </w:rPr>
              <w:t xml:space="preserve">Description of each (…)/ </w:t>
            </w:r>
            <w:r w:rsidRPr="00E0193B">
              <w:rPr>
                <w:rFonts w:eastAsia="Calibri"/>
                <w:i/>
                <w:lang w:val="en-GB"/>
              </w:rPr>
              <w:t>Opis każdego (…)</w:t>
            </w:r>
          </w:p>
          <w:p w14:paraId="7C00F559" w14:textId="77777777" w:rsidR="00D94758" w:rsidRPr="00E0193B" w:rsidRDefault="00D94758" w:rsidP="00D94758">
            <w:pPr>
              <w:spacing w:line="240" w:lineRule="auto"/>
              <w:ind w:left="-24"/>
              <w:contextualSpacing/>
              <w:rPr>
                <w:lang w:val="en-GB"/>
              </w:rPr>
            </w:pPr>
            <w:r w:rsidRPr="00E0193B">
              <w:rPr>
                <w:lang w:val="en-GB"/>
              </w:rPr>
              <w:t>Installation of Dynamic Passenger Information System (SDIP) in 10 locations for SDIP providing real-time information on railway traffic for passengers, 15 locations for automatic control allowing to manage particular railway areas from local traffic management centres, 30 level crossings concerning installation of automatic controlled safety devices (crossing gate, sound and light signalling systems).</w:t>
            </w:r>
          </w:p>
          <w:p w14:paraId="4BD14A92" w14:textId="77777777" w:rsidR="00D94758" w:rsidRPr="00E0193B" w:rsidRDefault="00D94758" w:rsidP="00D94758">
            <w:pPr>
              <w:spacing w:line="240" w:lineRule="auto"/>
              <w:ind w:left="-24"/>
              <w:contextualSpacing/>
              <w:rPr>
                <w:lang w:val="en-GB"/>
              </w:rPr>
            </w:pPr>
          </w:p>
          <w:p w14:paraId="3726AAF7" w14:textId="77777777" w:rsidR="00D94758" w:rsidRPr="00E0193B" w:rsidRDefault="00D94758" w:rsidP="00D94758">
            <w:pPr>
              <w:spacing w:line="240" w:lineRule="auto"/>
              <w:ind w:left="-24"/>
              <w:contextualSpacing/>
            </w:pPr>
            <w:r w:rsidRPr="00E0193B">
              <w:t>Instalacja Systemów Dynamicznej Informacji Pasażerskiej (SDIP) w 10 lokalizacjach w celu dostarczania pasażerom informacji o ruchu kolejowym w czasie rzeczywistym, systemów automatycznego sterowania w 15 lokalizacjach w celu umożliwienia zarządzania danym obszarem kolejowym z lokalnego centrum zarządzania ruchem, sterowanych automatycznie urządzeń bezpieczeństwa na 30 przejazdach kolejowych (rogatki, systemy sygnalizacji dźwiękowej i świetlnej)</w:t>
            </w:r>
          </w:p>
          <w:p w14:paraId="61799D18" w14:textId="77777777" w:rsidR="00D94758" w:rsidRPr="00E0193B" w:rsidRDefault="00D94758" w:rsidP="00D94758">
            <w:pPr>
              <w:spacing w:line="240" w:lineRule="auto"/>
              <w:ind w:left="720"/>
              <w:contextualSpacing/>
            </w:pPr>
          </w:p>
          <w:p w14:paraId="118C99FB" w14:textId="77777777" w:rsidR="00D94758" w:rsidRPr="00E0193B" w:rsidRDefault="00D94758" w:rsidP="00D94758">
            <w:pPr>
              <w:spacing w:line="240" w:lineRule="auto"/>
              <w:ind w:left="118"/>
              <w:contextualSpacing/>
            </w:pPr>
          </w:p>
          <w:p w14:paraId="59FBFA1D" w14:textId="77777777" w:rsidR="00D94758" w:rsidRPr="00E0193B" w:rsidRDefault="00D94758" w:rsidP="00D94758">
            <w:pPr>
              <w:spacing w:line="240" w:lineRule="auto"/>
              <w:ind w:left="118"/>
              <w:contextualSpacing/>
            </w:pPr>
          </w:p>
          <w:p w14:paraId="32B712C3" w14:textId="77777777" w:rsidR="00D94758" w:rsidRPr="00E0193B" w:rsidRDefault="00D94758" w:rsidP="00D94758">
            <w:pPr>
              <w:spacing w:line="240" w:lineRule="auto"/>
              <w:ind w:left="118"/>
              <w:contextualSpacing/>
            </w:pPr>
            <w:r w:rsidRPr="00E0193B">
              <w:t>E28G</w:t>
            </w:r>
          </w:p>
          <w:p w14:paraId="34578FB8" w14:textId="77777777" w:rsidR="00D94758" w:rsidRPr="00E0193B" w:rsidRDefault="00D94758" w:rsidP="00D94758">
            <w:pPr>
              <w:spacing w:line="240" w:lineRule="auto"/>
              <w:ind w:left="118"/>
              <w:contextualSpacing/>
              <w:rPr>
                <w:i/>
              </w:rPr>
            </w:pPr>
            <w:r w:rsidRPr="00E0193B">
              <w:rPr>
                <w:i/>
              </w:rPr>
              <w:t>Baseline/ Poziom bazowy</w:t>
            </w:r>
          </w:p>
          <w:p w14:paraId="1E314742" w14:textId="77777777" w:rsidR="00D94758" w:rsidRPr="00E0193B" w:rsidRDefault="00D94758" w:rsidP="00D94758">
            <w:pPr>
              <w:spacing w:line="240" w:lineRule="auto"/>
              <w:ind w:left="118"/>
              <w:contextualSpacing/>
            </w:pPr>
            <w:r w:rsidRPr="00E0193B">
              <w:t>0</w:t>
            </w:r>
          </w:p>
          <w:p w14:paraId="63877868" w14:textId="77777777" w:rsidR="00D94758" w:rsidRPr="00E0193B" w:rsidRDefault="00D94758" w:rsidP="00D94758">
            <w:pPr>
              <w:spacing w:line="240" w:lineRule="auto"/>
              <w:ind w:left="118"/>
              <w:contextualSpacing/>
              <w:rPr>
                <w:i/>
              </w:rPr>
            </w:pPr>
          </w:p>
          <w:p w14:paraId="5F2307EB" w14:textId="77777777" w:rsidR="00D94758" w:rsidRPr="00E0193B" w:rsidRDefault="00D94758" w:rsidP="00D94758">
            <w:pPr>
              <w:spacing w:line="240" w:lineRule="auto"/>
              <w:ind w:left="118"/>
              <w:contextualSpacing/>
              <w:rPr>
                <w:i/>
              </w:rPr>
            </w:pPr>
          </w:p>
          <w:p w14:paraId="5DF3AFEA" w14:textId="77777777" w:rsidR="00D94758" w:rsidRPr="00E0193B" w:rsidRDefault="00D94758" w:rsidP="00D94758">
            <w:pPr>
              <w:spacing w:line="240" w:lineRule="auto"/>
              <w:ind w:left="118"/>
              <w:contextualSpacing/>
              <w:rPr>
                <w:i/>
              </w:rPr>
            </w:pPr>
          </w:p>
          <w:p w14:paraId="68B09346" w14:textId="77777777" w:rsidR="00D94758" w:rsidRPr="00E0193B" w:rsidRDefault="00D94758" w:rsidP="00D94758">
            <w:pPr>
              <w:spacing w:line="240" w:lineRule="auto"/>
              <w:ind w:left="118"/>
              <w:contextualSpacing/>
              <w:rPr>
                <w:i/>
              </w:rPr>
            </w:pPr>
          </w:p>
          <w:p w14:paraId="590EDA84" w14:textId="77777777" w:rsidR="00D94758" w:rsidRPr="00E0193B" w:rsidRDefault="00D94758" w:rsidP="00D94758">
            <w:pPr>
              <w:spacing w:line="240" w:lineRule="auto"/>
              <w:ind w:left="118"/>
              <w:contextualSpacing/>
              <w:rPr>
                <w:i/>
              </w:rPr>
            </w:pPr>
          </w:p>
          <w:p w14:paraId="29E1DDFC" w14:textId="77777777" w:rsidR="00D94758" w:rsidRPr="00E0193B" w:rsidRDefault="00D94758" w:rsidP="00D94758">
            <w:pPr>
              <w:spacing w:line="240" w:lineRule="auto"/>
              <w:ind w:left="118"/>
              <w:contextualSpacing/>
              <w:rPr>
                <w:i/>
              </w:rPr>
            </w:pPr>
          </w:p>
          <w:p w14:paraId="590DD2D4" w14:textId="77777777" w:rsidR="00D94758" w:rsidRPr="00E0193B" w:rsidRDefault="00D94758" w:rsidP="00D94758">
            <w:pPr>
              <w:spacing w:line="240" w:lineRule="auto"/>
              <w:ind w:left="118"/>
              <w:contextualSpacing/>
              <w:rPr>
                <w:i/>
              </w:rPr>
            </w:pPr>
          </w:p>
          <w:p w14:paraId="025DF765" w14:textId="77777777" w:rsidR="00D94758" w:rsidRPr="00E0193B" w:rsidRDefault="00D94758" w:rsidP="00D94758">
            <w:pPr>
              <w:spacing w:line="240" w:lineRule="auto"/>
              <w:ind w:left="118"/>
              <w:contextualSpacing/>
              <w:rPr>
                <w:i/>
              </w:rPr>
            </w:pPr>
          </w:p>
          <w:p w14:paraId="69E89224" w14:textId="77777777" w:rsidR="00D94758" w:rsidRPr="00E0193B" w:rsidRDefault="00D94758" w:rsidP="00D94758">
            <w:pPr>
              <w:spacing w:line="240" w:lineRule="auto"/>
              <w:ind w:left="118"/>
              <w:contextualSpacing/>
              <w:rPr>
                <w:i/>
              </w:rPr>
            </w:pPr>
          </w:p>
          <w:p w14:paraId="1A3B4E9E" w14:textId="77777777" w:rsidR="00D94758" w:rsidRPr="00E0193B" w:rsidRDefault="00D94758" w:rsidP="00D94758">
            <w:pPr>
              <w:spacing w:line="240" w:lineRule="auto"/>
              <w:ind w:left="118"/>
              <w:contextualSpacing/>
              <w:rPr>
                <w:i/>
              </w:rPr>
            </w:pPr>
          </w:p>
          <w:p w14:paraId="7043BE37" w14:textId="77777777" w:rsidR="00D94758" w:rsidRPr="00E0193B" w:rsidRDefault="00D94758" w:rsidP="00D94758">
            <w:pPr>
              <w:spacing w:line="240" w:lineRule="auto"/>
              <w:ind w:left="118"/>
              <w:contextualSpacing/>
              <w:rPr>
                <w:i/>
              </w:rPr>
            </w:pPr>
            <w:r w:rsidRPr="00E0193B">
              <w:rPr>
                <w:i/>
              </w:rPr>
              <w:t>Goal/ Cel</w:t>
            </w:r>
          </w:p>
          <w:p w14:paraId="71E5345F" w14:textId="77777777" w:rsidR="00D94758" w:rsidRPr="00E0193B" w:rsidRDefault="00D94758" w:rsidP="00A1213F">
            <w:pPr>
              <w:numPr>
                <w:ilvl w:val="0"/>
                <w:numId w:val="8"/>
              </w:numPr>
              <w:spacing w:after="0" w:line="240" w:lineRule="auto"/>
              <w:ind w:left="118" w:firstLine="0"/>
              <w:jc w:val="left"/>
              <w:rPr>
                <w:rFonts w:eastAsia="Calibri"/>
                <w:lang w:val="en-GB"/>
              </w:rPr>
            </w:pPr>
            <w:r w:rsidRPr="00E0193B">
              <w:rPr>
                <w:rFonts w:eastAsia="Calibri"/>
                <w:lang w:val="en-GB"/>
              </w:rPr>
              <w:t xml:space="preserve">160 ERTMS on-board units; </w:t>
            </w:r>
          </w:p>
          <w:p w14:paraId="01170C0A" w14:textId="77777777" w:rsidR="00D94758" w:rsidRPr="00E0193B" w:rsidRDefault="00D94758" w:rsidP="00A1213F">
            <w:pPr>
              <w:numPr>
                <w:ilvl w:val="0"/>
                <w:numId w:val="8"/>
              </w:numPr>
              <w:spacing w:after="0" w:line="240" w:lineRule="auto"/>
              <w:ind w:left="118" w:firstLine="0"/>
              <w:jc w:val="left"/>
              <w:rPr>
                <w:rFonts w:eastAsia="Calibri"/>
                <w:lang w:val="en-GB"/>
              </w:rPr>
            </w:pPr>
            <w:r w:rsidRPr="00E0193B">
              <w:rPr>
                <w:rFonts w:eastAsia="Calibri"/>
                <w:lang w:val="en-GB"/>
              </w:rPr>
              <w:t>45 locations for level crossings;</w:t>
            </w:r>
          </w:p>
          <w:p w14:paraId="6C3581EB" w14:textId="77777777" w:rsidR="00D94758" w:rsidRPr="00E0193B" w:rsidRDefault="00D94758" w:rsidP="00A1213F">
            <w:pPr>
              <w:numPr>
                <w:ilvl w:val="0"/>
                <w:numId w:val="8"/>
              </w:numPr>
              <w:spacing w:after="0" w:line="240" w:lineRule="auto"/>
              <w:ind w:left="118" w:firstLine="0"/>
              <w:jc w:val="left"/>
              <w:rPr>
                <w:rFonts w:eastAsia="Calibri"/>
              </w:rPr>
            </w:pPr>
            <w:r w:rsidRPr="00E0193B">
              <w:rPr>
                <w:rFonts w:eastAsia="Calibri"/>
                <w:lang w:val="en-GB"/>
              </w:rPr>
              <w:t>35 locations for automatic control</w:t>
            </w:r>
          </w:p>
          <w:p w14:paraId="5BC60D9B" w14:textId="77777777" w:rsidR="00D94758" w:rsidRPr="00E0193B" w:rsidRDefault="00D94758" w:rsidP="00A1213F">
            <w:pPr>
              <w:numPr>
                <w:ilvl w:val="0"/>
                <w:numId w:val="8"/>
              </w:numPr>
              <w:spacing w:after="0" w:line="240" w:lineRule="auto"/>
              <w:jc w:val="left"/>
              <w:rPr>
                <w:rFonts w:eastAsia="Calibri"/>
                <w:i/>
                <w:lang w:val="en-GB"/>
              </w:rPr>
            </w:pPr>
            <w:r w:rsidRPr="00E0193B">
              <w:rPr>
                <w:rFonts w:eastAsia="Calibri"/>
              </w:rPr>
              <w:t xml:space="preserve">160 urządzeń pokładowych ERTMS; </w:t>
            </w:r>
          </w:p>
          <w:p w14:paraId="5804D4A4" w14:textId="77777777" w:rsidR="00D94758" w:rsidRPr="00E0193B" w:rsidRDefault="00D94758" w:rsidP="00A1213F">
            <w:pPr>
              <w:numPr>
                <w:ilvl w:val="0"/>
                <w:numId w:val="8"/>
              </w:numPr>
              <w:spacing w:after="0" w:line="240" w:lineRule="auto"/>
              <w:jc w:val="left"/>
              <w:rPr>
                <w:rFonts w:eastAsia="Calibri"/>
                <w:i/>
                <w:lang w:val="en-GB"/>
              </w:rPr>
            </w:pPr>
            <w:r w:rsidRPr="00E0193B">
              <w:rPr>
                <w:rFonts w:eastAsia="Calibri"/>
              </w:rPr>
              <w:t xml:space="preserve">przejazdy kolejowe w 45 lokalizacjach; </w:t>
            </w:r>
          </w:p>
          <w:p w14:paraId="4C5E6F8B" w14:textId="77777777" w:rsidR="00D94758" w:rsidRPr="00E0193B" w:rsidRDefault="00D94758" w:rsidP="00A1213F">
            <w:pPr>
              <w:numPr>
                <w:ilvl w:val="0"/>
                <w:numId w:val="8"/>
              </w:numPr>
              <w:spacing w:after="0" w:line="240" w:lineRule="auto"/>
              <w:jc w:val="left"/>
              <w:rPr>
                <w:rFonts w:eastAsia="Calibri"/>
                <w:i/>
                <w:lang w:val="en-GB"/>
              </w:rPr>
            </w:pPr>
            <w:r w:rsidRPr="00E0193B">
              <w:rPr>
                <w:rFonts w:eastAsia="Calibri"/>
              </w:rPr>
              <w:t>automatyczne sterowanie w 35 lokalizacjach</w:t>
            </w:r>
          </w:p>
          <w:p w14:paraId="5DEA0AC6" w14:textId="4C20378D" w:rsidR="00D94758" w:rsidRPr="00E0193B" w:rsidRDefault="00926309" w:rsidP="00D94758">
            <w:pPr>
              <w:spacing w:after="0" w:line="240" w:lineRule="auto"/>
              <w:ind w:left="-6"/>
              <w:jc w:val="left"/>
              <w:rPr>
                <w:rFonts w:eastAsia="Calibri"/>
                <w:i/>
                <w:lang w:val="en-GB"/>
              </w:rPr>
            </w:pPr>
            <w:r w:rsidRPr="00E0193B">
              <w:rPr>
                <w:rFonts w:eastAsia="Calibri"/>
                <w:i/>
                <w:lang w:val="en-GB"/>
              </w:rPr>
              <w:t>Timline</w:t>
            </w:r>
          </w:p>
          <w:p w14:paraId="0AFFFCCF" w14:textId="5689E36F" w:rsidR="00926309" w:rsidRPr="00E0193B" w:rsidRDefault="00926309" w:rsidP="00D94758">
            <w:pPr>
              <w:spacing w:after="0" w:line="240" w:lineRule="auto"/>
              <w:ind w:left="-6"/>
              <w:jc w:val="left"/>
              <w:rPr>
                <w:rFonts w:eastAsia="Calibri"/>
                <w:i/>
                <w:lang w:val="en-GB"/>
              </w:rPr>
            </w:pPr>
            <w:r w:rsidRPr="00E0193B">
              <w:rPr>
                <w:rFonts w:eastAsia="Calibri"/>
                <w:i/>
                <w:lang w:val="en-GB"/>
              </w:rPr>
              <w:t>Q2 2026</w:t>
            </w:r>
          </w:p>
          <w:p w14:paraId="02E707EC" w14:textId="77777777" w:rsidR="00926309" w:rsidRPr="00E0193B" w:rsidRDefault="00926309" w:rsidP="00D94758">
            <w:pPr>
              <w:spacing w:after="0" w:line="240" w:lineRule="auto"/>
              <w:ind w:left="-6"/>
              <w:jc w:val="left"/>
              <w:rPr>
                <w:rFonts w:eastAsia="Calibri"/>
                <w:i/>
                <w:lang w:val="en-GB"/>
              </w:rPr>
            </w:pPr>
          </w:p>
          <w:p w14:paraId="76AC419E" w14:textId="77777777" w:rsidR="00D94758" w:rsidRPr="00E0193B" w:rsidRDefault="00D94758" w:rsidP="00D94758">
            <w:pPr>
              <w:spacing w:after="0" w:line="240" w:lineRule="auto"/>
              <w:ind w:left="-6"/>
              <w:jc w:val="left"/>
              <w:rPr>
                <w:rFonts w:eastAsia="Calibri"/>
                <w:i/>
                <w:lang w:val="en-GB"/>
              </w:rPr>
            </w:pPr>
            <w:r w:rsidRPr="00E0193B">
              <w:rPr>
                <w:rFonts w:eastAsia="Calibri"/>
                <w:i/>
                <w:lang w:val="en-GB"/>
              </w:rPr>
              <w:t>Description of each (…)/ Opis każdego (…)</w:t>
            </w:r>
          </w:p>
          <w:p w14:paraId="495E359F" w14:textId="77777777" w:rsidR="00D94758" w:rsidRPr="00E0193B" w:rsidRDefault="00D94758" w:rsidP="00D94758">
            <w:pPr>
              <w:spacing w:after="0" w:line="240" w:lineRule="auto"/>
              <w:jc w:val="left"/>
              <w:rPr>
                <w:rFonts w:eastAsia="Calibri"/>
                <w:lang w:val="en-GB"/>
              </w:rPr>
            </w:pPr>
            <w:r w:rsidRPr="00E0193B">
              <w:rPr>
                <w:rFonts w:eastAsia="Calibri"/>
                <w:lang w:val="en-GB"/>
              </w:rPr>
              <w:t xml:space="preserve">Completion of works related to: the installation of 160 ERTMS on-board-units (proposal shall be selected under competitive call for proposals), upgrade of 45 level crossings systems (including gates, sound and light safety systems), and introduction of automatic control of railway control points in 35 locations. </w:t>
            </w:r>
            <w:r w:rsidRPr="00E0193B">
              <w:rPr>
                <w:rFonts w:eastAsia="Calibri"/>
                <w:color w:val="006100"/>
                <w:lang w:val="en-GB"/>
              </w:rPr>
              <w:t xml:space="preserve"> </w:t>
            </w:r>
            <w:r w:rsidRPr="00E0193B">
              <w:rPr>
                <w:rFonts w:eastAsia="Calibri"/>
                <w:lang w:val="en-GB"/>
              </w:rPr>
              <w:t xml:space="preserve"> </w:t>
            </w:r>
          </w:p>
          <w:p w14:paraId="3E3BEBE7" w14:textId="77777777" w:rsidR="00D94758" w:rsidRPr="00E0193B" w:rsidRDefault="00D94758" w:rsidP="00D94758">
            <w:pPr>
              <w:spacing w:after="0" w:line="240" w:lineRule="auto"/>
              <w:jc w:val="left"/>
              <w:rPr>
                <w:rFonts w:eastAsia="Calibri"/>
                <w:lang w:val="en-GB"/>
              </w:rPr>
            </w:pPr>
          </w:p>
          <w:p w14:paraId="1BD5E047" w14:textId="77777777" w:rsidR="00D94758" w:rsidRPr="00E0193B" w:rsidRDefault="00D94758" w:rsidP="00D94758">
            <w:pPr>
              <w:spacing w:after="0" w:line="240" w:lineRule="auto"/>
              <w:jc w:val="left"/>
              <w:rPr>
                <w:rFonts w:eastAsia="Calibri"/>
              </w:rPr>
            </w:pPr>
            <w:r w:rsidRPr="00E0193B">
              <w:rPr>
                <w:rFonts w:eastAsia="Calibri"/>
              </w:rPr>
              <w:t>Zakończenie prac związanych z: instalacją 160 urządzeń pokładowych ERTMS (oferta zostanie wybrana w trybie konkurencyjnego zaproszenia do składania wniosków), modernizacją systemów na przejazdach kolejowych w 45 lokalizacjach (w tym rogatek, dźwiękowych i świetlnych systemów bezpieczeństwa) oraz wprowadzeniem zdalnego sterowania posterunkami ruchu w 35 lokalizacjach.</w:t>
            </w:r>
          </w:p>
        </w:tc>
        <w:tc>
          <w:tcPr>
            <w:tcW w:w="2020" w:type="pct"/>
          </w:tcPr>
          <w:p w14:paraId="7709B1B9" w14:textId="77777777" w:rsidR="00D94758" w:rsidRPr="00E0193B" w:rsidRDefault="00D94758" w:rsidP="00D94758">
            <w:pPr>
              <w:spacing w:line="240" w:lineRule="auto"/>
              <w:ind w:left="720"/>
              <w:contextualSpacing/>
              <w:rPr>
                <w:lang w:val="en-GB"/>
              </w:rPr>
            </w:pPr>
            <w:r w:rsidRPr="00E0193B">
              <w:rPr>
                <w:lang w:val="en-GB"/>
              </w:rPr>
              <w:lastRenderedPageBreak/>
              <w:t xml:space="preserve">Opis inwestycji </w:t>
            </w:r>
          </w:p>
          <w:p w14:paraId="49F3ED4F" w14:textId="77777777" w:rsidR="00D94758" w:rsidRPr="00E0193B" w:rsidRDefault="00D94758" w:rsidP="00D94758">
            <w:pPr>
              <w:spacing w:after="0" w:line="240" w:lineRule="auto"/>
              <w:ind w:left="-5"/>
              <w:jc w:val="left"/>
              <w:rPr>
                <w:rFonts w:eastAsia="Calibri"/>
                <w:lang w:val="en-GB"/>
              </w:rPr>
            </w:pPr>
            <w:r w:rsidRPr="00E0193B">
              <w:rPr>
                <w:rFonts w:eastAsia="Calibri"/>
                <w:lang w:val="en-GB"/>
              </w:rPr>
              <w:t xml:space="preserve"> (…) The measure shall include investments in: </w:t>
            </w:r>
          </w:p>
          <w:p w14:paraId="2DE3C724" w14:textId="6D62D466" w:rsidR="00D94758" w:rsidRPr="00E0193B" w:rsidRDefault="00D94758" w:rsidP="00A1213F">
            <w:pPr>
              <w:numPr>
                <w:ilvl w:val="0"/>
                <w:numId w:val="6"/>
              </w:numPr>
              <w:spacing w:after="0" w:line="240" w:lineRule="auto"/>
              <w:ind w:left="338"/>
              <w:jc w:val="left"/>
              <w:rPr>
                <w:rFonts w:eastAsia="Calibri"/>
                <w:lang w:val="en-GB"/>
              </w:rPr>
            </w:pPr>
            <w:r w:rsidRPr="00E0193B">
              <w:rPr>
                <w:rFonts w:eastAsia="Calibri"/>
                <w:lang w:val="en-GB"/>
              </w:rPr>
              <w:t xml:space="preserve">purchase and installation of </w:t>
            </w:r>
            <w:r w:rsidR="00B77B97" w:rsidRPr="007E255E">
              <w:rPr>
                <w:rFonts w:eastAsia="Calibri"/>
                <w:color w:val="FF0000"/>
                <w:lang w:val="en-GB"/>
              </w:rPr>
              <w:t>144</w:t>
            </w:r>
            <w:r w:rsidRPr="00E0193B">
              <w:rPr>
                <w:rFonts w:eastAsia="Calibri"/>
                <w:lang w:val="en-GB"/>
              </w:rPr>
              <w:t xml:space="preserve"> ERTMS on-board equipment; </w:t>
            </w:r>
          </w:p>
          <w:p w14:paraId="165B88F2" w14:textId="77777777" w:rsidR="00D94758" w:rsidRPr="00E0193B" w:rsidRDefault="00D94758" w:rsidP="00A1213F">
            <w:pPr>
              <w:numPr>
                <w:ilvl w:val="0"/>
                <w:numId w:val="6"/>
              </w:numPr>
              <w:spacing w:after="0" w:line="240" w:lineRule="auto"/>
              <w:ind w:left="338"/>
              <w:jc w:val="left"/>
              <w:rPr>
                <w:rFonts w:eastAsia="Calibri"/>
                <w:lang w:val="en-GB"/>
              </w:rPr>
            </w:pPr>
            <w:r w:rsidRPr="00E0193B">
              <w:rPr>
                <w:rFonts w:eastAsia="Calibri"/>
                <w:color w:val="FF0000"/>
                <w:lang w:val="en-GB"/>
              </w:rPr>
              <w:t>installed devices for automatic control allowing to manage particular railway areas from local traffic management centres</w:t>
            </w:r>
            <w:r w:rsidRPr="00E0193B" w:rsidDel="00412E05">
              <w:rPr>
                <w:rFonts w:eastAsia="Calibri"/>
                <w:color w:val="FF0000"/>
                <w:lang w:val="en-GB"/>
              </w:rPr>
              <w:t xml:space="preserve"> </w:t>
            </w:r>
            <w:r w:rsidRPr="00E0193B">
              <w:rPr>
                <w:rFonts w:eastAsia="Calibri"/>
                <w:lang w:val="en-GB"/>
              </w:rPr>
              <w:t xml:space="preserve">on </w:t>
            </w:r>
            <w:r w:rsidRPr="00E0193B">
              <w:rPr>
                <w:rFonts w:eastAsia="Calibri"/>
                <w:color w:val="FF0000"/>
                <w:lang w:val="en-GB"/>
              </w:rPr>
              <w:t>43</w:t>
            </w:r>
            <w:r w:rsidRPr="00E0193B">
              <w:rPr>
                <w:rFonts w:eastAsia="Calibri"/>
                <w:lang w:val="en-GB"/>
              </w:rPr>
              <w:t xml:space="preserve"> rail traffic stations; </w:t>
            </w:r>
          </w:p>
          <w:p w14:paraId="50A16FB9" w14:textId="77777777" w:rsidR="00D94758" w:rsidRPr="00E0193B" w:rsidRDefault="00D94758" w:rsidP="00A1213F">
            <w:pPr>
              <w:numPr>
                <w:ilvl w:val="0"/>
                <w:numId w:val="6"/>
              </w:numPr>
              <w:spacing w:after="0" w:line="240" w:lineRule="auto"/>
              <w:ind w:left="338"/>
              <w:jc w:val="left"/>
              <w:rPr>
                <w:rFonts w:eastAsia="Calibri"/>
                <w:color w:val="FF0000"/>
                <w:lang w:val="en-GB"/>
              </w:rPr>
            </w:pPr>
            <w:r w:rsidRPr="00E0193B">
              <w:rPr>
                <w:rFonts w:eastAsia="Calibri"/>
                <w:color w:val="FF0000"/>
                <w:lang w:val="en-GB"/>
              </w:rPr>
              <w:t>construction of 42 SDIPs (Dynamic Passenger Information System)</w:t>
            </w:r>
          </w:p>
          <w:p w14:paraId="5C47F4CE" w14:textId="77777777" w:rsidR="00D94758" w:rsidRPr="00E0193B" w:rsidRDefault="00D94758" w:rsidP="00A1213F">
            <w:pPr>
              <w:numPr>
                <w:ilvl w:val="0"/>
                <w:numId w:val="6"/>
              </w:numPr>
              <w:spacing w:after="0" w:line="240" w:lineRule="auto"/>
              <w:ind w:left="338"/>
              <w:jc w:val="left"/>
              <w:rPr>
                <w:rFonts w:eastAsia="Calibri"/>
                <w:lang w:val="en-GB"/>
              </w:rPr>
            </w:pPr>
            <w:r w:rsidRPr="00E0193B">
              <w:rPr>
                <w:rFonts w:eastAsia="Calibri"/>
                <w:lang w:val="en-GB"/>
              </w:rPr>
              <w:t xml:space="preserve">modernisation of railway crossing systems in </w:t>
            </w:r>
            <w:r w:rsidRPr="00E0193B">
              <w:rPr>
                <w:rFonts w:eastAsia="Calibri"/>
                <w:color w:val="FF0000"/>
                <w:lang w:val="en-GB"/>
              </w:rPr>
              <w:t>102</w:t>
            </w:r>
            <w:r w:rsidRPr="00E0193B">
              <w:rPr>
                <w:rFonts w:eastAsia="Calibri"/>
                <w:lang w:val="en-GB"/>
              </w:rPr>
              <w:t xml:space="preserve">  locations; </w:t>
            </w:r>
          </w:p>
          <w:p w14:paraId="4F87728E" w14:textId="15DD7D6C" w:rsidR="00D94758" w:rsidRPr="00E0193B" w:rsidRDefault="00D94758" w:rsidP="00D94758">
            <w:pPr>
              <w:spacing w:after="0" w:line="240" w:lineRule="auto"/>
              <w:jc w:val="left"/>
              <w:rPr>
                <w:rFonts w:eastAsia="Calibri"/>
                <w:color w:val="FF0000"/>
                <w:lang w:val="en-GB"/>
              </w:rPr>
            </w:pPr>
            <w:r w:rsidRPr="00E0193B">
              <w:rPr>
                <w:rFonts w:eastAsia="Calibri"/>
                <w:lang w:val="en-GB"/>
              </w:rPr>
              <w:t xml:space="preserve">to be completed by </w:t>
            </w:r>
            <w:r w:rsidR="00B77B97" w:rsidRPr="007E255E">
              <w:rPr>
                <w:rFonts w:eastAsia="Calibri"/>
                <w:color w:val="FF0000"/>
                <w:lang w:val="en-GB"/>
              </w:rPr>
              <w:t>31 August</w:t>
            </w:r>
            <w:r w:rsidRPr="007E255E">
              <w:rPr>
                <w:rFonts w:eastAsia="Calibri"/>
                <w:color w:val="FF0000"/>
                <w:lang w:val="en-GB"/>
              </w:rPr>
              <w:t xml:space="preserve"> 2026</w:t>
            </w:r>
            <w:r w:rsidRPr="00E0193B">
              <w:rPr>
                <w:rFonts w:eastAsia="Calibri"/>
                <w:color w:val="FF0000"/>
                <w:lang w:val="en-GB"/>
              </w:rPr>
              <w:t>.</w:t>
            </w:r>
            <w:r w:rsidRPr="00E0193B">
              <w:rPr>
                <w:rFonts w:eastAsia="Calibri"/>
                <w:lang w:val="en-GB"/>
              </w:rPr>
              <w:t xml:space="preserve"> </w:t>
            </w:r>
            <w:r w:rsidRPr="00E0193B">
              <w:rPr>
                <w:rFonts w:eastAsia="Calibri"/>
                <w:color w:val="FF0000"/>
                <w:lang w:val="en-GB"/>
              </w:rPr>
              <w:t>Intermediate values of the indicated target effects - completion of the construction of 10 SDIP locations (Dynamic Passenger Information System), 10 remote control locations and 30 railway crossing locations - are planned to be achieved by 31 March 2025.</w:t>
            </w:r>
          </w:p>
          <w:p w14:paraId="1A4284C2" w14:textId="77777777" w:rsidR="00D94758" w:rsidRPr="00E0193B" w:rsidRDefault="00D94758" w:rsidP="00D94758">
            <w:pPr>
              <w:spacing w:line="240" w:lineRule="auto"/>
              <w:ind w:left="720"/>
              <w:contextualSpacing/>
              <w:rPr>
                <w:lang w:val="en-GB"/>
              </w:rPr>
            </w:pPr>
          </w:p>
          <w:p w14:paraId="04EBD1C9" w14:textId="77777777" w:rsidR="00D94758" w:rsidRPr="00E0193B" w:rsidRDefault="00D94758" w:rsidP="00D94758">
            <w:pPr>
              <w:spacing w:line="240" w:lineRule="auto"/>
              <w:ind w:left="55"/>
              <w:contextualSpacing/>
            </w:pPr>
            <w:r w:rsidRPr="00E0193B">
              <w:t xml:space="preserve">(…) Działanie to obejmuje inwestycje w: </w:t>
            </w:r>
          </w:p>
          <w:p w14:paraId="65DBAE2F" w14:textId="6D2142DE" w:rsidR="00D94758" w:rsidRPr="00E0193B" w:rsidRDefault="00D94758" w:rsidP="00D94758">
            <w:pPr>
              <w:spacing w:line="240" w:lineRule="auto"/>
              <w:ind w:left="55" w:firstLine="141"/>
              <w:contextualSpacing/>
            </w:pPr>
            <w:r w:rsidRPr="00E0193B">
              <w:t>• zakup i</w:t>
            </w:r>
            <w:r w:rsidR="00926309" w:rsidRPr="00E0193B">
              <w:t xml:space="preserve"> </w:t>
            </w:r>
            <w:r w:rsidRPr="00E0193B">
              <w:t xml:space="preserve">instalację </w:t>
            </w:r>
            <w:r w:rsidR="00B77B97" w:rsidRPr="007E255E">
              <w:rPr>
                <w:color w:val="FF0000"/>
              </w:rPr>
              <w:t>144</w:t>
            </w:r>
            <w:r w:rsidRPr="00E0193B">
              <w:t xml:space="preserve"> urządzeń pokładowych ERTMS; </w:t>
            </w:r>
          </w:p>
          <w:p w14:paraId="37B63AAF" w14:textId="77777777" w:rsidR="00D94758" w:rsidRPr="00E0193B" w:rsidRDefault="00D94758" w:rsidP="00D94758">
            <w:pPr>
              <w:spacing w:line="240" w:lineRule="auto"/>
              <w:ind w:left="55" w:firstLine="141"/>
              <w:contextualSpacing/>
            </w:pPr>
            <w:r w:rsidRPr="00E0193B">
              <w:t xml:space="preserve">• </w:t>
            </w:r>
            <w:r w:rsidRPr="00E0193B">
              <w:rPr>
                <w:color w:val="FF0000"/>
              </w:rPr>
              <w:t xml:space="preserve">zainstalowane urządzenia automatycznego sterowania umożliwiające zarządzanie poszczególnymi obszarami kolejowymi z lokalnych ośrodków zarządzania ruchem </w:t>
            </w:r>
            <w:r w:rsidRPr="00E0193B">
              <w:t xml:space="preserve">na </w:t>
            </w:r>
            <w:r w:rsidRPr="00E0193B">
              <w:rPr>
                <w:color w:val="FF0000"/>
              </w:rPr>
              <w:t xml:space="preserve">43 </w:t>
            </w:r>
            <w:r w:rsidRPr="00E0193B">
              <w:t xml:space="preserve">stacjach kolejowych; </w:t>
            </w:r>
          </w:p>
          <w:p w14:paraId="64F61DD8" w14:textId="77777777" w:rsidR="00D94758" w:rsidRPr="00E0193B" w:rsidRDefault="00D94758" w:rsidP="00D94758">
            <w:pPr>
              <w:spacing w:line="240" w:lineRule="auto"/>
              <w:ind w:left="55" w:firstLine="141"/>
              <w:contextualSpacing/>
              <w:rPr>
                <w:color w:val="FF0000"/>
              </w:rPr>
            </w:pPr>
            <w:r w:rsidRPr="00E0193B">
              <w:rPr>
                <w:color w:val="FF0000"/>
              </w:rPr>
              <w:t>• instalację 42 SDIP (Systemu Dynamicznej Informacji Pasażerskiej)</w:t>
            </w:r>
          </w:p>
          <w:p w14:paraId="50E3D23E" w14:textId="77777777" w:rsidR="00D94758" w:rsidRPr="00E0193B" w:rsidRDefault="00D94758" w:rsidP="00D94758">
            <w:pPr>
              <w:spacing w:line="240" w:lineRule="auto"/>
              <w:ind w:left="55" w:firstLine="141"/>
              <w:contextualSpacing/>
            </w:pPr>
            <w:r w:rsidRPr="00E0193B">
              <w:t xml:space="preserve">• modernizację systemów przejazdów kolejowych w </w:t>
            </w:r>
            <w:r w:rsidRPr="00E0193B">
              <w:rPr>
                <w:color w:val="FF0000"/>
              </w:rPr>
              <w:t xml:space="preserve">102 </w:t>
            </w:r>
            <w:r w:rsidRPr="00E0193B">
              <w:t>lokalizacjach;</w:t>
            </w:r>
          </w:p>
          <w:p w14:paraId="4F056825" w14:textId="18999DE6" w:rsidR="00D94758" w:rsidRPr="00E0193B" w:rsidRDefault="00D94758" w:rsidP="00D94758">
            <w:pPr>
              <w:spacing w:line="240" w:lineRule="auto"/>
              <w:ind w:left="55" w:firstLine="665"/>
              <w:contextualSpacing/>
              <w:rPr>
                <w:strike/>
                <w:color w:val="FF0000"/>
              </w:rPr>
            </w:pPr>
            <w:r w:rsidRPr="00E0193B">
              <w:t xml:space="preserve">które mają zostać zakończone do dnia </w:t>
            </w:r>
            <w:r w:rsidR="00B77B97" w:rsidRPr="00E0193B">
              <w:rPr>
                <w:color w:val="FF0000"/>
              </w:rPr>
              <w:t>31 sierpnia</w:t>
            </w:r>
            <w:r w:rsidR="00926309" w:rsidRPr="00E0193B">
              <w:rPr>
                <w:color w:val="FF0000"/>
              </w:rPr>
              <w:t xml:space="preserve"> </w:t>
            </w:r>
            <w:r w:rsidRPr="00E0193B">
              <w:rPr>
                <w:strike/>
                <w:color w:val="FF0000"/>
              </w:rPr>
              <w:t xml:space="preserve">30 czerwca </w:t>
            </w:r>
            <w:r w:rsidRPr="00E0193B">
              <w:t>2026 r</w:t>
            </w:r>
          </w:p>
          <w:p w14:paraId="1D792232" w14:textId="77777777" w:rsidR="00D94758" w:rsidRPr="00E0193B" w:rsidRDefault="00D94758" w:rsidP="00D94758">
            <w:pPr>
              <w:spacing w:line="240" w:lineRule="auto"/>
              <w:ind w:left="55"/>
              <w:contextualSpacing/>
            </w:pPr>
            <w:r w:rsidRPr="00E0193B">
              <w:rPr>
                <w:color w:val="FF0000"/>
              </w:rPr>
              <w:t>Pośrednie wartości wskazanych efektów docelowych – zakończenie budowy 10 lokalizacji SDIP (System Dynamicznej Informacji Pasażerskiej), 10 lokalizacji zdalnego sterowania i 30 lokalizacji przejazdów kolejowych – planuje się osiągnąć do 31 marca 2025 roku.</w:t>
            </w:r>
          </w:p>
          <w:p w14:paraId="4B2187F8" w14:textId="77777777" w:rsidR="00D94758" w:rsidRPr="00E0193B" w:rsidRDefault="00D94758" w:rsidP="00D94758">
            <w:pPr>
              <w:spacing w:after="0" w:line="240" w:lineRule="auto"/>
              <w:jc w:val="left"/>
              <w:rPr>
                <w:rFonts w:eastAsia="Calibri"/>
                <w:lang w:val="en-GB"/>
              </w:rPr>
            </w:pPr>
            <w:r w:rsidRPr="00E0193B">
              <w:rPr>
                <w:rFonts w:eastAsia="Calibri"/>
                <w:lang w:val="en-GB"/>
              </w:rPr>
              <w:t>E27G</w:t>
            </w:r>
          </w:p>
          <w:p w14:paraId="606A0A96" w14:textId="77777777" w:rsidR="00D94758" w:rsidRPr="00E0193B" w:rsidRDefault="00D94758" w:rsidP="00D94758">
            <w:pPr>
              <w:spacing w:after="0" w:line="240" w:lineRule="auto"/>
              <w:jc w:val="left"/>
              <w:rPr>
                <w:rFonts w:eastAsia="Calibri"/>
                <w:u w:val="single"/>
                <w:lang w:val="en-GB"/>
              </w:rPr>
            </w:pPr>
            <w:r w:rsidRPr="00E0193B">
              <w:rPr>
                <w:rFonts w:eastAsia="Calibri"/>
                <w:color w:val="FF0000"/>
                <w:lang w:val="en-GB"/>
              </w:rPr>
              <w:t>Completion:10 SDIP locations ,10 remote control locations and 30 railway crossing locations</w:t>
            </w:r>
          </w:p>
          <w:p w14:paraId="5F24FFFF" w14:textId="77777777" w:rsidR="00D94758" w:rsidRPr="00E0193B" w:rsidRDefault="00D94758" w:rsidP="00D94758">
            <w:pPr>
              <w:spacing w:after="0" w:line="240" w:lineRule="auto"/>
              <w:jc w:val="left"/>
              <w:rPr>
                <w:rFonts w:eastAsia="Calibri"/>
                <w:u w:val="single"/>
                <w:lang w:val="en-GB"/>
              </w:rPr>
            </w:pPr>
          </w:p>
          <w:p w14:paraId="297DBBDF" w14:textId="77777777" w:rsidR="00D94758" w:rsidRPr="00E0193B" w:rsidRDefault="00D94758" w:rsidP="00D94758">
            <w:pPr>
              <w:spacing w:after="0" w:line="240" w:lineRule="auto"/>
              <w:jc w:val="left"/>
              <w:rPr>
                <w:rFonts w:eastAsia="Calibri"/>
                <w:color w:val="FF0000"/>
              </w:rPr>
            </w:pPr>
            <w:r w:rsidRPr="00E0193B">
              <w:rPr>
                <w:rFonts w:eastAsia="Calibri"/>
                <w:color w:val="FF0000"/>
              </w:rPr>
              <w:t>Instalacja: 10 lokalizacji SDIP, 10 lokalizacji zdalnego sterowania i 30 lokalizacji przejazdów kolejowych</w:t>
            </w:r>
          </w:p>
          <w:p w14:paraId="15C824A1" w14:textId="77777777" w:rsidR="00D94758" w:rsidRPr="00E0193B" w:rsidRDefault="00D94758" w:rsidP="00D94758">
            <w:pPr>
              <w:spacing w:line="240" w:lineRule="auto"/>
              <w:jc w:val="left"/>
              <w:rPr>
                <w:rFonts w:eastAsia="Calibri"/>
                <w:i/>
                <w:lang w:val="en-GB"/>
              </w:rPr>
            </w:pPr>
            <w:r w:rsidRPr="00E0193B">
              <w:rPr>
                <w:rFonts w:eastAsia="Calibri"/>
                <w:i/>
                <w:lang w:val="en-GB"/>
              </w:rPr>
              <w:t>Goal/ Cel</w:t>
            </w:r>
          </w:p>
          <w:p w14:paraId="3A31FA8C" w14:textId="77777777" w:rsidR="00D94758" w:rsidRPr="00E0193B" w:rsidRDefault="00D94758" w:rsidP="00D94758">
            <w:pPr>
              <w:spacing w:after="0" w:line="240" w:lineRule="auto"/>
              <w:jc w:val="left"/>
              <w:rPr>
                <w:rFonts w:eastAsia="Calibri"/>
                <w:lang w:val="en-GB"/>
              </w:rPr>
            </w:pPr>
            <w:r w:rsidRPr="00E0193B">
              <w:rPr>
                <w:rFonts w:eastAsia="Calibri"/>
                <w:lang w:val="en-GB"/>
              </w:rPr>
              <w:t xml:space="preserve">SDIP: 10 locations, </w:t>
            </w:r>
          </w:p>
          <w:p w14:paraId="2A65A055" w14:textId="77777777" w:rsidR="00D94758" w:rsidRPr="00E0193B" w:rsidRDefault="00D94758" w:rsidP="00D94758">
            <w:pPr>
              <w:spacing w:after="0" w:line="240" w:lineRule="auto"/>
              <w:jc w:val="left"/>
              <w:rPr>
                <w:rFonts w:eastAsia="Calibri"/>
                <w:lang w:val="en-GB"/>
              </w:rPr>
            </w:pPr>
            <w:r w:rsidRPr="00E0193B">
              <w:rPr>
                <w:rFonts w:eastAsia="Calibri"/>
                <w:lang w:val="en-GB"/>
              </w:rPr>
              <w:t>control: 1</w:t>
            </w:r>
            <w:r w:rsidRPr="00E0193B">
              <w:rPr>
                <w:rFonts w:eastAsia="Calibri"/>
                <w:color w:val="FF0000"/>
                <w:lang w:val="en-GB"/>
              </w:rPr>
              <w:t>0</w:t>
            </w:r>
            <w:r w:rsidRPr="00E0193B">
              <w:rPr>
                <w:rFonts w:eastAsia="Calibri"/>
                <w:lang w:val="en-GB"/>
              </w:rPr>
              <w:t xml:space="preserve"> locations,</w:t>
            </w:r>
          </w:p>
          <w:p w14:paraId="17C49DB2" w14:textId="77777777" w:rsidR="00D94758" w:rsidRPr="00E0193B" w:rsidRDefault="00D94758" w:rsidP="00D94758">
            <w:pPr>
              <w:spacing w:after="0" w:line="240" w:lineRule="auto"/>
              <w:jc w:val="left"/>
              <w:rPr>
                <w:rFonts w:eastAsia="Calibri"/>
                <w:lang w:val="en-GB"/>
              </w:rPr>
            </w:pPr>
            <w:r w:rsidRPr="00E0193B">
              <w:rPr>
                <w:rFonts w:eastAsia="Calibri"/>
                <w:lang w:val="en-GB"/>
              </w:rPr>
              <w:t xml:space="preserve"> level crossings: 30 locations</w:t>
            </w:r>
          </w:p>
          <w:p w14:paraId="6CE26DB5" w14:textId="77777777" w:rsidR="00D94758" w:rsidRPr="00E0193B" w:rsidRDefault="00D94758" w:rsidP="00D94758">
            <w:pPr>
              <w:spacing w:line="240" w:lineRule="auto"/>
              <w:ind w:left="720"/>
              <w:contextualSpacing/>
              <w:rPr>
                <w:i/>
                <w:lang w:val="en-GB"/>
              </w:rPr>
            </w:pPr>
          </w:p>
          <w:p w14:paraId="4597B3DC" w14:textId="77777777" w:rsidR="00D94758" w:rsidRPr="00E0193B" w:rsidRDefault="00D94758" w:rsidP="00D94758">
            <w:pPr>
              <w:spacing w:after="0" w:line="240" w:lineRule="auto"/>
              <w:jc w:val="left"/>
              <w:rPr>
                <w:rFonts w:eastAsia="Calibri"/>
                <w:lang w:val="en-GB"/>
              </w:rPr>
            </w:pPr>
            <w:r w:rsidRPr="00E0193B">
              <w:rPr>
                <w:rFonts w:eastAsia="Calibri"/>
                <w:lang w:val="en-GB"/>
              </w:rPr>
              <w:t xml:space="preserve">SDIP: 10 lokalizacji; </w:t>
            </w:r>
          </w:p>
          <w:p w14:paraId="67DBE98B" w14:textId="77777777" w:rsidR="00D94758" w:rsidRPr="00E0193B" w:rsidRDefault="00D94758" w:rsidP="00D94758">
            <w:pPr>
              <w:spacing w:after="0" w:line="240" w:lineRule="auto"/>
              <w:jc w:val="left"/>
              <w:rPr>
                <w:rFonts w:eastAsia="Calibri"/>
              </w:rPr>
            </w:pPr>
            <w:r w:rsidRPr="00E0193B">
              <w:rPr>
                <w:rFonts w:eastAsia="Calibri"/>
              </w:rPr>
              <w:t>sterowanie: 1</w:t>
            </w:r>
            <w:r w:rsidRPr="00E0193B">
              <w:rPr>
                <w:rFonts w:eastAsia="Calibri"/>
                <w:color w:val="FF0000"/>
              </w:rPr>
              <w:t>0</w:t>
            </w:r>
            <w:r w:rsidRPr="00E0193B">
              <w:rPr>
                <w:rFonts w:eastAsia="Calibri"/>
              </w:rPr>
              <w:t xml:space="preserve"> lokalizacji</w:t>
            </w:r>
          </w:p>
          <w:p w14:paraId="7A9B658A" w14:textId="77777777" w:rsidR="00D94758" w:rsidRPr="00E0193B" w:rsidRDefault="00D94758" w:rsidP="00D94758">
            <w:pPr>
              <w:spacing w:after="0" w:line="240" w:lineRule="auto"/>
              <w:jc w:val="left"/>
              <w:rPr>
                <w:rFonts w:eastAsia="Calibri"/>
              </w:rPr>
            </w:pPr>
            <w:r w:rsidRPr="00E0193B">
              <w:rPr>
                <w:rFonts w:eastAsia="Calibri"/>
              </w:rPr>
              <w:lastRenderedPageBreak/>
              <w:t>przejazdy: 30 lokalizacji</w:t>
            </w:r>
          </w:p>
          <w:p w14:paraId="36935C7D" w14:textId="77777777" w:rsidR="00D94758" w:rsidRPr="00E0193B" w:rsidRDefault="00D94758" w:rsidP="00D94758">
            <w:pPr>
              <w:spacing w:line="240" w:lineRule="auto"/>
              <w:ind w:left="720"/>
              <w:contextualSpacing/>
            </w:pPr>
          </w:p>
          <w:p w14:paraId="4E4FFCE7" w14:textId="77777777" w:rsidR="00D94758" w:rsidRPr="00E0193B" w:rsidRDefault="00D94758" w:rsidP="00D94758">
            <w:pPr>
              <w:spacing w:after="0" w:line="240" w:lineRule="auto"/>
              <w:ind w:left="-6"/>
              <w:jc w:val="left"/>
              <w:rPr>
                <w:rFonts w:eastAsia="Calibri"/>
                <w:i/>
                <w:lang w:val="en-GB"/>
              </w:rPr>
            </w:pPr>
            <w:r w:rsidRPr="00E0193B">
              <w:rPr>
                <w:rFonts w:eastAsia="Calibri"/>
                <w:i/>
              </w:rPr>
              <w:t xml:space="preserve">Description of each (…)/ </w:t>
            </w:r>
            <w:r w:rsidRPr="00E0193B">
              <w:rPr>
                <w:rFonts w:eastAsia="Calibri"/>
                <w:i/>
                <w:lang w:val="en-GB"/>
              </w:rPr>
              <w:t>Opis każdego (…)</w:t>
            </w:r>
          </w:p>
          <w:p w14:paraId="6DA60D6C" w14:textId="77777777" w:rsidR="00D94758" w:rsidRPr="00E0193B" w:rsidRDefault="00D94758" w:rsidP="00D94758">
            <w:pPr>
              <w:spacing w:line="240" w:lineRule="auto"/>
              <w:ind w:left="55"/>
              <w:contextualSpacing/>
              <w:rPr>
                <w:lang w:val="en-GB"/>
              </w:rPr>
            </w:pPr>
            <w:r w:rsidRPr="00E0193B">
              <w:rPr>
                <w:lang w:val="en-GB"/>
              </w:rPr>
              <w:t xml:space="preserve">Installation of Dynamic Passenger Information System (SDIP) in 10 locations for SDIP providing real-time information on railway traffic for passengers, </w:t>
            </w:r>
            <w:r w:rsidRPr="00E0193B">
              <w:rPr>
                <w:color w:val="FF0000"/>
                <w:lang w:val="en-GB"/>
              </w:rPr>
              <w:t>10</w:t>
            </w:r>
            <w:r w:rsidRPr="00E0193B">
              <w:rPr>
                <w:lang w:val="en-GB"/>
              </w:rPr>
              <w:t xml:space="preserve"> locations for automatic control allowing to manage particular railway areas from local traffic management centres, 30 level crossings concerning installation of automatic controlled safety devices (crossing gate, sound and light signalling systems).</w:t>
            </w:r>
          </w:p>
          <w:p w14:paraId="165DCA78" w14:textId="77777777" w:rsidR="00D94758" w:rsidRPr="00E0193B" w:rsidRDefault="00D94758" w:rsidP="00D94758">
            <w:pPr>
              <w:spacing w:line="240" w:lineRule="auto"/>
              <w:ind w:left="55"/>
              <w:contextualSpacing/>
              <w:rPr>
                <w:lang w:val="en-GB"/>
              </w:rPr>
            </w:pPr>
          </w:p>
          <w:p w14:paraId="272D162B" w14:textId="77777777" w:rsidR="00D94758" w:rsidRPr="00E0193B" w:rsidRDefault="00D94758" w:rsidP="00D94758">
            <w:pPr>
              <w:spacing w:line="240" w:lineRule="auto"/>
              <w:ind w:left="55"/>
              <w:contextualSpacing/>
            </w:pPr>
            <w:r w:rsidRPr="00E0193B">
              <w:t xml:space="preserve">Instalacja Systemów Dynamicznej Informacji Pasażerskiej (SDIP) w 10 lokalizacjach w celu dostarczania pasażerom informacji o ruchu kolejowym w czasie rzeczywistym,  </w:t>
            </w:r>
            <w:r w:rsidRPr="00E0193B">
              <w:rPr>
                <w:color w:val="FF0000"/>
              </w:rPr>
              <w:t>urządzeń</w:t>
            </w:r>
            <w:r w:rsidRPr="00E0193B">
              <w:t xml:space="preserve"> automatycznego sterowania w </w:t>
            </w:r>
            <w:r w:rsidRPr="00E0193B">
              <w:rPr>
                <w:color w:val="FF0000"/>
              </w:rPr>
              <w:t>10</w:t>
            </w:r>
            <w:r w:rsidRPr="00E0193B">
              <w:t xml:space="preserve"> lokalizacjach w celu umożliwienia zarządzania danym obszarem kolejowym z lokalnego centrum zarządzania ruchem, sterowanych automatycznie urządzeń bezpieczeństwa na 30 przejazdach kolejowych (rogatki, systemy sygnalizacji dźwiękowej i świetlnej)</w:t>
            </w:r>
          </w:p>
          <w:p w14:paraId="07B8286C" w14:textId="77777777" w:rsidR="00D94758" w:rsidRPr="00E0193B" w:rsidRDefault="00D94758" w:rsidP="00D94758">
            <w:pPr>
              <w:spacing w:line="240" w:lineRule="auto"/>
              <w:ind w:left="720"/>
              <w:contextualSpacing/>
            </w:pPr>
          </w:p>
          <w:p w14:paraId="3EF35E92" w14:textId="77777777" w:rsidR="00D94758" w:rsidRPr="00E0193B" w:rsidRDefault="00D94758" w:rsidP="00D94758">
            <w:pPr>
              <w:spacing w:line="240" w:lineRule="auto"/>
              <w:ind w:left="720"/>
              <w:contextualSpacing/>
            </w:pPr>
            <w:r w:rsidRPr="00E0193B">
              <w:t>E28G</w:t>
            </w:r>
          </w:p>
          <w:p w14:paraId="197FEEBE" w14:textId="77777777" w:rsidR="00D94758" w:rsidRPr="00E0193B" w:rsidRDefault="00D94758" w:rsidP="00D94758">
            <w:pPr>
              <w:spacing w:line="240" w:lineRule="auto"/>
              <w:ind w:left="720"/>
              <w:contextualSpacing/>
              <w:rPr>
                <w:i/>
              </w:rPr>
            </w:pPr>
            <w:r w:rsidRPr="00E0193B">
              <w:rPr>
                <w:i/>
              </w:rPr>
              <w:t>Baseline/ Poziom bazowy</w:t>
            </w:r>
          </w:p>
          <w:p w14:paraId="5BF6B17C" w14:textId="77777777" w:rsidR="00D94758" w:rsidRPr="00E0193B" w:rsidRDefault="00D94758" w:rsidP="00A1213F">
            <w:pPr>
              <w:numPr>
                <w:ilvl w:val="0"/>
                <w:numId w:val="7"/>
              </w:numPr>
              <w:spacing w:after="0" w:line="240" w:lineRule="auto"/>
              <w:ind w:right="46"/>
              <w:jc w:val="left"/>
              <w:rPr>
                <w:rFonts w:eastAsia="Calibri"/>
                <w:color w:val="FF0000"/>
                <w:lang w:val="en-GB"/>
              </w:rPr>
            </w:pPr>
            <w:r w:rsidRPr="00E0193B">
              <w:rPr>
                <w:rFonts w:eastAsia="Calibri"/>
                <w:color w:val="FF0000"/>
                <w:lang w:val="en-GB"/>
              </w:rPr>
              <w:t>ERTMS: 0</w:t>
            </w:r>
          </w:p>
          <w:p w14:paraId="2203C04F" w14:textId="77777777" w:rsidR="00D94758" w:rsidRPr="00E0193B" w:rsidRDefault="00D94758" w:rsidP="00A1213F">
            <w:pPr>
              <w:numPr>
                <w:ilvl w:val="0"/>
                <w:numId w:val="7"/>
              </w:numPr>
              <w:spacing w:after="0" w:line="240" w:lineRule="auto"/>
              <w:ind w:right="46"/>
              <w:jc w:val="left"/>
              <w:rPr>
                <w:rFonts w:eastAsia="Calibri"/>
                <w:color w:val="FF0000"/>
                <w:lang w:val="en-GB"/>
              </w:rPr>
            </w:pPr>
            <w:r w:rsidRPr="00E0193B">
              <w:rPr>
                <w:rFonts w:eastAsia="Calibri"/>
                <w:color w:val="FF0000"/>
                <w:lang w:val="en-GB"/>
              </w:rPr>
              <w:t xml:space="preserve">SDIP:10 locations, </w:t>
            </w:r>
          </w:p>
          <w:p w14:paraId="04F55D83" w14:textId="77777777" w:rsidR="00D94758" w:rsidRPr="00E0193B" w:rsidRDefault="00D94758" w:rsidP="00A1213F">
            <w:pPr>
              <w:numPr>
                <w:ilvl w:val="0"/>
                <w:numId w:val="7"/>
              </w:numPr>
              <w:spacing w:after="0" w:line="240" w:lineRule="auto"/>
              <w:ind w:right="46"/>
              <w:jc w:val="left"/>
              <w:rPr>
                <w:rFonts w:eastAsia="Calibri"/>
                <w:color w:val="FF0000"/>
                <w:lang w:val="en-GB"/>
              </w:rPr>
            </w:pPr>
            <w:r w:rsidRPr="00E0193B">
              <w:rPr>
                <w:rFonts w:eastAsia="Calibri"/>
                <w:color w:val="FF0000"/>
                <w:lang w:val="en-GB"/>
              </w:rPr>
              <w:t xml:space="preserve">control: 10 locations, </w:t>
            </w:r>
          </w:p>
          <w:p w14:paraId="541110A7" w14:textId="77777777" w:rsidR="00D94758" w:rsidRPr="00E0193B" w:rsidRDefault="00D94758" w:rsidP="00A1213F">
            <w:pPr>
              <w:numPr>
                <w:ilvl w:val="0"/>
                <w:numId w:val="7"/>
              </w:numPr>
              <w:spacing w:after="0" w:line="240" w:lineRule="auto"/>
              <w:ind w:right="46"/>
              <w:jc w:val="left"/>
              <w:rPr>
                <w:rFonts w:eastAsia="Calibri"/>
                <w:color w:val="FF0000"/>
                <w:lang w:val="en-GB"/>
              </w:rPr>
            </w:pPr>
            <w:r w:rsidRPr="00E0193B">
              <w:rPr>
                <w:rFonts w:eastAsia="Calibri"/>
                <w:color w:val="FF0000"/>
                <w:lang w:val="en-GB"/>
              </w:rPr>
              <w:t>level crossings: 30 locations</w:t>
            </w:r>
          </w:p>
          <w:p w14:paraId="2DB8BB00" w14:textId="77777777" w:rsidR="00D94758" w:rsidRPr="00E0193B" w:rsidRDefault="00D94758" w:rsidP="00A1213F">
            <w:pPr>
              <w:numPr>
                <w:ilvl w:val="0"/>
                <w:numId w:val="9"/>
              </w:numPr>
              <w:spacing w:after="0" w:line="240" w:lineRule="auto"/>
              <w:ind w:left="505" w:right="46"/>
              <w:jc w:val="left"/>
              <w:rPr>
                <w:rFonts w:eastAsia="Calibri"/>
                <w:color w:val="FF0000"/>
                <w:lang w:val="en-GB"/>
              </w:rPr>
            </w:pPr>
            <w:r w:rsidRPr="00E0193B">
              <w:rPr>
                <w:rFonts w:eastAsia="Calibri"/>
                <w:color w:val="FF0000"/>
                <w:lang w:val="en-GB"/>
              </w:rPr>
              <w:t>ERTMS: 0</w:t>
            </w:r>
          </w:p>
          <w:p w14:paraId="22EAAACB" w14:textId="77777777" w:rsidR="00D94758" w:rsidRPr="00E0193B" w:rsidRDefault="00D94758" w:rsidP="00A1213F">
            <w:pPr>
              <w:numPr>
                <w:ilvl w:val="0"/>
                <w:numId w:val="9"/>
              </w:numPr>
              <w:spacing w:after="0" w:line="240" w:lineRule="auto"/>
              <w:ind w:left="505" w:right="46"/>
              <w:jc w:val="left"/>
              <w:rPr>
                <w:rFonts w:eastAsia="Calibri"/>
                <w:color w:val="FF0000"/>
                <w:lang w:val="en-GB"/>
              </w:rPr>
            </w:pPr>
            <w:r w:rsidRPr="00E0193B">
              <w:rPr>
                <w:rFonts w:eastAsia="Calibri"/>
                <w:color w:val="FF0000"/>
                <w:lang w:val="en-GB"/>
              </w:rPr>
              <w:t>SDIP: 10 lokalizacji</w:t>
            </w:r>
          </w:p>
          <w:p w14:paraId="1FA705A4" w14:textId="77777777" w:rsidR="00D94758" w:rsidRPr="00E0193B" w:rsidRDefault="00D94758" w:rsidP="00A1213F">
            <w:pPr>
              <w:numPr>
                <w:ilvl w:val="0"/>
                <w:numId w:val="9"/>
              </w:numPr>
              <w:spacing w:after="0" w:line="240" w:lineRule="auto"/>
              <w:ind w:left="505" w:right="46"/>
              <w:jc w:val="left"/>
              <w:rPr>
                <w:rFonts w:eastAsia="Calibri"/>
                <w:color w:val="FF0000"/>
                <w:lang w:val="en-GB"/>
              </w:rPr>
            </w:pPr>
            <w:r w:rsidRPr="00E0193B">
              <w:rPr>
                <w:rFonts w:eastAsia="Calibri"/>
                <w:color w:val="FF0000"/>
                <w:lang w:val="en-GB"/>
              </w:rPr>
              <w:t>Sterowanie: 10 lokalizacji</w:t>
            </w:r>
          </w:p>
          <w:p w14:paraId="65901A86" w14:textId="77777777" w:rsidR="00D94758" w:rsidRPr="00E0193B" w:rsidRDefault="00D94758" w:rsidP="00A1213F">
            <w:pPr>
              <w:numPr>
                <w:ilvl w:val="0"/>
                <w:numId w:val="9"/>
              </w:numPr>
              <w:spacing w:after="0" w:line="240" w:lineRule="auto"/>
              <w:ind w:left="505" w:right="46"/>
              <w:jc w:val="left"/>
              <w:rPr>
                <w:rFonts w:eastAsia="Calibri"/>
                <w:color w:val="FF0000"/>
                <w:lang w:val="en-GB"/>
              </w:rPr>
            </w:pPr>
            <w:r w:rsidRPr="00E0193B">
              <w:rPr>
                <w:rFonts w:eastAsia="Calibri"/>
                <w:color w:val="FF0000"/>
                <w:lang w:val="en-GB"/>
              </w:rPr>
              <w:t xml:space="preserve">Przejazdy kolejowe: 30 lokalizacji  </w:t>
            </w:r>
          </w:p>
          <w:p w14:paraId="64567E7D" w14:textId="77777777" w:rsidR="00D94758" w:rsidRPr="00E0193B" w:rsidRDefault="00D94758" w:rsidP="00D94758">
            <w:pPr>
              <w:spacing w:line="240" w:lineRule="auto"/>
              <w:ind w:left="720"/>
              <w:contextualSpacing/>
              <w:rPr>
                <w:i/>
              </w:rPr>
            </w:pPr>
            <w:r w:rsidRPr="00E0193B">
              <w:rPr>
                <w:i/>
              </w:rPr>
              <w:t>Goal Cel</w:t>
            </w:r>
          </w:p>
          <w:p w14:paraId="653F6C42" w14:textId="77777777" w:rsidR="00D94758" w:rsidRPr="00E0193B" w:rsidRDefault="00D94758" w:rsidP="00A1213F">
            <w:pPr>
              <w:numPr>
                <w:ilvl w:val="0"/>
                <w:numId w:val="8"/>
              </w:numPr>
              <w:spacing w:after="0" w:line="240" w:lineRule="auto"/>
              <w:jc w:val="left"/>
              <w:rPr>
                <w:rFonts w:eastAsia="Calibri"/>
                <w:lang w:val="en-GB"/>
              </w:rPr>
            </w:pPr>
            <w:r w:rsidRPr="00E0193B">
              <w:rPr>
                <w:rFonts w:eastAsia="Calibri"/>
                <w:lang w:val="en-GB"/>
              </w:rPr>
              <w:t xml:space="preserve">160 ERTMS on-board units; </w:t>
            </w:r>
          </w:p>
          <w:p w14:paraId="4D28FA90" w14:textId="77777777" w:rsidR="00D94758" w:rsidRPr="00E0193B" w:rsidRDefault="00D94758" w:rsidP="00A1213F">
            <w:pPr>
              <w:numPr>
                <w:ilvl w:val="0"/>
                <w:numId w:val="8"/>
              </w:numPr>
              <w:spacing w:after="0" w:line="240" w:lineRule="auto"/>
              <w:ind w:right="133"/>
              <w:jc w:val="left"/>
              <w:rPr>
                <w:rFonts w:eastAsia="Calibri"/>
                <w:color w:val="FF0000"/>
                <w:lang w:val="en-GB"/>
              </w:rPr>
            </w:pPr>
            <w:r w:rsidRPr="00E0193B">
              <w:rPr>
                <w:rFonts w:eastAsia="Calibri"/>
                <w:color w:val="FF0000"/>
                <w:lang w:val="en-GB"/>
              </w:rPr>
              <w:t>42 SDIP</w:t>
            </w:r>
          </w:p>
          <w:p w14:paraId="3821574E" w14:textId="77777777" w:rsidR="00D94758" w:rsidRPr="00E0193B" w:rsidRDefault="00D94758" w:rsidP="00A1213F">
            <w:pPr>
              <w:numPr>
                <w:ilvl w:val="0"/>
                <w:numId w:val="8"/>
              </w:numPr>
              <w:spacing w:after="0" w:line="240" w:lineRule="auto"/>
              <w:ind w:right="133"/>
              <w:jc w:val="left"/>
              <w:rPr>
                <w:rFonts w:eastAsia="Calibri"/>
                <w:lang w:val="en-GB"/>
              </w:rPr>
            </w:pPr>
            <w:r w:rsidRPr="00E0193B">
              <w:rPr>
                <w:rFonts w:eastAsia="Calibri"/>
                <w:color w:val="FF0000"/>
                <w:lang w:val="en-GB"/>
              </w:rPr>
              <w:t xml:space="preserve">102 </w:t>
            </w:r>
            <w:r w:rsidRPr="00E0193B">
              <w:rPr>
                <w:rFonts w:eastAsia="Calibri"/>
                <w:lang w:val="en-GB"/>
              </w:rPr>
              <w:t>locations for level crossings;</w:t>
            </w:r>
          </w:p>
          <w:p w14:paraId="721F21E0" w14:textId="77777777" w:rsidR="00D94758" w:rsidRPr="00E0193B" w:rsidRDefault="00D94758" w:rsidP="00A1213F">
            <w:pPr>
              <w:numPr>
                <w:ilvl w:val="0"/>
                <w:numId w:val="8"/>
              </w:numPr>
              <w:spacing w:after="0" w:line="240" w:lineRule="auto"/>
              <w:jc w:val="left"/>
              <w:rPr>
                <w:rFonts w:eastAsia="Calibri"/>
                <w:color w:val="FF0000"/>
                <w:lang w:val="en-GB"/>
              </w:rPr>
            </w:pPr>
            <w:r w:rsidRPr="00E0193B">
              <w:rPr>
                <w:rFonts w:eastAsia="Calibri"/>
                <w:color w:val="FF0000"/>
                <w:lang w:val="en-GB"/>
              </w:rPr>
              <w:t>43</w:t>
            </w:r>
            <w:r w:rsidRPr="00E0193B">
              <w:rPr>
                <w:rFonts w:eastAsia="Calibri"/>
                <w:lang w:val="en-GB"/>
              </w:rPr>
              <w:t xml:space="preserve"> locations for automatic control </w:t>
            </w:r>
            <w:r w:rsidRPr="00E0193B">
              <w:rPr>
                <w:rFonts w:eastAsia="Calibri"/>
                <w:color w:val="FF0000"/>
                <w:lang w:val="en-GB"/>
              </w:rPr>
              <w:t>(numbers contain items mentioned in E27G)</w:t>
            </w:r>
          </w:p>
          <w:p w14:paraId="2F6386B6" w14:textId="5D27D347" w:rsidR="00D94758" w:rsidRPr="00E0193B" w:rsidRDefault="00926309" w:rsidP="00A1213F">
            <w:pPr>
              <w:numPr>
                <w:ilvl w:val="0"/>
                <w:numId w:val="8"/>
              </w:numPr>
              <w:spacing w:after="0" w:line="240" w:lineRule="auto"/>
              <w:jc w:val="left"/>
              <w:rPr>
                <w:rFonts w:eastAsia="Calibri"/>
                <w:i/>
                <w:lang w:val="en-GB"/>
              </w:rPr>
            </w:pPr>
            <w:r w:rsidRPr="00E0193B">
              <w:rPr>
                <w:rFonts w:eastAsia="Calibri"/>
                <w:color w:val="FF0000"/>
              </w:rPr>
              <w:t xml:space="preserve">144 </w:t>
            </w:r>
            <w:r w:rsidR="00D94758" w:rsidRPr="00E0193B">
              <w:rPr>
                <w:rFonts w:eastAsia="Calibri"/>
                <w:strike/>
                <w:color w:val="FF0000"/>
              </w:rPr>
              <w:t>160</w:t>
            </w:r>
            <w:r w:rsidR="00D94758" w:rsidRPr="00E0193B">
              <w:rPr>
                <w:rFonts w:eastAsia="Calibri"/>
                <w:color w:val="FF0000"/>
              </w:rPr>
              <w:t xml:space="preserve"> </w:t>
            </w:r>
            <w:r w:rsidR="00D94758" w:rsidRPr="00E0193B">
              <w:rPr>
                <w:rFonts w:eastAsia="Calibri"/>
              </w:rPr>
              <w:t xml:space="preserve">urządzeń pokładowych ERTMS; </w:t>
            </w:r>
          </w:p>
          <w:p w14:paraId="1833C32B" w14:textId="77777777" w:rsidR="00D94758" w:rsidRPr="00E0193B" w:rsidRDefault="00D94758" w:rsidP="00A1213F">
            <w:pPr>
              <w:numPr>
                <w:ilvl w:val="0"/>
                <w:numId w:val="8"/>
              </w:numPr>
              <w:spacing w:after="0" w:line="240" w:lineRule="auto"/>
              <w:jc w:val="left"/>
              <w:rPr>
                <w:rFonts w:eastAsia="Calibri"/>
                <w:i/>
                <w:color w:val="FF0000"/>
                <w:lang w:val="en-GB"/>
              </w:rPr>
            </w:pPr>
            <w:r w:rsidRPr="00E0193B">
              <w:rPr>
                <w:rFonts w:eastAsia="Calibri"/>
                <w:color w:val="FF0000"/>
                <w:lang w:val="en-GB"/>
              </w:rPr>
              <w:t>42 SDIP</w:t>
            </w:r>
          </w:p>
          <w:p w14:paraId="14D3144D" w14:textId="77777777" w:rsidR="00D94758" w:rsidRPr="00E0193B" w:rsidRDefault="00D94758" w:rsidP="00A1213F">
            <w:pPr>
              <w:numPr>
                <w:ilvl w:val="0"/>
                <w:numId w:val="8"/>
              </w:numPr>
              <w:spacing w:after="0" w:line="240" w:lineRule="auto"/>
              <w:jc w:val="left"/>
              <w:rPr>
                <w:rFonts w:eastAsia="Calibri"/>
                <w:i/>
                <w:lang w:val="en-GB"/>
              </w:rPr>
            </w:pPr>
            <w:r w:rsidRPr="00E0193B">
              <w:rPr>
                <w:rFonts w:eastAsia="Calibri"/>
              </w:rPr>
              <w:t xml:space="preserve">przejazdy kolejowe w </w:t>
            </w:r>
            <w:r w:rsidRPr="00E0193B">
              <w:rPr>
                <w:rFonts w:eastAsia="Calibri"/>
                <w:color w:val="FF0000"/>
              </w:rPr>
              <w:t xml:space="preserve">102 </w:t>
            </w:r>
            <w:r w:rsidRPr="00E0193B">
              <w:rPr>
                <w:rFonts w:eastAsia="Calibri"/>
              </w:rPr>
              <w:t xml:space="preserve"> lokalizacjach; </w:t>
            </w:r>
          </w:p>
          <w:p w14:paraId="00BE92FC" w14:textId="77777777" w:rsidR="00D94758" w:rsidRPr="00E0193B" w:rsidRDefault="00D94758" w:rsidP="00A1213F">
            <w:pPr>
              <w:numPr>
                <w:ilvl w:val="0"/>
                <w:numId w:val="8"/>
              </w:numPr>
              <w:spacing w:after="0" w:line="240" w:lineRule="auto"/>
              <w:jc w:val="left"/>
              <w:rPr>
                <w:rFonts w:eastAsia="Calibri"/>
                <w:i/>
              </w:rPr>
            </w:pPr>
            <w:r w:rsidRPr="00E0193B">
              <w:rPr>
                <w:rFonts w:eastAsia="Calibri"/>
                <w:color w:val="FF0000"/>
              </w:rPr>
              <w:t>urządzenia</w:t>
            </w:r>
            <w:r w:rsidRPr="00E0193B">
              <w:rPr>
                <w:rFonts w:eastAsia="Calibri"/>
              </w:rPr>
              <w:t xml:space="preserve"> automatyczn</w:t>
            </w:r>
            <w:r w:rsidRPr="00E0193B">
              <w:rPr>
                <w:rFonts w:eastAsia="Calibri"/>
                <w:color w:val="FF0000"/>
              </w:rPr>
              <w:t>ego</w:t>
            </w:r>
            <w:r w:rsidRPr="00E0193B">
              <w:rPr>
                <w:rFonts w:eastAsia="Calibri"/>
              </w:rPr>
              <w:t xml:space="preserve"> </w:t>
            </w:r>
            <w:r w:rsidRPr="00E0193B">
              <w:rPr>
                <w:rFonts w:eastAsia="Calibri"/>
                <w:color w:val="FF0000"/>
              </w:rPr>
              <w:t>sterowania</w:t>
            </w:r>
            <w:r w:rsidRPr="00E0193B">
              <w:rPr>
                <w:rFonts w:eastAsia="Calibri"/>
              </w:rPr>
              <w:t xml:space="preserve"> w</w:t>
            </w:r>
            <w:r w:rsidRPr="00E0193B">
              <w:rPr>
                <w:rFonts w:eastAsia="Calibri"/>
                <w:color w:val="FF0000"/>
              </w:rPr>
              <w:t xml:space="preserve"> 43</w:t>
            </w:r>
            <w:r w:rsidRPr="00E0193B">
              <w:rPr>
                <w:rFonts w:eastAsia="Calibri"/>
              </w:rPr>
              <w:t xml:space="preserve"> lokalizacjach </w:t>
            </w:r>
          </w:p>
          <w:p w14:paraId="2A198C30" w14:textId="3C8DD975" w:rsidR="00D94758" w:rsidRPr="00E0193B" w:rsidRDefault="00D94758" w:rsidP="00D94758">
            <w:pPr>
              <w:spacing w:after="0" w:line="240" w:lineRule="auto"/>
              <w:ind w:left="361"/>
              <w:jc w:val="left"/>
              <w:rPr>
                <w:rFonts w:eastAsia="Calibri"/>
                <w:color w:val="FF0000"/>
              </w:rPr>
            </w:pPr>
            <w:r w:rsidRPr="00E0193B">
              <w:rPr>
                <w:rFonts w:eastAsia="Calibri"/>
                <w:color w:val="FF0000"/>
              </w:rPr>
              <w:t>(dane zawierają wartości z E27G)</w:t>
            </w:r>
          </w:p>
          <w:p w14:paraId="28DC2822" w14:textId="20FC76E5" w:rsidR="00926309" w:rsidRPr="00E0193B" w:rsidRDefault="00926309" w:rsidP="00D94758">
            <w:pPr>
              <w:spacing w:after="0" w:line="240" w:lineRule="auto"/>
              <w:ind w:left="361"/>
              <w:jc w:val="left"/>
              <w:rPr>
                <w:rFonts w:eastAsia="Calibri"/>
                <w:i/>
                <w:color w:val="FF0000"/>
              </w:rPr>
            </w:pPr>
          </w:p>
          <w:p w14:paraId="67A6C062" w14:textId="77777777" w:rsidR="00926309" w:rsidRPr="00E0193B" w:rsidRDefault="00926309" w:rsidP="00926309">
            <w:pPr>
              <w:spacing w:after="0" w:line="240" w:lineRule="auto"/>
              <w:ind w:left="361"/>
              <w:jc w:val="left"/>
              <w:rPr>
                <w:rFonts w:eastAsia="Calibri"/>
                <w:i/>
                <w:color w:val="FF0000"/>
                <w:lang w:val="en-GB"/>
              </w:rPr>
            </w:pPr>
            <w:r w:rsidRPr="00E0193B">
              <w:rPr>
                <w:rFonts w:eastAsia="Calibri"/>
                <w:i/>
                <w:color w:val="FF0000"/>
                <w:lang w:val="en-GB"/>
              </w:rPr>
              <w:t>Timline</w:t>
            </w:r>
          </w:p>
          <w:p w14:paraId="032F598E" w14:textId="77777777" w:rsidR="00926309" w:rsidRPr="00E0193B" w:rsidRDefault="00926309" w:rsidP="00926309">
            <w:pPr>
              <w:spacing w:after="0" w:line="240" w:lineRule="auto"/>
              <w:ind w:left="361"/>
              <w:jc w:val="left"/>
              <w:rPr>
                <w:rFonts w:eastAsia="Calibri"/>
                <w:i/>
                <w:color w:val="FF0000"/>
                <w:lang w:val="en-GB"/>
              </w:rPr>
            </w:pPr>
            <w:r w:rsidRPr="00E0193B">
              <w:rPr>
                <w:rFonts w:eastAsia="Calibri"/>
                <w:i/>
                <w:color w:val="FF0000"/>
                <w:lang w:val="en-GB"/>
              </w:rPr>
              <w:t>Q3 2026 (31 August 2026)</w:t>
            </w:r>
          </w:p>
          <w:p w14:paraId="106A012B" w14:textId="77777777" w:rsidR="00926309" w:rsidRPr="00E0193B" w:rsidRDefault="00926309" w:rsidP="00D94758">
            <w:pPr>
              <w:spacing w:after="0" w:line="240" w:lineRule="auto"/>
              <w:ind w:left="361"/>
              <w:jc w:val="left"/>
              <w:rPr>
                <w:rFonts w:eastAsia="Calibri"/>
                <w:i/>
                <w:color w:val="FF0000"/>
                <w:lang w:val="en-AU"/>
              </w:rPr>
            </w:pPr>
          </w:p>
          <w:p w14:paraId="3123E196" w14:textId="77777777" w:rsidR="00D94758" w:rsidRPr="00E0193B" w:rsidRDefault="00D94758" w:rsidP="00D94758">
            <w:pPr>
              <w:spacing w:after="0" w:line="240" w:lineRule="auto"/>
              <w:ind w:left="-6"/>
              <w:jc w:val="left"/>
              <w:rPr>
                <w:rFonts w:eastAsia="Calibri"/>
                <w:i/>
                <w:lang w:val="en-GB"/>
              </w:rPr>
            </w:pPr>
            <w:r w:rsidRPr="00E0193B">
              <w:rPr>
                <w:rFonts w:eastAsia="Calibri"/>
                <w:i/>
                <w:lang w:val="en-GB"/>
              </w:rPr>
              <w:t>Description of each (…)/ Opis każdego (…)</w:t>
            </w:r>
          </w:p>
          <w:p w14:paraId="4891F5CB" w14:textId="77777777" w:rsidR="00D94758" w:rsidRPr="00E0193B" w:rsidRDefault="00D94758" w:rsidP="00D94758">
            <w:pPr>
              <w:spacing w:after="0" w:line="240" w:lineRule="auto"/>
              <w:jc w:val="left"/>
              <w:rPr>
                <w:rFonts w:eastAsia="Calibri"/>
                <w:lang w:val="en-GB"/>
              </w:rPr>
            </w:pPr>
            <w:r w:rsidRPr="00E0193B">
              <w:rPr>
                <w:rFonts w:eastAsia="Calibri"/>
                <w:color w:val="FF0000"/>
                <w:lang w:val="en-GB"/>
              </w:rPr>
              <w:t xml:space="preserve">Contracts signed for purchase and installation </w:t>
            </w:r>
            <w:r w:rsidRPr="00E0193B">
              <w:rPr>
                <w:rFonts w:eastAsia="Calibri"/>
                <w:lang w:val="en-GB"/>
              </w:rPr>
              <w:t xml:space="preserve">of 160 ERTMS on-board-units (proposal shall be selected under competitive call for proposals). </w:t>
            </w:r>
            <w:r w:rsidRPr="00E0193B">
              <w:rPr>
                <w:rFonts w:eastAsia="Calibri"/>
                <w:color w:val="FF0000"/>
                <w:lang w:val="en-GB"/>
              </w:rPr>
              <w:t>Completion of works related to: installation 42 SDIP</w:t>
            </w:r>
            <w:r w:rsidRPr="00E0193B">
              <w:rPr>
                <w:rFonts w:eastAsia="Calibri"/>
                <w:lang w:val="en-GB"/>
              </w:rPr>
              <w:t xml:space="preserve">, upgrade of </w:t>
            </w:r>
            <w:r w:rsidRPr="00E0193B">
              <w:rPr>
                <w:rFonts w:eastAsia="Calibri"/>
                <w:color w:val="FF0000"/>
                <w:lang w:val="en-GB"/>
              </w:rPr>
              <w:t xml:space="preserve">102 </w:t>
            </w:r>
            <w:r w:rsidRPr="00E0193B">
              <w:rPr>
                <w:rFonts w:eastAsia="Calibri"/>
                <w:strike/>
                <w:color w:val="FF0000"/>
                <w:lang w:val="en-GB"/>
              </w:rPr>
              <w:t>45</w:t>
            </w:r>
            <w:r w:rsidRPr="00E0193B">
              <w:rPr>
                <w:rFonts w:eastAsia="Calibri"/>
                <w:lang w:val="en-GB"/>
              </w:rPr>
              <w:t xml:space="preserve"> level crossings systems (including gates, sound and light safety systems), and introduction of automatic control of railway control points in </w:t>
            </w:r>
            <w:r w:rsidRPr="00E0193B">
              <w:rPr>
                <w:rFonts w:eastAsia="Calibri"/>
                <w:strike/>
                <w:color w:val="FF0000"/>
                <w:lang w:val="en-GB"/>
              </w:rPr>
              <w:t>35</w:t>
            </w:r>
            <w:r w:rsidRPr="00E0193B">
              <w:rPr>
                <w:rFonts w:eastAsia="Calibri"/>
                <w:color w:val="FF0000"/>
                <w:lang w:val="en-GB"/>
              </w:rPr>
              <w:t xml:space="preserve"> 43</w:t>
            </w:r>
            <w:r w:rsidRPr="00E0193B">
              <w:rPr>
                <w:rFonts w:eastAsia="Calibri"/>
                <w:lang w:val="en-GB"/>
              </w:rPr>
              <w:t xml:space="preserve"> locations. </w:t>
            </w:r>
            <w:r w:rsidRPr="00E0193B">
              <w:rPr>
                <w:rFonts w:eastAsia="Calibri"/>
                <w:color w:val="006100"/>
                <w:lang w:val="en-GB"/>
              </w:rPr>
              <w:t xml:space="preserve"> </w:t>
            </w:r>
          </w:p>
          <w:p w14:paraId="228F5B15" w14:textId="73F04E65" w:rsidR="00D94758" w:rsidRPr="00E0193B" w:rsidRDefault="00D94758" w:rsidP="00D94758">
            <w:pPr>
              <w:spacing w:after="0" w:line="240" w:lineRule="auto"/>
              <w:jc w:val="left"/>
              <w:rPr>
                <w:rFonts w:eastAsia="Calibri"/>
              </w:rPr>
            </w:pPr>
            <w:r w:rsidRPr="00E0193B">
              <w:rPr>
                <w:rFonts w:eastAsia="Calibri"/>
                <w:color w:val="FF0000"/>
              </w:rPr>
              <w:t>Zakończenie prac związanych z:</w:t>
            </w:r>
            <w:r w:rsidRPr="00E0193B">
              <w:rPr>
                <w:rFonts w:eastAsia="Calibri"/>
              </w:rPr>
              <w:t xml:space="preserve"> </w:t>
            </w:r>
            <w:r w:rsidR="00926309" w:rsidRPr="00E0193B">
              <w:rPr>
                <w:rFonts w:eastAsia="Calibri"/>
              </w:rPr>
              <w:t xml:space="preserve">instalacją </w:t>
            </w:r>
            <w:r w:rsidR="00926309" w:rsidRPr="00E0193B">
              <w:rPr>
                <w:rFonts w:eastAsia="Calibri"/>
                <w:color w:val="FF0000"/>
              </w:rPr>
              <w:t>144 1</w:t>
            </w:r>
            <w:r w:rsidR="00926309" w:rsidRPr="00E0193B">
              <w:rPr>
                <w:rFonts w:eastAsia="Calibri"/>
                <w:strike/>
                <w:color w:val="FF0000"/>
              </w:rPr>
              <w:t xml:space="preserve">60 </w:t>
            </w:r>
            <w:r w:rsidR="00926309" w:rsidRPr="00E0193B">
              <w:rPr>
                <w:rFonts w:eastAsia="Calibri"/>
              </w:rPr>
              <w:t>urządzeń pokładowych ERTMS (oferta zostanie wybrana w trybie konkurencyjnego zaproszenia do składania wniosków),</w:t>
            </w:r>
            <w:r w:rsidRPr="00E0193B">
              <w:rPr>
                <w:rFonts w:eastAsia="Calibri"/>
                <w:color w:val="FF0000"/>
              </w:rPr>
              <w:t>instalacją 42 SDIP,</w:t>
            </w:r>
            <w:r w:rsidRPr="00E0193B">
              <w:rPr>
                <w:rFonts w:eastAsia="Calibri"/>
              </w:rPr>
              <w:t xml:space="preserve"> modernizacją systemów na przejazdach kolejowych w </w:t>
            </w:r>
            <w:r w:rsidRPr="00E0193B">
              <w:rPr>
                <w:rFonts w:eastAsia="Calibri"/>
                <w:color w:val="FF0000"/>
              </w:rPr>
              <w:t xml:space="preserve">102 </w:t>
            </w:r>
            <w:r w:rsidRPr="00E0193B">
              <w:rPr>
                <w:rFonts w:eastAsia="Calibri"/>
              </w:rPr>
              <w:t xml:space="preserve">lokalizacjach (w tym rogatek, dźwiękowych i świetlnych systemów bezpieczeństwa) oraz wprowadzeniem zdalnego sterowania posterunkami ruchu w </w:t>
            </w:r>
            <w:r w:rsidRPr="00E0193B">
              <w:rPr>
                <w:rFonts w:eastAsia="Calibri"/>
                <w:color w:val="FF0000"/>
              </w:rPr>
              <w:t>43</w:t>
            </w:r>
            <w:r w:rsidRPr="00E0193B">
              <w:rPr>
                <w:rFonts w:eastAsia="Calibri"/>
              </w:rPr>
              <w:t xml:space="preserve"> lokalizacjach.</w:t>
            </w:r>
          </w:p>
        </w:tc>
      </w:tr>
      <w:tr w:rsidR="00D94758" w:rsidRPr="00E0193B" w14:paraId="3BC1F303" w14:textId="77777777" w:rsidTr="008C1B0D">
        <w:tc>
          <w:tcPr>
            <w:tcW w:w="1068" w:type="pct"/>
          </w:tcPr>
          <w:p w14:paraId="279547AE" w14:textId="77777777" w:rsidR="00D94758" w:rsidRPr="00E0193B" w:rsidRDefault="00D94758" w:rsidP="00D94758">
            <w:pPr>
              <w:spacing w:after="0" w:line="240" w:lineRule="auto"/>
              <w:jc w:val="left"/>
              <w:rPr>
                <w:rFonts w:eastAsia="Calibri"/>
              </w:rPr>
            </w:pPr>
            <w:r w:rsidRPr="00E0193B">
              <w:rPr>
                <w:rFonts w:eastAsia="Calibri"/>
              </w:rPr>
              <w:lastRenderedPageBreak/>
              <w:t>Uzasadnienie</w:t>
            </w:r>
          </w:p>
        </w:tc>
        <w:tc>
          <w:tcPr>
            <w:tcW w:w="3932" w:type="pct"/>
            <w:gridSpan w:val="2"/>
          </w:tcPr>
          <w:p w14:paraId="24EBB102" w14:textId="77777777" w:rsidR="00D94758" w:rsidRPr="00E0193B" w:rsidRDefault="00D94758" w:rsidP="00D94758">
            <w:pPr>
              <w:spacing w:after="120" w:line="240" w:lineRule="auto"/>
              <w:jc w:val="left"/>
              <w:rPr>
                <w:rFonts w:eastAsia="Calibri"/>
              </w:rPr>
            </w:pPr>
            <w:r w:rsidRPr="00E0193B">
              <w:rPr>
                <w:rFonts w:eastAsia="Calibri"/>
              </w:rPr>
              <w:t xml:space="preserve">Uporządkowanie tej kwestii było sugerowane przez KE w ramach prac nad costingiem do pierwszej rewizji KPO. </w:t>
            </w:r>
          </w:p>
          <w:p w14:paraId="00F2688E" w14:textId="77777777" w:rsidR="00D94758" w:rsidRPr="00E0193B" w:rsidRDefault="00D94758" w:rsidP="00D94758">
            <w:pPr>
              <w:spacing w:after="120" w:line="240" w:lineRule="auto"/>
              <w:jc w:val="left"/>
              <w:rPr>
                <w:rFonts w:eastAsia="Calibri"/>
              </w:rPr>
            </w:pPr>
            <w:r w:rsidRPr="00E0193B">
              <w:rPr>
                <w:rFonts w:eastAsia="Calibri"/>
              </w:rPr>
              <w:t xml:space="preserve">Zakres inwestycji </w:t>
            </w:r>
            <w:r w:rsidRPr="00E0193B">
              <w:rPr>
                <w:rFonts w:eastAsia="Calibri"/>
                <w:iCs/>
              </w:rPr>
              <w:t>E2.2.2. Cyfryzacja transportu</w:t>
            </w:r>
            <w:r w:rsidRPr="00E0193B">
              <w:rPr>
                <w:rFonts w:eastAsia="Calibri"/>
              </w:rPr>
              <w:t xml:space="preserve"> finansowanej został podzielony na zadania: </w:t>
            </w:r>
          </w:p>
          <w:p w14:paraId="6EA1C65B" w14:textId="77777777" w:rsidR="00D94758" w:rsidRPr="00E0193B" w:rsidRDefault="00D94758" w:rsidP="00A1213F">
            <w:pPr>
              <w:numPr>
                <w:ilvl w:val="0"/>
                <w:numId w:val="10"/>
              </w:numPr>
              <w:spacing w:after="120" w:line="240" w:lineRule="auto"/>
              <w:ind w:left="416" w:hanging="283"/>
              <w:jc w:val="left"/>
              <w:rPr>
                <w:rFonts w:eastAsia="Calibri"/>
              </w:rPr>
            </w:pPr>
            <w:r w:rsidRPr="00E0193B">
              <w:rPr>
                <w:rFonts w:eastAsia="Calibri"/>
              </w:rPr>
              <w:t xml:space="preserve">SDIP, Digitalizacja infrastruktury kolejowej </w:t>
            </w:r>
          </w:p>
          <w:p w14:paraId="4F4388CB" w14:textId="77777777" w:rsidR="00D94758" w:rsidRPr="00E0193B" w:rsidRDefault="00D94758" w:rsidP="00A1213F">
            <w:pPr>
              <w:numPr>
                <w:ilvl w:val="0"/>
                <w:numId w:val="10"/>
              </w:numPr>
              <w:spacing w:after="120" w:line="240" w:lineRule="auto"/>
              <w:ind w:left="416" w:hanging="283"/>
              <w:jc w:val="left"/>
              <w:rPr>
                <w:rFonts w:eastAsia="Calibri"/>
              </w:rPr>
            </w:pPr>
            <w:r w:rsidRPr="00E0193B">
              <w:rPr>
                <w:rFonts w:eastAsia="Calibri"/>
              </w:rPr>
              <w:t>Poprawa bezpieczeństwa na przejazdach kolejowych oraz zabudowa ERTMS.</w:t>
            </w:r>
          </w:p>
          <w:p w14:paraId="6CE3C329" w14:textId="77777777" w:rsidR="00D94758" w:rsidRPr="00E0193B" w:rsidRDefault="00D94758" w:rsidP="00D94758">
            <w:pPr>
              <w:spacing w:after="120" w:line="240" w:lineRule="auto"/>
              <w:jc w:val="left"/>
              <w:rPr>
                <w:rFonts w:eastAsia="Calibri"/>
              </w:rPr>
            </w:pPr>
            <w:r w:rsidRPr="00E0193B">
              <w:rPr>
                <w:rFonts w:eastAsia="Calibri"/>
              </w:rPr>
              <w:t>W ramach E27G zmieniono wskaźnik pośredni dla urządzeń automatycznego sterowania z 15 do 10 lokalizacji do uzyskania w 1Q 2025 roku z uwagi na krótki termin realizacji. Dodatkowo mogą wystąpić sytuacje, że komplementarnie do realizacji zadań digitalizacyjnych zajdzie konieczność  uwzględnienia innych zadań (realizowanych z innych środków finansowych niż KPO), które mogą wpłynąć na wydłużenie czasu realizacji zadań digitalizacyjnych w KPO poza I kwartał 2025r.</w:t>
            </w:r>
          </w:p>
          <w:p w14:paraId="78C2FFEA" w14:textId="77777777" w:rsidR="00D94758" w:rsidRPr="00E0193B" w:rsidRDefault="00D94758" w:rsidP="00D94758">
            <w:pPr>
              <w:spacing w:after="120" w:line="240" w:lineRule="auto"/>
              <w:jc w:val="left"/>
              <w:rPr>
                <w:rFonts w:eastAsia="Calibri"/>
              </w:rPr>
            </w:pPr>
            <w:r w:rsidRPr="00E0193B">
              <w:rPr>
                <w:rFonts w:eastAsia="Calibri"/>
              </w:rPr>
              <w:t xml:space="preserve">Wartości wskaźników dla SDIP to 10 lokalizacji, digitalizacji 45 przejazdów oraz 35 lokalizacjach zdalnego sterowania. Spółka wybrana do realizacji zadań – PKP PLK S.A. </w:t>
            </w:r>
            <w:r w:rsidRPr="00E0193B">
              <w:rPr>
                <w:rFonts w:eastAsia="Calibri"/>
              </w:rPr>
              <w:lastRenderedPageBreak/>
              <w:t>wyraziła gotowość realizacji ww. zadań odpowiednio na poziomie: SDIP - 42, przejazdy kolejowe - 102 szt., digitalizacja infrastruktury – 43 lokalizacji. Zmiany spowodowane są możliwością realizacji większej liczby SDIP i przejazdów kolejowych i zdalnego sterowania z uwagi na zmiany cen i wybrane do realizacji projekty.</w:t>
            </w:r>
          </w:p>
          <w:p w14:paraId="6BE0B64E" w14:textId="568E9693" w:rsidR="00D94758" w:rsidRPr="00E0193B" w:rsidRDefault="00D94758" w:rsidP="00D94758">
            <w:pPr>
              <w:spacing w:after="120" w:line="240" w:lineRule="auto"/>
              <w:jc w:val="left"/>
              <w:rPr>
                <w:rFonts w:eastAsia="Calibri"/>
              </w:rPr>
            </w:pPr>
            <w:r w:rsidRPr="00E0193B">
              <w:rPr>
                <w:rFonts w:eastAsia="Calibri"/>
              </w:rPr>
              <w:t>Dodatkowo wprowadzono zapis uściślający, który wprost wskazuje, że wielkości z E27G zawierają się we wskaźniku E28G, czyli E28G zawiera docelowe wartości tych wskaźników. Dotychczasowa forma zapisu prowadziła do jego błędnej interpretacji.</w:t>
            </w:r>
          </w:p>
          <w:p w14:paraId="0FE26C40" w14:textId="77777777" w:rsidR="00926309" w:rsidRPr="00E0193B" w:rsidRDefault="00926309" w:rsidP="00926309">
            <w:pPr>
              <w:spacing w:after="120" w:line="240" w:lineRule="auto"/>
              <w:jc w:val="left"/>
              <w:rPr>
                <w:rFonts w:eastAsia="Calibri"/>
              </w:rPr>
            </w:pPr>
            <w:r w:rsidRPr="00E0193B">
              <w:rPr>
                <w:rFonts w:eastAsia="Calibri"/>
              </w:rPr>
              <w:t>Doprecyzowanie tej kwestii zaproponowała Komisja Europejska w ramach prac nad kosztorysem pierwszej rewizji.</w:t>
            </w:r>
          </w:p>
          <w:p w14:paraId="5377F369" w14:textId="1BAE4657" w:rsidR="00D94758" w:rsidRPr="00E0193B" w:rsidRDefault="00926309" w:rsidP="00D94758">
            <w:pPr>
              <w:spacing w:after="120" w:line="240" w:lineRule="auto"/>
              <w:jc w:val="left"/>
              <w:rPr>
                <w:rFonts w:eastAsia="Calibri"/>
              </w:rPr>
            </w:pPr>
            <w:r w:rsidRPr="00E0193B">
              <w:rPr>
                <w:rFonts w:eastAsia="Calibri"/>
              </w:rPr>
              <w:t>Z uwagi na ryzyko niespełnienia wskaźnika ERTMS proponujemy jego obniżenie do 144 sztuk. Zmiana ta spowodowana jest długim czasem przetwarzania programu pomocowego, a co za tym idzie skróceniem czasu beneficjentów końcowych na instalację urządzeń. Dostępna alokacja wystarczy na wdrożenie 144 instalacji ERTMS.</w:t>
            </w:r>
            <w:r w:rsidR="00D94758" w:rsidRPr="00E0193B">
              <w:rPr>
                <w:rFonts w:eastAsia="Calibri"/>
              </w:rPr>
              <w:t xml:space="preserve"> </w:t>
            </w:r>
          </w:p>
        </w:tc>
      </w:tr>
      <w:tr w:rsidR="00D94758" w:rsidRPr="00E0193B" w14:paraId="32F38823" w14:textId="77777777" w:rsidTr="008C1B0D">
        <w:tc>
          <w:tcPr>
            <w:tcW w:w="1068" w:type="pct"/>
          </w:tcPr>
          <w:p w14:paraId="1A949B33" w14:textId="77777777" w:rsidR="00D94758" w:rsidRPr="00E0193B" w:rsidRDefault="00D94758" w:rsidP="00D94758">
            <w:pPr>
              <w:spacing w:after="0" w:line="240" w:lineRule="auto"/>
              <w:jc w:val="left"/>
              <w:rPr>
                <w:rFonts w:eastAsia="Calibri"/>
              </w:rPr>
            </w:pPr>
            <w:r w:rsidRPr="00E0193B">
              <w:rPr>
                <w:rFonts w:eastAsia="Calibri"/>
              </w:rPr>
              <w:lastRenderedPageBreak/>
              <w:t>Szacowany koszt</w:t>
            </w:r>
          </w:p>
        </w:tc>
        <w:tc>
          <w:tcPr>
            <w:tcW w:w="3932" w:type="pct"/>
            <w:gridSpan w:val="2"/>
          </w:tcPr>
          <w:p w14:paraId="5212B696" w14:textId="77777777" w:rsidR="00D94758" w:rsidRPr="00E0193B" w:rsidRDefault="00D94758" w:rsidP="00D94758">
            <w:pPr>
              <w:spacing w:after="0" w:line="240" w:lineRule="auto"/>
              <w:jc w:val="left"/>
              <w:rPr>
                <w:rFonts w:eastAsia="Calibri"/>
              </w:rPr>
            </w:pPr>
            <w:r w:rsidRPr="00E0193B">
              <w:rPr>
                <w:rFonts w:eastAsia="Calibri"/>
              </w:rPr>
              <w:t xml:space="preserve">Zmiana nie ma wpływu na szacowany koszt </w:t>
            </w:r>
          </w:p>
        </w:tc>
      </w:tr>
      <w:tr w:rsidR="00D94758" w:rsidRPr="00E0193B" w14:paraId="7E0F0A43" w14:textId="77777777" w:rsidTr="008C1B0D">
        <w:tc>
          <w:tcPr>
            <w:tcW w:w="1068" w:type="pct"/>
          </w:tcPr>
          <w:p w14:paraId="43BA72EB" w14:textId="77777777" w:rsidR="00D94758" w:rsidRPr="00E0193B" w:rsidRDefault="00D94758" w:rsidP="00D94758">
            <w:pPr>
              <w:spacing w:after="0" w:line="240" w:lineRule="auto"/>
              <w:jc w:val="left"/>
              <w:rPr>
                <w:rFonts w:eastAsia="Calibri"/>
              </w:rPr>
            </w:pPr>
            <w:r w:rsidRPr="00E0193B">
              <w:rPr>
                <w:rFonts w:eastAsia="Calibri"/>
              </w:rPr>
              <w:t xml:space="preserve">Cyfrowy i klimatyczny tagging </w:t>
            </w:r>
          </w:p>
        </w:tc>
        <w:tc>
          <w:tcPr>
            <w:tcW w:w="3932" w:type="pct"/>
            <w:gridSpan w:val="2"/>
            <w:shd w:val="clear" w:color="auto" w:fill="auto"/>
          </w:tcPr>
          <w:p w14:paraId="62D770CB" w14:textId="77777777" w:rsidR="00D94758" w:rsidRPr="00E0193B" w:rsidRDefault="00D94758" w:rsidP="00D94758">
            <w:pPr>
              <w:spacing w:after="0" w:line="240" w:lineRule="auto"/>
              <w:jc w:val="left"/>
              <w:rPr>
                <w:rFonts w:eastAsia="Calibri"/>
              </w:rPr>
            </w:pPr>
            <w:r w:rsidRPr="00E0193B">
              <w:rPr>
                <w:rFonts w:eastAsia="Calibri"/>
              </w:rPr>
              <w:t xml:space="preserve">Zmiana nie ma wpływu na tagging klimatyczny i cyfrowy </w:t>
            </w:r>
          </w:p>
        </w:tc>
      </w:tr>
      <w:tr w:rsidR="00D94758" w:rsidRPr="00E0193B" w14:paraId="7D436F3B" w14:textId="77777777" w:rsidTr="008C1B0D">
        <w:tc>
          <w:tcPr>
            <w:tcW w:w="1068" w:type="pct"/>
            <w:tcBorders>
              <w:bottom w:val="single" w:sz="4" w:space="0" w:color="auto"/>
            </w:tcBorders>
          </w:tcPr>
          <w:p w14:paraId="2209A979" w14:textId="77777777" w:rsidR="00D94758" w:rsidRPr="00E0193B" w:rsidRDefault="00D94758" w:rsidP="00D94758">
            <w:pPr>
              <w:spacing w:after="0" w:line="240" w:lineRule="auto"/>
              <w:jc w:val="left"/>
              <w:rPr>
                <w:rFonts w:eastAsia="Calibri"/>
              </w:rPr>
            </w:pPr>
            <w:r w:rsidRPr="00E0193B">
              <w:rPr>
                <w:rFonts w:eastAsia="Calibri"/>
              </w:rPr>
              <w:t xml:space="preserve">Zasada DNSH </w:t>
            </w:r>
          </w:p>
        </w:tc>
        <w:tc>
          <w:tcPr>
            <w:tcW w:w="3932" w:type="pct"/>
            <w:gridSpan w:val="2"/>
            <w:tcBorders>
              <w:bottom w:val="single" w:sz="4" w:space="0" w:color="auto"/>
            </w:tcBorders>
            <w:shd w:val="clear" w:color="auto" w:fill="auto"/>
          </w:tcPr>
          <w:p w14:paraId="67B7479E" w14:textId="77777777" w:rsidR="00D94758" w:rsidRPr="00E0193B" w:rsidRDefault="00D94758" w:rsidP="00D94758">
            <w:pPr>
              <w:spacing w:after="0" w:line="240" w:lineRule="auto"/>
              <w:jc w:val="left"/>
              <w:rPr>
                <w:rFonts w:eastAsia="Calibri"/>
              </w:rPr>
            </w:pPr>
            <w:r w:rsidRPr="00E0193B">
              <w:rPr>
                <w:rFonts w:eastAsia="Calibri"/>
              </w:rPr>
              <w:t>Zmiana nie ma wpływu na DNSH</w:t>
            </w:r>
          </w:p>
        </w:tc>
      </w:tr>
      <w:tr w:rsidR="00D94758" w:rsidRPr="00935797" w14:paraId="0BECFB32" w14:textId="77777777" w:rsidTr="008C1B0D">
        <w:tc>
          <w:tcPr>
            <w:tcW w:w="1068" w:type="pct"/>
            <w:tcBorders>
              <w:bottom w:val="single" w:sz="4" w:space="0" w:color="auto"/>
            </w:tcBorders>
          </w:tcPr>
          <w:p w14:paraId="1F0F2DC9" w14:textId="77777777" w:rsidR="00D94758" w:rsidRPr="00E0193B" w:rsidRDefault="00D94758" w:rsidP="00D94758">
            <w:pPr>
              <w:spacing w:after="0" w:line="240" w:lineRule="auto"/>
              <w:jc w:val="left"/>
              <w:rPr>
                <w:rFonts w:eastAsia="Calibri"/>
              </w:rPr>
            </w:pPr>
            <w:r w:rsidRPr="00E0193B">
              <w:rPr>
                <w:rFonts w:eastAsia="Calibri"/>
              </w:rPr>
              <w:t xml:space="preserve">Pomoc publiczna </w:t>
            </w:r>
          </w:p>
        </w:tc>
        <w:tc>
          <w:tcPr>
            <w:tcW w:w="3932" w:type="pct"/>
            <w:gridSpan w:val="2"/>
            <w:tcBorders>
              <w:bottom w:val="single" w:sz="4" w:space="0" w:color="auto"/>
            </w:tcBorders>
          </w:tcPr>
          <w:p w14:paraId="245C3B88" w14:textId="77777777" w:rsidR="00D94758" w:rsidRPr="00E0193B" w:rsidRDefault="00D94758" w:rsidP="00D94758">
            <w:pPr>
              <w:spacing w:after="0" w:line="240" w:lineRule="auto"/>
              <w:jc w:val="left"/>
              <w:rPr>
                <w:rFonts w:eastAsia="Calibri"/>
              </w:rPr>
            </w:pPr>
            <w:r w:rsidRPr="00E0193B">
              <w:rPr>
                <w:rFonts w:eastAsia="Calibri"/>
              </w:rPr>
              <w:t>Dotyczy w zakresie ERTMS. Zmiana ma związek z procedowanym rozporządzeniem pomocowym.</w:t>
            </w:r>
          </w:p>
          <w:p w14:paraId="01649D23" w14:textId="77777777" w:rsidR="00D94758" w:rsidRPr="00E0193B" w:rsidRDefault="00D94758" w:rsidP="00D94758">
            <w:pPr>
              <w:spacing w:after="0" w:line="240" w:lineRule="auto"/>
              <w:jc w:val="left"/>
              <w:rPr>
                <w:rFonts w:eastAsia="Calibri"/>
                <w:lang w:val="en-GB"/>
              </w:rPr>
            </w:pPr>
            <w:r w:rsidRPr="00E0193B">
              <w:rPr>
                <w:rFonts w:eastAsia="Calibri"/>
                <w:lang w:val="en"/>
              </w:rPr>
              <w:t>Applies to the scope of ERTMS. The change is related to the ongoing state aid regulation.</w:t>
            </w:r>
          </w:p>
        </w:tc>
      </w:tr>
    </w:tbl>
    <w:p w14:paraId="1D6D587A" w14:textId="77777777" w:rsidR="00D94758" w:rsidRPr="00E0193B" w:rsidRDefault="00D94758" w:rsidP="00D94758">
      <w:pPr>
        <w:spacing w:line="259" w:lineRule="auto"/>
        <w:jc w:val="left"/>
        <w:rPr>
          <w:rFonts w:eastAsia="Calibri"/>
          <w:b/>
          <w:u w:val="single"/>
          <w:lang w:val="en-AU"/>
        </w:rPr>
      </w:pPr>
    </w:p>
    <w:p w14:paraId="06E7FEDA" w14:textId="77777777" w:rsidR="00D94758" w:rsidRPr="00E0193B" w:rsidRDefault="00D94758" w:rsidP="00D94758">
      <w:pPr>
        <w:spacing w:after="120" w:line="240" w:lineRule="auto"/>
        <w:jc w:val="left"/>
        <w:rPr>
          <w:rFonts w:eastAsia="Calibri"/>
          <w:b/>
          <w:bCs/>
          <w:lang w:val="en-GB"/>
        </w:rPr>
      </w:pPr>
    </w:p>
    <w:p w14:paraId="0D28A7B6" w14:textId="7559DE1E" w:rsidR="00D94758" w:rsidRPr="00E0193B" w:rsidRDefault="00491CB3" w:rsidP="00491CB3">
      <w:pPr>
        <w:spacing w:line="259" w:lineRule="auto"/>
        <w:jc w:val="left"/>
        <w:rPr>
          <w:rFonts w:eastAsia="Calibri"/>
          <w:b/>
          <w:bCs/>
        </w:rPr>
      </w:pPr>
      <w:r w:rsidRPr="00E0193B">
        <w:rPr>
          <w:rFonts w:eastAsia="Calibri"/>
          <w:b/>
          <w:bCs/>
        </w:rPr>
        <w:t>Rewizja KPO – część pożyczkowa</w:t>
      </w:r>
    </w:p>
    <w:p w14:paraId="6BB696EB" w14:textId="77777777" w:rsidR="00D94758" w:rsidRPr="00E0193B" w:rsidRDefault="00D94758" w:rsidP="00D94758">
      <w:pPr>
        <w:spacing w:after="120" w:line="240" w:lineRule="auto"/>
        <w:jc w:val="left"/>
        <w:rPr>
          <w:rFonts w:eastAsia="Calibri"/>
        </w:rPr>
      </w:pPr>
      <w:r w:rsidRPr="00E0193B">
        <w:rPr>
          <w:rFonts w:eastAsia="Calibri"/>
          <w:b/>
          <w:bCs/>
        </w:rPr>
        <w:t>Komponent A – Odporność i konkurencyjność gospodarki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3321"/>
        <w:gridCol w:w="3569"/>
      </w:tblGrid>
      <w:tr w:rsidR="00D94758" w:rsidRPr="00E0193B" w14:paraId="50B77580" w14:textId="77777777" w:rsidTr="008C1B0D">
        <w:tc>
          <w:tcPr>
            <w:tcW w:w="1098" w:type="pct"/>
          </w:tcPr>
          <w:p w14:paraId="56C8947E" w14:textId="77777777" w:rsidR="00D94758" w:rsidRPr="00E0193B" w:rsidRDefault="00D94758" w:rsidP="00D94758">
            <w:pPr>
              <w:spacing w:after="120" w:line="240" w:lineRule="auto"/>
              <w:ind w:right="-73"/>
              <w:jc w:val="left"/>
              <w:rPr>
                <w:rFonts w:eastAsia="Calibri"/>
                <w:b/>
                <w:bCs/>
              </w:rPr>
            </w:pPr>
            <w:r w:rsidRPr="00E0193B">
              <w:rPr>
                <w:rFonts w:eastAsia="Calibri"/>
                <w:b/>
                <w:bCs/>
              </w:rPr>
              <w:t>Numer inwestycji</w:t>
            </w:r>
          </w:p>
        </w:tc>
        <w:tc>
          <w:tcPr>
            <w:tcW w:w="3902" w:type="pct"/>
            <w:gridSpan w:val="2"/>
          </w:tcPr>
          <w:p w14:paraId="67F58335" w14:textId="77777777" w:rsidR="00D94758" w:rsidRPr="00E0193B" w:rsidRDefault="00D94758" w:rsidP="00D94758">
            <w:pPr>
              <w:autoSpaceDE w:val="0"/>
              <w:autoSpaceDN w:val="0"/>
              <w:adjustRightInd w:val="0"/>
              <w:spacing w:after="120" w:line="240" w:lineRule="auto"/>
              <w:jc w:val="left"/>
              <w:rPr>
                <w:rFonts w:eastAsia="Calibri"/>
                <w:b/>
                <w:bCs/>
                <w:color w:val="000000"/>
                <w:lang w:val="en-GB" w:eastAsia="en-GB"/>
              </w:rPr>
            </w:pPr>
            <w:r w:rsidRPr="00E0193B">
              <w:rPr>
                <w:rFonts w:eastAsia="Calibri"/>
                <w:b/>
                <w:bCs/>
                <w:color w:val="000000"/>
                <w:lang w:val="en-GB" w:eastAsia="en-GB"/>
              </w:rPr>
              <w:t>A2.5.1.</w:t>
            </w:r>
          </w:p>
        </w:tc>
      </w:tr>
      <w:tr w:rsidR="00D94758" w:rsidRPr="00E0193B" w14:paraId="7E620A95" w14:textId="77777777" w:rsidTr="008C1B0D">
        <w:tc>
          <w:tcPr>
            <w:tcW w:w="1098" w:type="pct"/>
          </w:tcPr>
          <w:p w14:paraId="292382E6" w14:textId="77777777" w:rsidR="00D94758" w:rsidRPr="00E0193B" w:rsidRDefault="00D94758" w:rsidP="00D94758">
            <w:pPr>
              <w:autoSpaceDE w:val="0"/>
              <w:autoSpaceDN w:val="0"/>
              <w:adjustRightInd w:val="0"/>
              <w:spacing w:after="120" w:line="240" w:lineRule="auto"/>
              <w:jc w:val="left"/>
              <w:rPr>
                <w:rFonts w:eastAsia="Calibri"/>
                <w:b/>
                <w:bCs/>
                <w:color w:val="000000"/>
                <w:lang w:val="en-GB" w:eastAsia="en-GB"/>
              </w:rPr>
            </w:pPr>
            <w:r w:rsidRPr="00E0193B">
              <w:rPr>
                <w:rFonts w:eastAsia="Calibri"/>
                <w:b/>
                <w:bCs/>
                <w:color w:val="000000"/>
                <w:lang w:val="en-GB" w:eastAsia="en-GB"/>
              </w:rPr>
              <w:t xml:space="preserve">Nazwa inwestycji </w:t>
            </w:r>
          </w:p>
        </w:tc>
        <w:tc>
          <w:tcPr>
            <w:tcW w:w="3902" w:type="pct"/>
            <w:gridSpan w:val="2"/>
          </w:tcPr>
          <w:p w14:paraId="52616B66" w14:textId="11BDC657" w:rsidR="00D94758" w:rsidRPr="00E0193B" w:rsidRDefault="00D94758" w:rsidP="00D94758">
            <w:pPr>
              <w:autoSpaceDE w:val="0"/>
              <w:autoSpaceDN w:val="0"/>
              <w:adjustRightInd w:val="0"/>
              <w:spacing w:after="120" w:line="240" w:lineRule="auto"/>
              <w:jc w:val="left"/>
              <w:rPr>
                <w:rFonts w:eastAsia="Calibri"/>
                <w:b/>
                <w:bCs/>
                <w:color w:val="000000"/>
                <w:lang w:eastAsia="en-GB"/>
              </w:rPr>
            </w:pPr>
            <w:r w:rsidRPr="00E0193B">
              <w:rPr>
                <w:rFonts w:eastAsia="Calibri"/>
                <w:b/>
                <w:bCs/>
                <w:color w:val="000000"/>
                <w:lang w:eastAsia="en-GB"/>
              </w:rPr>
              <w:t xml:space="preserve">Program wspierania działalności podmiotów </w:t>
            </w:r>
            <w:r w:rsidR="00B161F5" w:rsidRPr="00E0193B">
              <w:rPr>
                <w:rFonts w:eastAsia="Calibri"/>
                <w:b/>
                <w:bCs/>
                <w:color w:val="000000"/>
                <w:lang w:eastAsia="en-GB"/>
              </w:rPr>
              <w:t xml:space="preserve">sektora kultury i przemysłów kreatywnych na rzecz stymulowania </w:t>
            </w:r>
            <w:r w:rsidRPr="00E0193B">
              <w:rPr>
                <w:rFonts w:eastAsia="Calibri"/>
                <w:b/>
                <w:bCs/>
                <w:color w:val="000000"/>
                <w:lang w:eastAsia="en-GB"/>
              </w:rPr>
              <w:t xml:space="preserve"> ich rozwoju </w:t>
            </w:r>
          </w:p>
        </w:tc>
      </w:tr>
      <w:tr w:rsidR="00D94758" w:rsidRPr="00E0193B" w14:paraId="29EB4456" w14:textId="77777777" w:rsidTr="008C1B0D">
        <w:tc>
          <w:tcPr>
            <w:tcW w:w="1098" w:type="pct"/>
          </w:tcPr>
          <w:p w14:paraId="123CF0DD" w14:textId="77777777" w:rsidR="00D94758" w:rsidRPr="00E0193B" w:rsidRDefault="00D94758" w:rsidP="00D94758">
            <w:pPr>
              <w:autoSpaceDE w:val="0"/>
              <w:autoSpaceDN w:val="0"/>
              <w:adjustRightInd w:val="0"/>
              <w:spacing w:after="120" w:line="240" w:lineRule="auto"/>
              <w:jc w:val="left"/>
              <w:rPr>
                <w:rFonts w:eastAsia="Calibri"/>
                <w:color w:val="000000"/>
                <w:lang w:eastAsia="en-GB"/>
              </w:rPr>
            </w:pPr>
            <w:r w:rsidRPr="00E0193B">
              <w:rPr>
                <w:rFonts w:eastAsia="Calibri"/>
                <w:color w:val="000000"/>
                <w:lang w:eastAsia="en-GB"/>
              </w:rPr>
              <w:t>Rodzaj wprowadzonej zmiany w odniesieniu do CID</w:t>
            </w:r>
          </w:p>
        </w:tc>
        <w:tc>
          <w:tcPr>
            <w:tcW w:w="3902" w:type="pct"/>
            <w:gridSpan w:val="2"/>
          </w:tcPr>
          <w:p w14:paraId="46F11624" w14:textId="77777777" w:rsidR="00D94758" w:rsidRPr="00E0193B" w:rsidRDefault="00D94758" w:rsidP="00D94758">
            <w:pPr>
              <w:autoSpaceDE w:val="0"/>
              <w:autoSpaceDN w:val="0"/>
              <w:adjustRightInd w:val="0"/>
              <w:spacing w:after="120" w:line="240" w:lineRule="auto"/>
              <w:rPr>
                <w:rFonts w:eastAsia="Calibri"/>
                <w:color w:val="000000"/>
                <w:lang w:eastAsia="en-GB"/>
              </w:rPr>
            </w:pPr>
            <w:r w:rsidRPr="00E0193B">
              <w:rPr>
                <w:rFonts w:eastAsia="Calibri"/>
                <w:color w:val="000000"/>
                <w:lang w:eastAsia="en-GB"/>
              </w:rPr>
              <w:t>Modyfikacja wartości wskaźnika A3L, zmiana techniczna (clerical error) w opisie inwestycji</w:t>
            </w:r>
          </w:p>
        </w:tc>
      </w:tr>
      <w:tr w:rsidR="00D94758" w:rsidRPr="00E0193B" w14:paraId="6F910843" w14:textId="77777777" w:rsidTr="00D94758">
        <w:tc>
          <w:tcPr>
            <w:tcW w:w="1098" w:type="pct"/>
            <w:shd w:val="clear" w:color="auto" w:fill="FFFFFF"/>
          </w:tcPr>
          <w:p w14:paraId="41A9683D" w14:textId="77777777" w:rsidR="00D94758" w:rsidRPr="00E0193B" w:rsidRDefault="00D94758" w:rsidP="00D94758">
            <w:pPr>
              <w:autoSpaceDE w:val="0"/>
              <w:autoSpaceDN w:val="0"/>
              <w:adjustRightInd w:val="0"/>
              <w:spacing w:after="120" w:line="240" w:lineRule="auto"/>
              <w:jc w:val="left"/>
              <w:rPr>
                <w:rFonts w:eastAsia="Calibri"/>
                <w:color w:val="000000"/>
                <w:lang w:val="en-GB" w:eastAsia="en-GB"/>
              </w:rPr>
            </w:pPr>
            <w:r w:rsidRPr="00E0193B">
              <w:rPr>
                <w:rFonts w:eastAsia="Calibri"/>
                <w:color w:val="000000"/>
                <w:lang w:val="en-GB" w:eastAsia="en-GB"/>
              </w:rPr>
              <w:t>Podstawa prawna zmiany</w:t>
            </w:r>
          </w:p>
        </w:tc>
        <w:tc>
          <w:tcPr>
            <w:tcW w:w="3902" w:type="pct"/>
            <w:gridSpan w:val="2"/>
            <w:shd w:val="clear" w:color="auto" w:fill="FFFFFF"/>
          </w:tcPr>
          <w:p w14:paraId="1B10D390" w14:textId="77777777" w:rsidR="00D94758" w:rsidRPr="00E0193B" w:rsidRDefault="00D94758" w:rsidP="00D94758">
            <w:pPr>
              <w:spacing w:after="120" w:line="240" w:lineRule="auto"/>
              <w:jc w:val="left"/>
              <w:rPr>
                <w:rFonts w:eastAsia="Calibri"/>
              </w:rPr>
            </w:pPr>
            <w:r w:rsidRPr="00E0193B">
              <w:rPr>
                <w:rFonts w:eastAsia="Calibri"/>
              </w:rPr>
              <w:t>art. 21 rozporządzenia Parlamentu Europejskiego i Rady (UE) 2021/241 z dnia 12 lutego 2021 r. ustanawiające Instrument na rzecz Odbudowy i Zwiększania Odporności</w:t>
            </w:r>
            <w:r w:rsidRPr="00E0193B" w:rsidDel="00A106E1">
              <w:rPr>
                <w:rFonts w:eastAsia="Calibri"/>
              </w:rPr>
              <w:t xml:space="preserve"> </w:t>
            </w:r>
          </w:p>
        </w:tc>
      </w:tr>
      <w:tr w:rsidR="00D94758" w:rsidRPr="00E0193B" w14:paraId="5E256500" w14:textId="77777777" w:rsidTr="00D94758">
        <w:tc>
          <w:tcPr>
            <w:tcW w:w="1098" w:type="pct"/>
            <w:shd w:val="clear" w:color="auto" w:fill="D9D9D9"/>
          </w:tcPr>
          <w:p w14:paraId="29F6E116" w14:textId="77777777" w:rsidR="00D94758" w:rsidRPr="00E0193B" w:rsidRDefault="00D94758" w:rsidP="00D94758">
            <w:pPr>
              <w:spacing w:after="120" w:line="240" w:lineRule="auto"/>
              <w:jc w:val="left"/>
              <w:rPr>
                <w:rFonts w:eastAsia="Calibri"/>
              </w:rPr>
            </w:pPr>
            <w:r w:rsidRPr="00E0193B">
              <w:rPr>
                <w:rFonts w:eastAsia="Calibri"/>
              </w:rPr>
              <w:t>Modyfikowany element</w:t>
            </w:r>
          </w:p>
        </w:tc>
        <w:tc>
          <w:tcPr>
            <w:tcW w:w="1882" w:type="pct"/>
            <w:shd w:val="clear" w:color="auto" w:fill="D9D9D9"/>
          </w:tcPr>
          <w:p w14:paraId="7F25CE72" w14:textId="77777777" w:rsidR="00D94758" w:rsidRPr="00E0193B" w:rsidRDefault="00D94758" w:rsidP="00D94758">
            <w:pPr>
              <w:spacing w:after="120" w:line="240" w:lineRule="auto"/>
              <w:jc w:val="center"/>
              <w:rPr>
                <w:rFonts w:eastAsia="Calibri"/>
              </w:rPr>
            </w:pPr>
            <w:r w:rsidRPr="00E0193B">
              <w:rPr>
                <w:rFonts w:eastAsia="Calibri"/>
              </w:rPr>
              <w:t>Wersja aktualna</w:t>
            </w:r>
          </w:p>
        </w:tc>
        <w:tc>
          <w:tcPr>
            <w:tcW w:w="2020" w:type="pct"/>
            <w:shd w:val="clear" w:color="auto" w:fill="D9D9D9"/>
          </w:tcPr>
          <w:p w14:paraId="686DFA3A" w14:textId="77777777" w:rsidR="00D94758" w:rsidRPr="00E0193B" w:rsidRDefault="00D94758" w:rsidP="00D94758">
            <w:pPr>
              <w:spacing w:after="120" w:line="240" w:lineRule="auto"/>
              <w:jc w:val="center"/>
              <w:rPr>
                <w:rFonts w:eastAsia="Calibri"/>
              </w:rPr>
            </w:pPr>
            <w:r w:rsidRPr="00E0193B">
              <w:rPr>
                <w:rFonts w:eastAsia="Calibri"/>
              </w:rPr>
              <w:t>Wersja zmieniona</w:t>
            </w:r>
          </w:p>
        </w:tc>
      </w:tr>
      <w:tr w:rsidR="00D94758" w:rsidRPr="00E0193B" w14:paraId="3AB1C3C6" w14:textId="77777777" w:rsidTr="008C1B0D">
        <w:tc>
          <w:tcPr>
            <w:tcW w:w="1098" w:type="pct"/>
            <w:vMerge w:val="restart"/>
          </w:tcPr>
          <w:p w14:paraId="5BA09A59" w14:textId="77777777" w:rsidR="00D94758" w:rsidRPr="00E0193B" w:rsidRDefault="00D94758" w:rsidP="00D94758">
            <w:pPr>
              <w:spacing w:after="120" w:line="240" w:lineRule="auto"/>
              <w:jc w:val="left"/>
              <w:rPr>
                <w:rFonts w:eastAsia="Calibri"/>
              </w:rPr>
            </w:pPr>
            <w:r w:rsidRPr="00E0193B">
              <w:rPr>
                <w:rFonts w:eastAsia="Calibri"/>
              </w:rPr>
              <w:t>Opis komponentu oraz/lub działania (inwestycji/reformy)</w:t>
            </w:r>
          </w:p>
        </w:tc>
        <w:tc>
          <w:tcPr>
            <w:tcW w:w="1882" w:type="pct"/>
          </w:tcPr>
          <w:p w14:paraId="3B4E3102" w14:textId="77777777" w:rsidR="00D94758" w:rsidRPr="00E0193B" w:rsidRDefault="00D94758" w:rsidP="00D94758">
            <w:pPr>
              <w:autoSpaceDE w:val="0"/>
              <w:autoSpaceDN w:val="0"/>
              <w:adjustRightInd w:val="0"/>
              <w:spacing w:after="120" w:line="240" w:lineRule="auto"/>
              <w:jc w:val="left"/>
              <w:rPr>
                <w:rFonts w:eastAsia="Calibri"/>
                <w:color w:val="000000"/>
                <w:lang w:eastAsia="en-GB"/>
              </w:rPr>
            </w:pPr>
            <w:r w:rsidRPr="00E0193B">
              <w:rPr>
                <w:rFonts w:eastAsia="Calibri"/>
                <w:color w:val="000000"/>
                <w:lang w:eastAsia="en-GB"/>
              </w:rPr>
              <w:t>Realizacja inwestycji zostanie zakończona do dnia 31 grudnia 2024 r.</w:t>
            </w:r>
          </w:p>
        </w:tc>
        <w:tc>
          <w:tcPr>
            <w:tcW w:w="2020" w:type="pct"/>
          </w:tcPr>
          <w:p w14:paraId="41BAEA0D" w14:textId="77777777" w:rsidR="00D94758" w:rsidRPr="00E0193B" w:rsidRDefault="00D94758" w:rsidP="00D94758">
            <w:pPr>
              <w:spacing w:after="120" w:line="240" w:lineRule="auto"/>
              <w:jc w:val="left"/>
              <w:rPr>
                <w:rFonts w:eastAsia="Calibri"/>
              </w:rPr>
            </w:pPr>
            <w:r w:rsidRPr="00E0193B">
              <w:rPr>
                <w:rFonts w:eastAsia="Calibri"/>
              </w:rPr>
              <w:t xml:space="preserve">Realizacja inwestycji zostanie zakończona do dnia 31 grudnia </w:t>
            </w:r>
            <w:r w:rsidRPr="00E0193B">
              <w:rPr>
                <w:rFonts w:eastAsia="Calibri"/>
                <w:color w:val="FF0000"/>
              </w:rPr>
              <w:t>2025 r.</w:t>
            </w:r>
          </w:p>
        </w:tc>
      </w:tr>
      <w:tr w:rsidR="00D94758" w:rsidRPr="00935797" w14:paraId="7520BD1F" w14:textId="77777777" w:rsidTr="008C1B0D">
        <w:tc>
          <w:tcPr>
            <w:tcW w:w="1098" w:type="pct"/>
            <w:vMerge/>
          </w:tcPr>
          <w:p w14:paraId="50B04E9B" w14:textId="77777777" w:rsidR="00D94758" w:rsidRPr="00E0193B" w:rsidRDefault="00D94758" w:rsidP="00D94758">
            <w:pPr>
              <w:spacing w:after="120" w:line="240" w:lineRule="auto"/>
              <w:jc w:val="left"/>
              <w:rPr>
                <w:rFonts w:eastAsia="Calibri"/>
              </w:rPr>
            </w:pPr>
          </w:p>
        </w:tc>
        <w:tc>
          <w:tcPr>
            <w:tcW w:w="1882" w:type="pct"/>
          </w:tcPr>
          <w:p w14:paraId="16C47BAF" w14:textId="77777777" w:rsidR="00D94758" w:rsidRPr="00E0193B" w:rsidRDefault="00D94758" w:rsidP="00D94758">
            <w:pPr>
              <w:autoSpaceDE w:val="0"/>
              <w:autoSpaceDN w:val="0"/>
              <w:adjustRightInd w:val="0"/>
              <w:spacing w:after="120" w:line="240" w:lineRule="auto"/>
              <w:jc w:val="left"/>
              <w:rPr>
                <w:rFonts w:eastAsia="Calibri"/>
                <w:color w:val="000000"/>
                <w:lang w:val="en-US" w:eastAsia="en-GB"/>
              </w:rPr>
            </w:pPr>
            <w:r w:rsidRPr="00E0193B">
              <w:rPr>
                <w:rFonts w:eastAsia="Calibri"/>
                <w:color w:val="000000"/>
                <w:lang w:val="en-US" w:eastAsia="en-GB"/>
              </w:rPr>
              <w:t>The implementation of the investment shall be completed by 31 December 2024.</w:t>
            </w:r>
          </w:p>
        </w:tc>
        <w:tc>
          <w:tcPr>
            <w:tcW w:w="2020" w:type="pct"/>
          </w:tcPr>
          <w:p w14:paraId="0AC9A738" w14:textId="77777777" w:rsidR="00D94758" w:rsidRPr="00E0193B" w:rsidRDefault="00D94758" w:rsidP="00D94758">
            <w:pPr>
              <w:spacing w:after="120" w:line="240" w:lineRule="auto"/>
              <w:jc w:val="left"/>
              <w:rPr>
                <w:rFonts w:eastAsia="Calibri"/>
                <w:lang w:val="en-US"/>
              </w:rPr>
            </w:pPr>
            <w:r w:rsidRPr="00E0193B">
              <w:rPr>
                <w:rFonts w:eastAsia="Calibri"/>
                <w:lang w:val="en-US"/>
              </w:rPr>
              <w:t xml:space="preserve">The implementation of the investment shall be completed by 31 December </w:t>
            </w:r>
            <w:r w:rsidRPr="00E0193B">
              <w:rPr>
                <w:rFonts w:eastAsia="Calibri"/>
                <w:color w:val="FF0000"/>
                <w:lang w:val="en-US"/>
              </w:rPr>
              <w:t>2025.</w:t>
            </w:r>
          </w:p>
        </w:tc>
      </w:tr>
      <w:tr w:rsidR="00D94758" w:rsidRPr="00E0193B" w14:paraId="1F9DC22C" w14:textId="77777777" w:rsidTr="008C1B0D">
        <w:tc>
          <w:tcPr>
            <w:tcW w:w="1098" w:type="pct"/>
            <w:vMerge w:val="restart"/>
          </w:tcPr>
          <w:p w14:paraId="04044DCB" w14:textId="77777777" w:rsidR="00D94758" w:rsidRPr="00E0193B" w:rsidRDefault="00D94758" w:rsidP="00D94758">
            <w:pPr>
              <w:spacing w:after="120" w:line="240" w:lineRule="auto"/>
              <w:jc w:val="left"/>
              <w:rPr>
                <w:rFonts w:eastAsia="Calibri"/>
              </w:rPr>
            </w:pPr>
            <w:r w:rsidRPr="00E0193B">
              <w:rPr>
                <w:rFonts w:eastAsia="Calibri"/>
              </w:rPr>
              <w:t>Opis kamienia milowego lub wskaźnika.</w:t>
            </w:r>
          </w:p>
        </w:tc>
        <w:tc>
          <w:tcPr>
            <w:tcW w:w="1882" w:type="pct"/>
          </w:tcPr>
          <w:p w14:paraId="34291E38" w14:textId="77777777" w:rsidR="00D94758" w:rsidRPr="00E0193B" w:rsidRDefault="00D94758" w:rsidP="00D94758">
            <w:pPr>
              <w:autoSpaceDE w:val="0"/>
              <w:autoSpaceDN w:val="0"/>
              <w:adjustRightInd w:val="0"/>
              <w:spacing w:after="120" w:line="240" w:lineRule="auto"/>
              <w:jc w:val="left"/>
              <w:rPr>
                <w:rFonts w:eastAsia="Calibri"/>
                <w:color w:val="000000"/>
                <w:lang w:eastAsia="en-GB"/>
              </w:rPr>
            </w:pPr>
            <w:r w:rsidRPr="00E0193B">
              <w:rPr>
                <w:rFonts w:eastAsia="Calibri"/>
                <w:color w:val="000000"/>
                <w:lang w:eastAsia="en-GB"/>
              </w:rPr>
              <w:t>A3L</w:t>
            </w:r>
          </w:p>
          <w:p w14:paraId="28790A09" w14:textId="77777777" w:rsidR="00D94758" w:rsidRPr="00E0193B" w:rsidRDefault="00D94758" w:rsidP="00D94758">
            <w:pPr>
              <w:autoSpaceDE w:val="0"/>
              <w:autoSpaceDN w:val="0"/>
              <w:adjustRightInd w:val="0"/>
              <w:spacing w:after="120" w:line="240" w:lineRule="auto"/>
              <w:jc w:val="left"/>
              <w:rPr>
                <w:rFonts w:eastAsia="Calibri"/>
                <w:color w:val="000000"/>
                <w:lang w:eastAsia="en-GB"/>
              </w:rPr>
            </w:pPr>
            <w:r w:rsidRPr="00E0193B">
              <w:rPr>
                <w:rFonts w:eastAsia="Calibri"/>
                <w:color w:val="000000"/>
                <w:lang w:eastAsia="en-GB"/>
              </w:rPr>
              <w:t>Liczba podpisanych umów dotyczących projektów instytucji kultury, organizacji pozarządowych, MŚP i mikroprzedsiębiorstw działających w sektorze kultury i sektorze kreatywnym</w:t>
            </w:r>
          </w:p>
          <w:p w14:paraId="4682BDE1" w14:textId="77777777" w:rsidR="00D94758" w:rsidRPr="00E0193B" w:rsidRDefault="00D94758" w:rsidP="00D94758">
            <w:pPr>
              <w:autoSpaceDE w:val="0"/>
              <w:autoSpaceDN w:val="0"/>
              <w:adjustRightInd w:val="0"/>
              <w:spacing w:after="120" w:line="240" w:lineRule="auto"/>
              <w:jc w:val="left"/>
              <w:rPr>
                <w:rFonts w:eastAsia="Calibri"/>
                <w:color w:val="000000"/>
                <w:lang w:eastAsia="en-GB"/>
              </w:rPr>
            </w:pPr>
            <w:r w:rsidRPr="00E0193B">
              <w:rPr>
                <w:rFonts w:eastAsia="Calibri"/>
                <w:color w:val="000000"/>
                <w:lang w:val="en-GB" w:eastAsia="en-GB"/>
              </w:rPr>
              <w:t>Cel: 4324</w:t>
            </w:r>
          </w:p>
        </w:tc>
        <w:tc>
          <w:tcPr>
            <w:tcW w:w="2020" w:type="pct"/>
          </w:tcPr>
          <w:p w14:paraId="20BB4CF0" w14:textId="77777777" w:rsidR="00D94758" w:rsidRPr="00E0193B" w:rsidRDefault="00D94758" w:rsidP="00D94758">
            <w:pPr>
              <w:autoSpaceDE w:val="0"/>
              <w:autoSpaceDN w:val="0"/>
              <w:adjustRightInd w:val="0"/>
              <w:spacing w:after="120" w:line="240" w:lineRule="auto"/>
              <w:jc w:val="left"/>
              <w:rPr>
                <w:rFonts w:eastAsia="Calibri"/>
                <w:color w:val="000000"/>
                <w:lang w:eastAsia="en-GB"/>
              </w:rPr>
            </w:pPr>
            <w:r w:rsidRPr="00E0193B">
              <w:rPr>
                <w:rFonts w:eastAsia="Calibri"/>
                <w:color w:val="000000"/>
                <w:lang w:eastAsia="en-GB"/>
              </w:rPr>
              <w:t>A3L</w:t>
            </w:r>
          </w:p>
          <w:p w14:paraId="4C8351C1" w14:textId="77777777" w:rsidR="00D94758" w:rsidRPr="00E0193B" w:rsidRDefault="00D94758" w:rsidP="00D94758">
            <w:pPr>
              <w:autoSpaceDE w:val="0"/>
              <w:autoSpaceDN w:val="0"/>
              <w:adjustRightInd w:val="0"/>
              <w:spacing w:after="120" w:line="240" w:lineRule="auto"/>
              <w:jc w:val="left"/>
              <w:rPr>
                <w:rFonts w:eastAsia="Calibri"/>
                <w:color w:val="000000"/>
                <w:lang w:eastAsia="en-GB"/>
              </w:rPr>
            </w:pPr>
            <w:r w:rsidRPr="00E0193B">
              <w:rPr>
                <w:rFonts w:eastAsia="Calibri"/>
                <w:color w:val="000000"/>
                <w:lang w:eastAsia="en-GB"/>
              </w:rPr>
              <w:t>Liczba podpisanych umów dotyczących projektów instytucji kultury, organizacji pozarządowych, MŚP i mikroprzedsiębiorstw działających w sektorze kultury i sektorze kreatywnym</w:t>
            </w:r>
          </w:p>
          <w:p w14:paraId="64E4264A" w14:textId="77777777" w:rsidR="00D94758" w:rsidRPr="00E0193B" w:rsidRDefault="00D94758" w:rsidP="00D94758">
            <w:pPr>
              <w:spacing w:after="120" w:line="240" w:lineRule="auto"/>
              <w:jc w:val="left"/>
              <w:rPr>
                <w:rFonts w:eastAsia="Calibri"/>
                <w:lang w:val="en-US"/>
              </w:rPr>
            </w:pPr>
            <w:r w:rsidRPr="00E0193B">
              <w:rPr>
                <w:rFonts w:eastAsia="Calibri"/>
              </w:rPr>
              <w:t xml:space="preserve">Cel: </w:t>
            </w:r>
            <w:r w:rsidRPr="00E0193B">
              <w:rPr>
                <w:rFonts w:eastAsia="Calibri"/>
                <w:color w:val="FF0000"/>
              </w:rPr>
              <w:t xml:space="preserve">2876 </w:t>
            </w:r>
          </w:p>
        </w:tc>
      </w:tr>
      <w:tr w:rsidR="00D94758" w:rsidRPr="00E0193B" w14:paraId="72105FC0" w14:textId="77777777" w:rsidTr="008C1B0D">
        <w:tc>
          <w:tcPr>
            <w:tcW w:w="1098" w:type="pct"/>
            <w:vMerge/>
          </w:tcPr>
          <w:p w14:paraId="022ECAEF" w14:textId="77777777" w:rsidR="00D94758" w:rsidRPr="00E0193B" w:rsidRDefault="00D94758" w:rsidP="00D94758">
            <w:pPr>
              <w:spacing w:after="120" w:line="240" w:lineRule="auto"/>
              <w:jc w:val="left"/>
              <w:rPr>
                <w:rFonts w:eastAsia="Calibri"/>
                <w:lang w:val="en-US"/>
              </w:rPr>
            </w:pPr>
          </w:p>
        </w:tc>
        <w:tc>
          <w:tcPr>
            <w:tcW w:w="1882" w:type="pct"/>
          </w:tcPr>
          <w:p w14:paraId="582BE819" w14:textId="77777777" w:rsidR="00D94758" w:rsidRPr="00E0193B" w:rsidRDefault="00D94758" w:rsidP="00D94758">
            <w:pPr>
              <w:spacing w:after="120" w:line="240" w:lineRule="auto"/>
              <w:jc w:val="left"/>
              <w:rPr>
                <w:rFonts w:eastAsia="Calibri"/>
                <w:lang w:val="en-US"/>
              </w:rPr>
            </w:pPr>
            <w:r w:rsidRPr="00E0193B">
              <w:rPr>
                <w:rFonts w:eastAsia="Calibri"/>
                <w:lang w:val="en-US"/>
              </w:rPr>
              <w:t>A3L</w:t>
            </w:r>
          </w:p>
          <w:p w14:paraId="2773E68B" w14:textId="77777777" w:rsidR="00D94758" w:rsidRPr="00E0193B" w:rsidRDefault="00D94758" w:rsidP="00D94758">
            <w:pPr>
              <w:autoSpaceDE w:val="0"/>
              <w:autoSpaceDN w:val="0"/>
              <w:adjustRightInd w:val="0"/>
              <w:spacing w:after="120" w:line="240" w:lineRule="auto"/>
              <w:jc w:val="left"/>
              <w:rPr>
                <w:rFonts w:eastAsia="Calibri"/>
                <w:color w:val="000000"/>
                <w:lang w:val="en-US" w:eastAsia="en-GB"/>
              </w:rPr>
            </w:pPr>
            <w:r w:rsidRPr="00E0193B">
              <w:rPr>
                <w:rFonts w:eastAsia="Calibri"/>
                <w:color w:val="000000"/>
                <w:lang w:val="en-US" w:eastAsia="en-GB"/>
              </w:rPr>
              <w:t>Number of signed contracts for projects by cultural institutions, NGO's, SMEs and micro-enterprises operating in the cultural and creative sectors (CCS)</w:t>
            </w:r>
          </w:p>
          <w:p w14:paraId="24603CB6" w14:textId="77777777" w:rsidR="00D94758" w:rsidRPr="00E0193B" w:rsidRDefault="00D94758" w:rsidP="00D94758">
            <w:pPr>
              <w:autoSpaceDE w:val="0"/>
              <w:autoSpaceDN w:val="0"/>
              <w:adjustRightInd w:val="0"/>
              <w:spacing w:after="120" w:line="240" w:lineRule="auto"/>
              <w:jc w:val="left"/>
              <w:rPr>
                <w:rFonts w:eastAsia="Calibri"/>
                <w:color w:val="000000"/>
                <w:lang w:val="en-US" w:eastAsia="en-GB"/>
              </w:rPr>
            </w:pPr>
            <w:r w:rsidRPr="00E0193B">
              <w:rPr>
                <w:rFonts w:eastAsia="Calibri"/>
                <w:color w:val="000000"/>
                <w:lang w:val="en-GB" w:eastAsia="en-GB"/>
              </w:rPr>
              <w:t>Goal: 4324</w:t>
            </w:r>
          </w:p>
        </w:tc>
        <w:tc>
          <w:tcPr>
            <w:tcW w:w="2020" w:type="pct"/>
          </w:tcPr>
          <w:p w14:paraId="1B05E045" w14:textId="77777777" w:rsidR="00D94758" w:rsidRPr="00E0193B" w:rsidRDefault="00D94758" w:rsidP="00D94758">
            <w:pPr>
              <w:spacing w:after="120" w:line="240" w:lineRule="auto"/>
              <w:jc w:val="left"/>
              <w:rPr>
                <w:rFonts w:eastAsia="Calibri"/>
                <w:lang w:val="en-US"/>
              </w:rPr>
            </w:pPr>
            <w:r w:rsidRPr="00E0193B">
              <w:rPr>
                <w:rFonts w:eastAsia="Calibri"/>
                <w:lang w:val="en-US"/>
              </w:rPr>
              <w:t>A3L</w:t>
            </w:r>
          </w:p>
          <w:p w14:paraId="4B797BDA" w14:textId="77777777" w:rsidR="00D94758" w:rsidRPr="00E0193B" w:rsidRDefault="00D94758" w:rsidP="00D94758">
            <w:pPr>
              <w:autoSpaceDE w:val="0"/>
              <w:autoSpaceDN w:val="0"/>
              <w:adjustRightInd w:val="0"/>
              <w:spacing w:after="120" w:line="240" w:lineRule="auto"/>
              <w:jc w:val="left"/>
              <w:rPr>
                <w:rFonts w:eastAsia="Calibri"/>
                <w:color w:val="000000"/>
                <w:lang w:val="en-US" w:eastAsia="en-GB"/>
              </w:rPr>
            </w:pPr>
            <w:r w:rsidRPr="00E0193B">
              <w:rPr>
                <w:rFonts w:eastAsia="Calibri"/>
                <w:color w:val="000000"/>
                <w:lang w:val="en-US" w:eastAsia="en-GB"/>
              </w:rPr>
              <w:t>Number of signed contracts for projects by cultural institutions, NGO's, SMEs and micro-enterprises operating in the cultural and creative sectors (CCS)</w:t>
            </w:r>
          </w:p>
          <w:p w14:paraId="0E912A4C" w14:textId="77777777" w:rsidR="00D94758" w:rsidRPr="00E0193B" w:rsidRDefault="00D94758" w:rsidP="00D94758">
            <w:pPr>
              <w:spacing w:after="120" w:line="240" w:lineRule="auto"/>
              <w:jc w:val="left"/>
              <w:rPr>
                <w:rFonts w:eastAsia="Calibri"/>
                <w:lang w:val="en-US"/>
              </w:rPr>
            </w:pPr>
            <w:r w:rsidRPr="00E0193B">
              <w:rPr>
                <w:rFonts w:eastAsia="Calibri"/>
              </w:rPr>
              <w:t xml:space="preserve">Goal: </w:t>
            </w:r>
            <w:r w:rsidRPr="00E0193B">
              <w:rPr>
                <w:rFonts w:eastAsia="Calibri"/>
                <w:color w:val="FF0000"/>
              </w:rPr>
              <w:t>2876</w:t>
            </w:r>
          </w:p>
        </w:tc>
      </w:tr>
      <w:tr w:rsidR="00D94758" w:rsidRPr="00E0193B" w14:paraId="453F1A54" w14:textId="77777777" w:rsidTr="008C1B0D">
        <w:tc>
          <w:tcPr>
            <w:tcW w:w="1098" w:type="pct"/>
          </w:tcPr>
          <w:p w14:paraId="79364727" w14:textId="77777777" w:rsidR="00D94758" w:rsidRPr="00E0193B" w:rsidRDefault="00D94758" w:rsidP="00D94758">
            <w:pPr>
              <w:spacing w:after="120" w:line="240" w:lineRule="auto"/>
              <w:jc w:val="left"/>
              <w:rPr>
                <w:rFonts w:eastAsia="Calibri"/>
              </w:rPr>
            </w:pPr>
            <w:r w:rsidRPr="00E0193B">
              <w:rPr>
                <w:rFonts w:eastAsia="Calibri"/>
              </w:rPr>
              <w:t>Uzasadnienie</w:t>
            </w:r>
          </w:p>
        </w:tc>
        <w:tc>
          <w:tcPr>
            <w:tcW w:w="3902" w:type="pct"/>
            <w:gridSpan w:val="2"/>
          </w:tcPr>
          <w:p w14:paraId="29BE9C40" w14:textId="53736FAC" w:rsidR="00B161F5" w:rsidRPr="00E0193B" w:rsidRDefault="00B161F5" w:rsidP="00B161F5">
            <w:pPr>
              <w:autoSpaceDE w:val="0"/>
              <w:autoSpaceDN w:val="0"/>
              <w:adjustRightInd w:val="0"/>
              <w:spacing w:after="0" w:line="240" w:lineRule="auto"/>
            </w:pPr>
            <w:r w:rsidRPr="00E0193B">
              <w:t>Obiektywnymi okolicznościami, które miały miejsce po dniu 8 grudnia 2023 r. uzasadniającymi rewizję były:</w:t>
            </w:r>
          </w:p>
          <w:p w14:paraId="107CFFB8" w14:textId="77777777" w:rsidR="00B161F5" w:rsidRPr="00E0193B" w:rsidRDefault="00B161F5" w:rsidP="00A1213F">
            <w:pPr>
              <w:pStyle w:val="Akapitzlist"/>
              <w:numPr>
                <w:ilvl w:val="0"/>
                <w:numId w:val="17"/>
              </w:numPr>
              <w:autoSpaceDE w:val="0"/>
              <w:autoSpaceDN w:val="0"/>
              <w:adjustRightInd w:val="0"/>
              <w:spacing w:after="0" w:line="240" w:lineRule="auto"/>
              <w:jc w:val="left"/>
            </w:pPr>
            <w:r w:rsidRPr="00E0193B">
              <w:t>inflacja – według danych GUS w styczniun2024 r. ceny towarów i usług konsumpcyjnych wzrosły o 3,9% w porównaniu z analogicznym miesiącem ubiegłego roku.</w:t>
            </w:r>
            <w:r w:rsidRPr="00E0193B">
              <w:rPr>
                <w:rStyle w:val="Odwoanieprzypisudolnego"/>
              </w:rPr>
              <w:footnoteReference w:id="4"/>
            </w:r>
            <w:r w:rsidRPr="00E0193B">
              <w:t xml:space="preserve"> Inflacja w Polsce spada, co nie oznacza, że ceny spadają, a jedynie że rosną wolniej;</w:t>
            </w:r>
          </w:p>
          <w:p w14:paraId="266AFFBA" w14:textId="77777777" w:rsidR="00B161F5" w:rsidRPr="00E0193B" w:rsidRDefault="00B161F5" w:rsidP="00A1213F">
            <w:pPr>
              <w:pStyle w:val="Akapitzlist"/>
              <w:numPr>
                <w:ilvl w:val="0"/>
                <w:numId w:val="17"/>
              </w:numPr>
              <w:autoSpaceDE w:val="0"/>
              <w:autoSpaceDN w:val="0"/>
              <w:adjustRightInd w:val="0"/>
              <w:spacing w:after="0" w:line="240" w:lineRule="auto"/>
              <w:jc w:val="left"/>
            </w:pPr>
            <w:r w:rsidRPr="00E0193B">
              <w:t xml:space="preserve">wzrost płacy minimalnej od 1 stycznia 2024 r. do kwoty 4242 zł oraz minimalnej stawki godzinowej w wysokości 27,70 zł </w:t>
            </w:r>
            <w:r w:rsidRPr="00E0193B">
              <w:rPr>
                <w:i/>
                <w:iCs/>
              </w:rPr>
              <w:t xml:space="preserve">(rozporządzenie Rady Ministrów w sprawie wysokości minimalnego wynagrodzenia za pracę oraz minimalnej stawki godzinowej w 2024 r. (Dz. U. z 2023 r. poz. 1893). </w:t>
            </w:r>
            <w:r w:rsidRPr="00E0193B">
              <w:t>Wskazane wyżej rozporządzenie przewiduje kolejny wzrost minimalnego wynagrodzenia za pracę do kwoty 4300 zł od 1 lipca 2024 r., oraz stawki godzinowej do 28,10 zł. Ponieważ rozporządzanie to weszło w życie beneficjenci w kosztorysach przedsięwzięć realizowanych w trakcie roku 2024 r. będą musieli wziąć pod uwagę również zmiany wynagrodzenia, które nastąpią od lipca 2024 r. Jest to znaczny wzrost w stosunku do kwoty 3600 zł obowiązującej w drugiej połowie 2023 r.</w:t>
            </w:r>
          </w:p>
          <w:p w14:paraId="71E139CA" w14:textId="77777777" w:rsidR="00B161F5" w:rsidRPr="00E0193B" w:rsidRDefault="00B161F5" w:rsidP="00B161F5">
            <w:pPr>
              <w:autoSpaceDE w:val="0"/>
              <w:autoSpaceDN w:val="0"/>
              <w:adjustRightInd w:val="0"/>
              <w:spacing w:after="0" w:line="240" w:lineRule="auto"/>
            </w:pPr>
          </w:p>
          <w:p w14:paraId="6872F590" w14:textId="77777777" w:rsidR="00B161F5" w:rsidRPr="00E0193B" w:rsidRDefault="00B161F5" w:rsidP="00B161F5">
            <w:pPr>
              <w:autoSpaceDE w:val="0"/>
              <w:autoSpaceDN w:val="0"/>
              <w:adjustRightInd w:val="0"/>
              <w:spacing w:after="0" w:line="240" w:lineRule="auto"/>
            </w:pPr>
            <w:r w:rsidRPr="00E0193B">
              <w:t>Ponadto w lutym 2024 r. Komisja Europejska ogłosiła prognozy dla gospodarki, zgodnie z którymi polskie PKB ma wzrosnąć w 2024 r. o 2,7 procent, a w 2025 r. o 3,2 procenta.</w:t>
            </w:r>
            <w:r w:rsidRPr="00E0193B">
              <w:rPr>
                <w:rStyle w:val="Odwoanieprzypisudolnego"/>
              </w:rPr>
              <w:footnoteReference w:id="5"/>
            </w:r>
            <w:r w:rsidRPr="00E0193B">
              <w:t xml:space="preserve"> (W 2023 r. PKB w Polsce wzrósł tylko o 0,2 procent).</w:t>
            </w:r>
          </w:p>
          <w:p w14:paraId="1D4386D5" w14:textId="77777777" w:rsidR="00B161F5" w:rsidRPr="00E0193B" w:rsidRDefault="00B161F5" w:rsidP="00B161F5">
            <w:pPr>
              <w:autoSpaceDE w:val="0"/>
              <w:autoSpaceDN w:val="0"/>
              <w:adjustRightInd w:val="0"/>
              <w:spacing w:after="0" w:line="240" w:lineRule="auto"/>
            </w:pPr>
            <w:r w:rsidRPr="00E0193B">
              <w:t>Z prognozy Komisji Europejskiej generalnie wynika, że zagrożenie dla wzrostu gospodarczego w chwili obecnej jest ustabilizowane.</w:t>
            </w:r>
            <w:r w:rsidRPr="00E0193B">
              <w:rPr>
                <w:rStyle w:val="Odwoanieprzypisudolnego"/>
              </w:rPr>
              <w:footnoteReference w:id="6"/>
            </w:r>
          </w:p>
          <w:p w14:paraId="429853F9" w14:textId="77777777" w:rsidR="00B161F5" w:rsidRPr="00E0193B" w:rsidRDefault="00B161F5" w:rsidP="00B161F5">
            <w:pPr>
              <w:autoSpaceDE w:val="0"/>
              <w:autoSpaceDN w:val="0"/>
              <w:adjustRightInd w:val="0"/>
              <w:spacing w:after="0" w:line="240" w:lineRule="auto"/>
            </w:pPr>
            <w:r w:rsidRPr="00E0193B">
              <w:lastRenderedPageBreak/>
              <w:t>Należy wykorzystać tę sytuację i położyć nacisk na wzmocnienie odporności na przyszłe kryzysy, zwłaszcza, że nie można wykluczyć, ze względu na napięcia geopolityczne, odwrócenia się tendencji stabilizujących gospodarkę .</w:t>
            </w:r>
          </w:p>
          <w:p w14:paraId="68DA52F1" w14:textId="77777777" w:rsidR="00B161F5" w:rsidRPr="00E0193B" w:rsidRDefault="00B161F5" w:rsidP="00B161F5">
            <w:pPr>
              <w:autoSpaceDE w:val="0"/>
              <w:autoSpaceDN w:val="0"/>
              <w:adjustRightInd w:val="0"/>
              <w:spacing w:after="0" w:line="240" w:lineRule="auto"/>
            </w:pPr>
            <w:r w:rsidRPr="00E0193B">
              <w:t>Z uwagi na powyższe obecnie priorytetowo, przed celem szczegółowym inwestycji, należy traktować cel określony dla Komponentu A, którym jest „zapewnienie odporności gospodarki na kryzysy, wzrost produktywności oraz tworzenie wysokiej jakości miejsc pracy” .</w:t>
            </w:r>
          </w:p>
          <w:p w14:paraId="1AACDF70" w14:textId="77777777" w:rsidR="00B161F5" w:rsidRPr="00E0193B" w:rsidRDefault="00B161F5" w:rsidP="00B161F5">
            <w:pPr>
              <w:autoSpaceDE w:val="0"/>
              <w:autoSpaceDN w:val="0"/>
              <w:adjustRightInd w:val="0"/>
              <w:spacing w:after="0" w:line="240" w:lineRule="auto"/>
            </w:pPr>
            <w:r w:rsidRPr="00E0193B">
              <w:t>W sytuacji wzrostu gospodarczego oraz małego bezrobocia drugorzędne znaczenie mają cele szczegółowe inwestycji A.2.5.1. takie jak zapobiegnięcie długofalowym negatywnym skutkom pandemii Covid – 19, podtrzymanie, pobudzenie i pomoc w powrocie do pełnej aktywności.</w:t>
            </w:r>
          </w:p>
          <w:p w14:paraId="1298C404" w14:textId="49000461" w:rsidR="00B161F5" w:rsidRPr="00E0193B" w:rsidRDefault="00B161F5" w:rsidP="00B161F5">
            <w:pPr>
              <w:autoSpaceDE w:val="0"/>
              <w:autoSpaceDN w:val="0"/>
              <w:adjustRightInd w:val="0"/>
              <w:spacing w:after="0" w:line="240" w:lineRule="auto"/>
            </w:pPr>
            <w:r w:rsidRPr="00E0193B">
              <w:t xml:space="preserve">Wskutek długotrwałego zamknięcia (w konsekwencji kolejnych fal pandemii), NGO, przedsiębiorcy, instytucje kultury nie mogły prowadzić działalności z publicznością, co spowodowało drastyczny spadek przychodów. Cel zapewnienia ciągłości działania, przetrwania pandemii, utrzymania miejsc pracy uzasadniał większe rozproszenie środków finansowych, tzn. podział ich w mniejszych kwotach na większą liczbę odbiorców, w tym OOW realizujących mniejsze przedsięwzięcia. W efekcie okres pandemii miało przetrwać jak najwięcej podmiotów. Miała zostać zachowana jak największa liczba miejsc pracy. Obecnie, w związku z upływem czasu od pandemii i ustabilizowaniem się zagrożenia dla wzrostu gospodarczego należy skupić się na zapewnieniu odporności na przyszłe kryzysy. Natomiast „zapewnienie odporności gospodarki na kryzysy, wzrost produktywności oraz tworzenie wysokiej jakości miejsc pracy” jest bardziej prawdopodobne, gdy beneficjenci będą realizować przedsięwzięcia z większym budżetem, co wiąże się z ich większą wartością merytoryczną. Wszystkie projekty będą sfinalizowane do </w:t>
            </w:r>
            <w:r w:rsidR="007E255E">
              <w:t xml:space="preserve">końca </w:t>
            </w:r>
            <w:r w:rsidRPr="00E0193B">
              <w:t>202</w:t>
            </w:r>
            <w:r w:rsidR="007E255E">
              <w:t>5</w:t>
            </w:r>
            <w:r w:rsidRPr="00E0193B">
              <w:t xml:space="preserve"> r.</w:t>
            </w:r>
          </w:p>
          <w:p w14:paraId="10223D8F" w14:textId="6B0EDF29" w:rsidR="00B161F5" w:rsidRPr="00E0193B" w:rsidRDefault="00B161F5" w:rsidP="002522AD">
            <w:pPr>
              <w:spacing w:line="252" w:lineRule="auto"/>
              <w:jc w:val="left"/>
              <w:rPr>
                <w:rFonts w:eastAsia="Calibri"/>
              </w:rPr>
            </w:pPr>
            <w:r w:rsidRPr="00E0193B">
              <w:t>Przykładowe projekty, brane pod uwagę w procesie wyliczenia średniej wartości projektu, realizowane były w trybie dofinansowania rocznego i z rocznym okresem realizacji.</w:t>
            </w:r>
          </w:p>
          <w:p w14:paraId="0CA03EAA" w14:textId="77777777" w:rsidR="00B161F5" w:rsidRPr="00E0193B" w:rsidRDefault="00B161F5" w:rsidP="00B161F5">
            <w:pPr>
              <w:spacing w:after="120" w:line="240" w:lineRule="auto"/>
              <w:jc w:val="left"/>
              <w:rPr>
                <w:rFonts w:eastAsia="Calibri"/>
              </w:rPr>
            </w:pPr>
            <w:r w:rsidRPr="00E0193B">
              <w:rPr>
                <w:rFonts w:eastAsia="Calibri"/>
              </w:rPr>
              <w:t>Zmniejszenie liczby umów:</w:t>
            </w:r>
          </w:p>
          <w:p w14:paraId="7A90BD92" w14:textId="08ABB4BB" w:rsidR="00B161F5" w:rsidRPr="00E0193B" w:rsidRDefault="00ED5265" w:rsidP="00B161F5">
            <w:pPr>
              <w:spacing w:after="120" w:line="240" w:lineRule="auto"/>
              <w:jc w:val="left"/>
              <w:rPr>
                <w:rFonts w:eastAsia="Calibri"/>
              </w:rPr>
            </w:pPr>
            <w:r w:rsidRPr="00E0193B">
              <w:rPr>
                <w:rFonts w:eastAsia="Calibri"/>
              </w:rPr>
              <w:t>a)</w:t>
            </w:r>
            <w:r w:rsidR="00B161F5" w:rsidRPr="00E0193B">
              <w:rPr>
                <w:rFonts w:eastAsia="Calibri"/>
              </w:rPr>
              <w:tab/>
              <w:t>Zapewni wyższą jakość merytoryczną wybieranych do objęcia wsparciem przedsięwzięć, ze względu na większą ilość wniosków przypadających na jedną umowę (większą konkurencję wnioskodawców);</w:t>
            </w:r>
          </w:p>
          <w:p w14:paraId="1DC584A0" w14:textId="77777777" w:rsidR="00B161F5" w:rsidRPr="00E0193B" w:rsidRDefault="00B161F5" w:rsidP="00B161F5">
            <w:pPr>
              <w:spacing w:after="120" w:line="240" w:lineRule="auto"/>
              <w:jc w:val="left"/>
              <w:rPr>
                <w:rFonts w:eastAsia="Calibri"/>
              </w:rPr>
            </w:pPr>
            <w:r w:rsidRPr="00E0193B">
              <w:rPr>
                <w:rFonts w:eastAsia="Calibri"/>
              </w:rPr>
              <w:t>b)</w:t>
            </w:r>
            <w:r w:rsidRPr="00E0193B">
              <w:rPr>
                <w:rFonts w:eastAsia="Calibri"/>
              </w:rPr>
              <w:tab/>
              <w:t xml:space="preserve">Zapewni zwiększenie kwoty przypadającej na jeden grant, co zwiększy atrakcyjność programu, a w konsekwencji zachęci wnioskodawców do składania wniosków i  również wpłynie na ich ilość i wartość merytoryczną wniosków; </w:t>
            </w:r>
          </w:p>
          <w:p w14:paraId="3D7DA7E5" w14:textId="77777777" w:rsidR="00B161F5" w:rsidRPr="00E0193B" w:rsidRDefault="00B161F5" w:rsidP="00B161F5">
            <w:pPr>
              <w:spacing w:after="120" w:line="240" w:lineRule="auto"/>
              <w:jc w:val="left"/>
              <w:rPr>
                <w:rFonts w:eastAsia="Calibri"/>
              </w:rPr>
            </w:pPr>
            <w:r w:rsidRPr="00E0193B">
              <w:rPr>
                <w:rFonts w:eastAsia="Calibri"/>
              </w:rPr>
              <w:t>c)</w:t>
            </w:r>
            <w:r w:rsidRPr="00E0193B">
              <w:rPr>
                <w:rFonts w:eastAsia="Calibri"/>
              </w:rPr>
              <w:tab/>
              <w:t xml:space="preserve">Ze względu na argumenty podane w punkcie a) i b) – wybierane będą przedsięwzięcia, które uzyskają wyższą punktację, czyli w większym zakresie spełnią kryteria wyboru, a co za tym idzie bardziej przyczynią się do realizacji celów inwestycji zidentyfikowanych w tych kryteriach; w wyższym zakresie wypełnią unijne cele realizowane w KPO; </w:t>
            </w:r>
          </w:p>
          <w:p w14:paraId="189ED7C2" w14:textId="77777777" w:rsidR="00B161F5" w:rsidRPr="00E0193B" w:rsidRDefault="00B161F5" w:rsidP="00B161F5">
            <w:pPr>
              <w:spacing w:after="120" w:line="240" w:lineRule="auto"/>
              <w:jc w:val="left"/>
              <w:rPr>
                <w:rFonts w:eastAsia="Calibri"/>
              </w:rPr>
            </w:pPr>
            <w:r w:rsidRPr="00E0193B">
              <w:rPr>
                <w:rFonts w:eastAsia="Calibri"/>
              </w:rPr>
              <w:t>d)</w:t>
            </w:r>
            <w:r w:rsidRPr="00E0193B">
              <w:rPr>
                <w:rFonts w:eastAsia="Calibri"/>
              </w:rPr>
              <w:tab/>
              <w:t xml:space="preserve">Wyłanianie w konkursie przedsięwzięć bardziej wartościowych, ze względu na uzyskaną wyższą ilość punktów, powinno rzutować na poziom realizacji takich założeń jak wzmocnienie kompetencji cyfrowych i uwzględnianie zastosowania nowych technologii; jest to istotne, gdyż transfokacja cyfrowa jest to warunek stabilnego rozwoju OOW; </w:t>
            </w:r>
          </w:p>
          <w:p w14:paraId="20C7DF9B" w14:textId="77777777" w:rsidR="00B161F5" w:rsidRPr="00E0193B" w:rsidRDefault="00B161F5" w:rsidP="00B161F5">
            <w:pPr>
              <w:spacing w:after="120" w:line="240" w:lineRule="auto"/>
              <w:jc w:val="left"/>
              <w:rPr>
                <w:rFonts w:eastAsia="Calibri"/>
              </w:rPr>
            </w:pPr>
            <w:r w:rsidRPr="00E0193B">
              <w:rPr>
                <w:rFonts w:eastAsia="Calibri"/>
              </w:rPr>
              <w:t>e)</w:t>
            </w:r>
            <w:r w:rsidRPr="00E0193B">
              <w:rPr>
                <w:rFonts w:eastAsia="Calibri"/>
              </w:rPr>
              <w:tab/>
              <w:t>Pieniądze zostaną zainwestowane w bardziej wartościowe projekty, które otrzymają większe kwoty. To realnie wpłynie na zapewnienie ciągłości i rozwój działalności OOW, będzie impulsem pobudzającym ich działalności, wpłynie na  odporność na przyszłe kryzysy;</w:t>
            </w:r>
          </w:p>
          <w:p w14:paraId="3F919CB7" w14:textId="77777777" w:rsidR="00B161F5" w:rsidRPr="00E0193B" w:rsidRDefault="00B161F5" w:rsidP="00B161F5">
            <w:pPr>
              <w:spacing w:after="120" w:line="240" w:lineRule="auto"/>
              <w:jc w:val="left"/>
              <w:rPr>
                <w:rFonts w:eastAsia="Calibri"/>
              </w:rPr>
            </w:pPr>
            <w:r w:rsidRPr="00E0193B">
              <w:rPr>
                <w:rFonts w:eastAsia="Calibri"/>
              </w:rPr>
              <w:t>f)</w:t>
            </w:r>
            <w:r w:rsidRPr="00E0193B">
              <w:rPr>
                <w:rFonts w:eastAsia="Calibri"/>
              </w:rPr>
              <w:tab/>
              <w:t>Droższe, a więc też większe i trwalsze lub cieszące się większym zainteresowaniem przedsięwzięcia, dotrą do większej liczby odbiorców. Natomiast większa liczba odbiorców wpływa na renomę i kondycję na rynku OOW, a w konsekwencji bardziej wzmocni je na przyszłe kryzysy.</w:t>
            </w:r>
          </w:p>
          <w:p w14:paraId="32548D7E" w14:textId="7CF0DE6B" w:rsidR="00D94758" w:rsidRPr="00E0193B" w:rsidRDefault="00D94758" w:rsidP="00B161F5">
            <w:pPr>
              <w:spacing w:after="120" w:line="240" w:lineRule="auto"/>
              <w:jc w:val="left"/>
              <w:rPr>
                <w:rFonts w:eastAsia="Calibri"/>
              </w:rPr>
            </w:pPr>
            <w:r w:rsidRPr="00E0193B">
              <w:rPr>
                <w:rFonts w:eastAsia="Calibri"/>
              </w:rPr>
              <w:t xml:space="preserve">Zmiana wartości wskaźnika wynika ze zmiany metodologii wyliczania kosztu jednostkowego poprzedzonej analizą adresatów i celu „Programu wspierania działalności podmiotów sektora kultury i przemysłów kreatywnych”. </w:t>
            </w:r>
          </w:p>
          <w:p w14:paraId="70C4EB05" w14:textId="34940BA0" w:rsidR="00D94758" w:rsidRPr="00E0193B" w:rsidRDefault="00D94758" w:rsidP="00D94758">
            <w:pPr>
              <w:spacing w:after="120" w:line="240" w:lineRule="auto"/>
              <w:jc w:val="left"/>
              <w:rPr>
                <w:rFonts w:eastAsia="Calibri"/>
              </w:rPr>
            </w:pPr>
            <w:r w:rsidRPr="00E0193B">
              <w:rPr>
                <w:rFonts w:eastAsia="Calibri"/>
              </w:rPr>
              <w:t xml:space="preserve">W metodologii wyliczenia kosztu jednostkowego grantu, na podstawie którego określono wysokość wskaźnika A3L uwzględniono zarówno Programy Ministra (tak jak dotychczas), jak i dotacje celowe dla państwowych instytucji kultury oraz instytucji współprowadzonych przez MKiDN. Dotychczas, do wyliczania wskaźników brano pod uwagę tylko instytucje lokalne i lokalne </w:t>
            </w:r>
            <w:r w:rsidR="00F8063F" w:rsidRPr="00E0193B">
              <w:rPr>
                <w:rFonts w:eastAsia="Calibri"/>
              </w:rPr>
              <w:t>NGO</w:t>
            </w:r>
            <w:r w:rsidRPr="00E0193B">
              <w:rPr>
                <w:rFonts w:eastAsia="Calibri"/>
              </w:rPr>
              <w:t xml:space="preserve">, bez uwzględnienia instytucji o oddziaływaniu ponadregionalnym, które mierzą się z tymi samymi problemami co lokalne, ale ze względu na swój potencjał i zasięg oddziaływania realizują projekty o wyższym budżecie. </w:t>
            </w:r>
          </w:p>
          <w:p w14:paraId="4D790D43" w14:textId="2E8EC9F9" w:rsidR="00D94758" w:rsidRPr="00E0193B" w:rsidRDefault="00D94758" w:rsidP="00D94758">
            <w:pPr>
              <w:spacing w:after="120" w:line="240" w:lineRule="auto"/>
              <w:jc w:val="left"/>
              <w:rPr>
                <w:rFonts w:eastAsia="Calibri"/>
                <w:b/>
              </w:rPr>
            </w:pPr>
            <w:r w:rsidRPr="00E0193B">
              <w:rPr>
                <w:rFonts w:eastAsia="Calibri"/>
              </w:rPr>
              <w:t>Nie uwzględniano dotacji celowych z budżetu państwa udzielanych instytucjom kultury, których koszt jednostawkowy znacznie przewyższa koszt jednostkowy wsparcia udzielanego w Programach Ministra. Obniżono w ten sposób kwotę przeznaczoną na jedno przedsięwzięcie. W efekcie wysokość wsparcia znacząco odbiega od kwot przeznaczanych na wydarzenia realizowane przez instytucje kultury stanowiące jedną z grup docelowych inwestycji.</w:t>
            </w:r>
            <w:r w:rsidRPr="00E0193B">
              <w:rPr>
                <w:rFonts w:eastAsia="Calibri"/>
                <w:b/>
              </w:rPr>
              <w:t xml:space="preserve"> </w:t>
            </w:r>
          </w:p>
          <w:p w14:paraId="3C655074" w14:textId="5E433221" w:rsidR="00D94758" w:rsidRPr="00DE6CE6" w:rsidRDefault="00D94758" w:rsidP="00D94758">
            <w:pPr>
              <w:spacing w:line="252" w:lineRule="auto"/>
              <w:jc w:val="left"/>
              <w:rPr>
                <w:rFonts w:eastAsia="Calibri"/>
                <w:b/>
              </w:rPr>
            </w:pPr>
            <w:r w:rsidRPr="00E0193B">
              <w:rPr>
                <w:rFonts w:eastAsia="Calibri"/>
              </w:rPr>
              <w:t xml:space="preserve">Obecnie koszt jednostawkowy jednego grantu wyliczony na podstawie Programów Ministra przy zastosowaniu kursu euro  4,4673 zł wynosi  </w:t>
            </w:r>
            <w:r w:rsidRPr="00E0193B">
              <w:rPr>
                <w:rFonts w:eastAsia="Calibri"/>
                <w:bCs/>
              </w:rPr>
              <w:t xml:space="preserve">86.370,55 zł. Po zmianie średni koszt jednostkowy wzrośnie do </w:t>
            </w:r>
            <w:r w:rsidR="00F8063F" w:rsidRPr="00E0193B">
              <w:rPr>
                <w:rFonts w:eastAsia="Calibri"/>
                <w:bCs/>
              </w:rPr>
              <w:t>129 856</w:t>
            </w:r>
            <w:r w:rsidRPr="00E0193B">
              <w:rPr>
                <w:rFonts w:eastAsia="Calibri"/>
                <w:bCs/>
              </w:rPr>
              <w:t xml:space="preserve"> zł</w:t>
            </w:r>
          </w:p>
          <w:p w14:paraId="15CC526D" w14:textId="7F0B9696" w:rsidR="00D94758" w:rsidRPr="00E0193B" w:rsidRDefault="00D94758" w:rsidP="00D94758">
            <w:pPr>
              <w:spacing w:line="252" w:lineRule="auto"/>
              <w:jc w:val="left"/>
              <w:rPr>
                <w:rFonts w:eastAsia="Calibri"/>
              </w:rPr>
            </w:pPr>
            <w:r w:rsidRPr="00E0193B">
              <w:rPr>
                <w:rFonts w:eastAsia="Calibri"/>
              </w:rPr>
              <w:t>Uzasadnienie dla zmiany technicznej dotyczącej daty realizacji inwestycji:</w:t>
            </w:r>
          </w:p>
          <w:p w14:paraId="5A82E2BB" w14:textId="77777777" w:rsidR="00D94758" w:rsidRPr="00E0193B" w:rsidRDefault="00D94758" w:rsidP="00D94758">
            <w:pPr>
              <w:spacing w:line="252" w:lineRule="auto"/>
              <w:jc w:val="left"/>
              <w:rPr>
                <w:rFonts w:eastAsia="Calibri"/>
              </w:rPr>
            </w:pPr>
            <w:r w:rsidRPr="00E0193B">
              <w:rPr>
                <w:rFonts w:eastAsia="Calibri"/>
              </w:rPr>
              <w:t>W załączniku do decyzji wykonawczej Rady zmieniającej decyzję wykonawczą z dnia 17 czerwca 2022 r. w sprawie zatwierdzenia oceny planu odbudowy i zwiększania odporności Polski w części opisowej pozostał termin realizacji inwestycji A.2.5.1. – 31 grudzień 2024 r. – do zmiany na 31 grudnia 2025 r.</w:t>
            </w:r>
          </w:p>
          <w:p w14:paraId="5D98AD59" w14:textId="3A4FC6D0" w:rsidR="00D94758" w:rsidRPr="00E0193B" w:rsidRDefault="00D94758" w:rsidP="00584FD7">
            <w:pPr>
              <w:spacing w:line="252" w:lineRule="auto"/>
              <w:jc w:val="left"/>
              <w:rPr>
                <w:rFonts w:eastAsia="Calibri"/>
              </w:rPr>
            </w:pPr>
            <w:r w:rsidRPr="00E0193B">
              <w:rPr>
                <w:rFonts w:eastAsia="Calibri"/>
              </w:rPr>
              <w:t>W załączniku do decyzji wykonawczej Rady zmieniającej decyzję wykonawczą z dnia 17  czerwca 2022 r. w sprawie zatwierdzenia oceny planu odbudowy i zwiększania odporności Polski (rewizja z grudnia 2023 r.)  wskazano jako termin  wykonania wskaźników A3L i A4L - Q42025.</w:t>
            </w:r>
          </w:p>
        </w:tc>
      </w:tr>
      <w:tr w:rsidR="00D94758" w:rsidRPr="00E0193B" w14:paraId="021A87E6" w14:textId="77777777" w:rsidTr="008C1B0D">
        <w:tc>
          <w:tcPr>
            <w:tcW w:w="1098" w:type="pct"/>
          </w:tcPr>
          <w:p w14:paraId="20E1F10B" w14:textId="77777777" w:rsidR="00D94758" w:rsidRPr="00E0193B" w:rsidRDefault="00D94758" w:rsidP="00D94758">
            <w:pPr>
              <w:spacing w:after="120" w:line="240" w:lineRule="auto"/>
              <w:jc w:val="left"/>
              <w:rPr>
                <w:rFonts w:eastAsia="Calibri"/>
              </w:rPr>
            </w:pPr>
            <w:r w:rsidRPr="00E0193B">
              <w:rPr>
                <w:rFonts w:eastAsia="Calibri"/>
              </w:rPr>
              <w:lastRenderedPageBreak/>
              <w:t>Szacowany koszt</w:t>
            </w:r>
          </w:p>
        </w:tc>
        <w:tc>
          <w:tcPr>
            <w:tcW w:w="3902" w:type="pct"/>
            <w:gridSpan w:val="2"/>
          </w:tcPr>
          <w:p w14:paraId="16E8F563" w14:textId="77777777" w:rsidR="00D94758" w:rsidRPr="00E0193B" w:rsidRDefault="00D94758" w:rsidP="00D94758">
            <w:pPr>
              <w:spacing w:after="120" w:line="240" w:lineRule="auto"/>
              <w:jc w:val="left"/>
              <w:rPr>
                <w:rFonts w:eastAsia="Calibri"/>
              </w:rPr>
            </w:pPr>
            <w:r w:rsidRPr="00E0193B">
              <w:rPr>
                <w:rFonts w:eastAsia="Calibri"/>
              </w:rPr>
              <w:t xml:space="preserve">Zmiana nie ma wpływu na szacowany koszt </w:t>
            </w:r>
          </w:p>
        </w:tc>
      </w:tr>
      <w:tr w:rsidR="00D94758" w:rsidRPr="00E0193B" w14:paraId="13DAA7EB" w14:textId="77777777" w:rsidTr="008C1B0D">
        <w:tc>
          <w:tcPr>
            <w:tcW w:w="1098" w:type="pct"/>
          </w:tcPr>
          <w:p w14:paraId="4EDC271E" w14:textId="77777777" w:rsidR="00D94758" w:rsidRPr="00E0193B" w:rsidRDefault="00D94758" w:rsidP="00D94758">
            <w:pPr>
              <w:spacing w:after="120" w:line="240" w:lineRule="auto"/>
              <w:jc w:val="left"/>
              <w:rPr>
                <w:rFonts w:eastAsia="Calibri"/>
              </w:rPr>
            </w:pPr>
            <w:r w:rsidRPr="00E0193B">
              <w:rPr>
                <w:rFonts w:eastAsia="Calibri"/>
              </w:rPr>
              <w:t xml:space="preserve">Cyfrowy i klimatyczny tagging </w:t>
            </w:r>
          </w:p>
        </w:tc>
        <w:tc>
          <w:tcPr>
            <w:tcW w:w="3902" w:type="pct"/>
            <w:gridSpan w:val="2"/>
          </w:tcPr>
          <w:p w14:paraId="6ED59C50" w14:textId="77777777" w:rsidR="00D94758" w:rsidRPr="00E0193B" w:rsidRDefault="00D94758" w:rsidP="00D94758">
            <w:pPr>
              <w:spacing w:after="120" w:line="240" w:lineRule="auto"/>
              <w:jc w:val="left"/>
              <w:rPr>
                <w:rFonts w:eastAsia="Calibri"/>
              </w:rPr>
            </w:pPr>
            <w:r w:rsidRPr="00E0193B">
              <w:rPr>
                <w:rFonts w:eastAsia="Calibri"/>
              </w:rPr>
              <w:t>Zmiana nie ma wpływu na tagging klimatyczny i cyfrowy</w:t>
            </w:r>
          </w:p>
        </w:tc>
      </w:tr>
      <w:tr w:rsidR="00D94758" w:rsidRPr="00E0193B" w14:paraId="73A4702B" w14:textId="77777777" w:rsidTr="008C1B0D">
        <w:tc>
          <w:tcPr>
            <w:tcW w:w="1098" w:type="pct"/>
            <w:tcBorders>
              <w:bottom w:val="single" w:sz="4" w:space="0" w:color="auto"/>
            </w:tcBorders>
          </w:tcPr>
          <w:p w14:paraId="4668A9C7" w14:textId="77777777" w:rsidR="00D94758" w:rsidRPr="00E0193B" w:rsidRDefault="00D94758" w:rsidP="00D94758">
            <w:pPr>
              <w:spacing w:after="120" w:line="240" w:lineRule="auto"/>
              <w:jc w:val="left"/>
              <w:rPr>
                <w:rFonts w:eastAsia="Calibri"/>
              </w:rPr>
            </w:pPr>
            <w:r w:rsidRPr="00E0193B">
              <w:rPr>
                <w:rFonts w:eastAsia="Calibri"/>
              </w:rPr>
              <w:t xml:space="preserve">Zasada DNSH </w:t>
            </w:r>
          </w:p>
        </w:tc>
        <w:tc>
          <w:tcPr>
            <w:tcW w:w="3902" w:type="pct"/>
            <w:gridSpan w:val="2"/>
            <w:tcBorders>
              <w:bottom w:val="single" w:sz="4" w:space="0" w:color="auto"/>
            </w:tcBorders>
          </w:tcPr>
          <w:p w14:paraId="3846151B" w14:textId="77777777" w:rsidR="00D94758" w:rsidRPr="00E0193B" w:rsidRDefault="00D94758" w:rsidP="00D94758">
            <w:pPr>
              <w:spacing w:after="120" w:line="240" w:lineRule="auto"/>
              <w:jc w:val="left"/>
              <w:rPr>
                <w:rFonts w:eastAsia="Calibri"/>
              </w:rPr>
            </w:pPr>
            <w:r w:rsidRPr="00E0193B">
              <w:rPr>
                <w:rFonts w:eastAsia="Calibri"/>
              </w:rPr>
              <w:t>Zmiana nie ma wpływu na DNSH</w:t>
            </w:r>
          </w:p>
        </w:tc>
      </w:tr>
      <w:tr w:rsidR="00D94758" w:rsidRPr="00E0193B" w14:paraId="06FF4FC2" w14:textId="77777777" w:rsidTr="008C1B0D">
        <w:tc>
          <w:tcPr>
            <w:tcW w:w="1098" w:type="pct"/>
            <w:tcBorders>
              <w:bottom w:val="single" w:sz="4" w:space="0" w:color="auto"/>
            </w:tcBorders>
          </w:tcPr>
          <w:p w14:paraId="067006C7" w14:textId="77777777" w:rsidR="00D94758" w:rsidRPr="00E0193B" w:rsidRDefault="00D94758" w:rsidP="00D94758">
            <w:pPr>
              <w:spacing w:after="120" w:line="240" w:lineRule="auto"/>
              <w:jc w:val="left"/>
              <w:rPr>
                <w:rFonts w:eastAsia="Calibri"/>
              </w:rPr>
            </w:pPr>
            <w:r w:rsidRPr="00E0193B">
              <w:rPr>
                <w:rFonts w:eastAsia="Calibri"/>
              </w:rPr>
              <w:t xml:space="preserve">Pomoc publiczna </w:t>
            </w:r>
          </w:p>
        </w:tc>
        <w:tc>
          <w:tcPr>
            <w:tcW w:w="3902" w:type="pct"/>
            <w:gridSpan w:val="2"/>
            <w:tcBorders>
              <w:bottom w:val="single" w:sz="4" w:space="0" w:color="auto"/>
            </w:tcBorders>
          </w:tcPr>
          <w:p w14:paraId="12C0BC2A" w14:textId="20B4CB2A" w:rsidR="00D94758" w:rsidRPr="00E0193B" w:rsidRDefault="00C84418" w:rsidP="00D94758">
            <w:pPr>
              <w:spacing w:after="120" w:line="240" w:lineRule="auto"/>
              <w:jc w:val="left"/>
              <w:rPr>
                <w:rFonts w:eastAsia="Calibri"/>
              </w:rPr>
            </w:pPr>
            <w:r w:rsidRPr="00D63482">
              <w:rPr>
                <w:rFonts w:eastAsia="Calibri"/>
              </w:rPr>
              <w:t>Zmiana nie ma wpływu na pomoc publiczną</w:t>
            </w:r>
          </w:p>
        </w:tc>
      </w:tr>
    </w:tbl>
    <w:p w14:paraId="0BA3774F" w14:textId="77777777" w:rsidR="00D94758" w:rsidRPr="00E0193B" w:rsidRDefault="00D94758" w:rsidP="00D94758">
      <w:pPr>
        <w:spacing w:line="240" w:lineRule="auto"/>
        <w:jc w:val="left"/>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3"/>
        <w:gridCol w:w="3251"/>
        <w:gridCol w:w="3642"/>
      </w:tblGrid>
      <w:tr w:rsidR="00D94758" w:rsidRPr="00E0193B" w14:paraId="1F6A53E8" w14:textId="77777777" w:rsidTr="00DE6CE6">
        <w:tc>
          <w:tcPr>
            <w:tcW w:w="1177" w:type="pct"/>
          </w:tcPr>
          <w:p w14:paraId="1924BD29" w14:textId="77777777" w:rsidR="00D94758" w:rsidRPr="00E0193B" w:rsidRDefault="00D94758" w:rsidP="00D94758">
            <w:pPr>
              <w:spacing w:after="120" w:line="240" w:lineRule="auto"/>
              <w:rPr>
                <w:b/>
                <w:bCs/>
              </w:rPr>
            </w:pPr>
            <w:r w:rsidRPr="00E0193B">
              <w:rPr>
                <w:b/>
                <w:bCs/>
              </w:rPr>
              <w:t>Numer inwestycji</w:t>
            </w:r>
          </w:p>
        </w:tc>
        <w:tc>
          <w:tcPr>
            <w:tcW w:w="3823" w:type="pct"/>
            <w:gridSpan w:val="2"/>
          </w:tcPr>
          <w:p w14:paraId="31798EDC" w14:textId="77777777" w:rsidR="00D94758" w:rsidRPr="00E0193B" w:rsidRDefault="00D94758" w:rsidP="00D94758">
            <w:pPr>
              <w:autoSpaceDE w:val="0"/>
              <w:autoSpaceDN w:val="0"/>
              <w:adjustRightInd w:val="0"/>
              <w:spacing w:after="120" w:line="240" w:lineRule="auto"/>
              <w:jc w:val="left"/>
              <w:rPr>
                <w:rFonts w:eastAsia="Calibri"/>
                <w:b/>
                <w:bCs/>
                <w:color w:val="000000"/>
                <w:lang w:val="en-GB" w:eastAsia="en-GB"/>
              </w:rPr>
            </w:pPr>
            <w:r w:rsidRPr="00E0193B">
              <w:rPr>
                <w:rFonts w:eastAsia="Calibri"/>
                <w:b/>
                <w:bCs/>
                <w:color w:val="000000"/>
                <w:lang w:val="en-GB" w:eastAsia="en-GB"/>
              </w:rPr>
              <w:t>A2.6.1.</w:t>
            </w:r>
          </w:p>
        </w:tc>
      </w:tr>
      <w:tr w:rsidR="00D94758" w:rsidRPr="00E0193B" w14:paraId="540B94AD" w14:textId="77777777" w:rsidTr="00DE6CE6">
        <w:tc>
          <w:tcPr>
            <w:tcW w:w="1177" w:type="pct"/>
          </w:tcPr>
          <w:p w14:paraId="4D21B7C8" w14:textId="77777777" w:rsidR="00D94758" w:rsidRPr="00E0193B" w:rsidRDefault="00D94758" w:rsidP="00D94758">
            <w:pPr>
              <w:autoSpaceDE w:val="0"/>
              <w:autoSpaceDN w:val="0"/>
              <w:adjustRightInd w:val="0"/>
              <w:spacing w:after="120" w:line="240" w:lineRule="auto"/>
              <w:jc w:val="left"/>
              <w:rPr>
                <w:rFonts w:eastAsia="Calibri"/>
                <w:b/>
                <w:bCs/>
                <w:color w:val="000000"/>
                <w:lang w:val="en-GB" w:eastAsia="en-GB"/>
              </w:rPr>
            </w:pPr>
            <w:r w:rsidRPr="00E0193B">
              <w:rPr>
                <w:rFonts w:eastAsia="Calibri"/>
                <w:b/>
                <w:bCs/>
                <w:color w:val="000000"/>
                <w:lang w:val="en-GB" w:eastAsia="en-GB"/>
              </w:rPr>
              <w:lastRenderedPageBreak/>
              <w:t xml:space="preserve">Nazwa inwestycji </w:t>
            </w:r>
          </w:p>
        </w:tc>
        <w:tc>
          <w:tcPr>
            <w:tcW w:w="3823" w:type="pct"/>
            <w:gridSpan w:val="2"/>
          </w:tcPr>
          <w:p w14:paraId="21945EF5" w14:textId="77777777" w:rsidR="00D94758" w:rsidRPr="00E0193B" w:rsidRDefault="00D94758" w:rsidP="00D94758">
            <w:pPr>
              <w:autoSpaceDE w:val="0"/>
              <w:autoSpaceDN w:val="0"/>
              <w:adjustRightInd w:val="0"/>
              <w:spacing w:after="120" w:line="240" w:lineRule="auto"/>
              <w:jc w:val="left"/>
              <w:rPr>
                <w:rFonts w:eastAsia="Calibri"/>
                <w:b/>
                <w:bCs/>
                <w:color w:val="000000"/>
                <w:lang w:eastAsia="en-GB"/>
              </w:rPr>
            </w:pPr>
            <w:r w:rsidRPr="00E0193B">
              <w:rPr>
                <w:rFonts w:eastAsia="Calibri"/>
                <w:b/>
                <w:bCs/>
                <w:color w:val="000000"/>
                <w:lang w:eastAsia="en-GB"/>
              </w:rPr>
              <w:t>Rozbudowa krajowego systemu serwisów monitoringowych, produktów, narzędzi analitycznych i usług oraz towarzyszącej infrastruktury wykorzystujących dane satelitarne</w:t>
            </w:r>
          </w:p>
        </w:tc>
      </w:tr>
      <w:tr w:rsidR="00D94758" w:rsidRPr="00E0193B" w14:paraId="1559B15C" w14:textId="77777777" w:rsidTr="00DE6CE6">
        <w:tc>
          <w:tcPr>
            <w:tcW w:w="1177" w:type="pct"/>
          </w:tcPr>
          <w:p w14:paraId="5B53891D" w14:textId="77777777" w:rsidR="00D94758" w:rsidRPr="00E0193B" w:rsidRDefault="00D94758" w:rsidP="00D94758">
            <w:pPr>
              <w:autoSpaceDE w:val="0"/>
              <w:autoSpaceDN w:val="0"/>
              <w:adjustRightInd w:val="0"/>
              <w:spacing w:after="120" w:line="240" w:lineRule="auto"/>
              <w:jc w:val="left"/>
              <w:rPr>
                <w:rFonts w:eastAsia="Calibri"/>
                <w:color w:val="000000"/>
                <w:lang w:eastAsia="en-GB"/>
              </w:rPr>
            </w:pPr>
            <w:r w:rsidRPr="00E0193B">
              <w:rPr>
                <w:rFonts w:eastAsia="Calibri"/>
                <w:color w:val="000000"/>
                <w:lang w:eastAsia="en-GB"/>
              </w:rPr>
              <w:t>Rodzaj wprowadzonej zmiany w odniesieniu do CID</w:t>
            </w:r>
          </w:p>
        </w:tc>
        <w:tc>
          <w:tcPr>
            <w:tcW w:w="3823" w:type="pct"/>
            <w:gridSpan w:val="2"/>
          </w:tcPr>
          <w:p w14:paraId="2EBFF654" w14:textId="77777777" w:rsidR="00D94758" w:rsidRPr="00E0193B" w:rsidRDefault="00D94758" w:rsidP="00D94758">
            <w:pPr>
              <w:autoSpaceDE w:val="0"/>
              <w:autoSpaceDN w:val="0"/>
              <w:adjustRightInd w:val="0"/>
              <w:spacing w:after="120" w:line="240" w:lineRule="auto"/>
              <w:jc w:val="left"/>
              <w:rPr>
                <w:rFonts w:eastAsia="Calibri"/>
                <w:color w:val="000000"/>
                <w:lang w:eastAsia="en-GB"/>
              </w:rPr>
            </w:pPr>
            <w:r w:rsidRPr="00E0193B">
              <w:rPr>
                <w:rFonts w:eastAsia="Calibri"/>
                <w:color w:val="000000"/>
                <w:lang w:eastAsia="en-GB"/>
              </w:rPr>
              <w:t>Zmniejszenie o 26 mln euro alokacji na realizację wskaźnika A8L w zakresie Narodowego Systemu Informacji Satelitarnej (NSIS).</w:t>
            </w:r>
          </w:p>
        </w:tc>
      </w:tr>
      <w:tr w:rsidR="00D94758" w:rsidRPr="00E0193B" w14:paraId="46C91CE8" w14:textId="77777777" w:rsidTr="00DE6CE6">
        <w:tc>
          <w:tcPr>
            <w:tcW w:w="1177" w:type="pct"/>
            <w:shd w:val="clear" w:color="auto" w:fill="FFFFFF"/>
          </w:tcPr>
          <w:p w14:paraId="2CF5DCC8" w14:textId="77777777" w:rsidR="00D94758" w:rsidRPr="00E0193B" w:rsidRDefault="00D94758" w:rsidP="00D94758">
            <w:pPr>
              <w:autoSpaceDE w:val="0"/>
              <w:autoSpaceDN w:val="0"/>
              <w:adjustRightInd w:val="0"/>
              <w:spacing w:after="120" w:line="240" w:lineRule="auto"/>
              <w:jc w:val="left"/>
              <w:rPr>
                <w:rFonts w:eastAsia="Calibri"/>
                <w:color w:val="000000"/>
                <w:lang w:val="en-GB" w:eastAsia="en-GB"/>
              </w:rPr>
            </w:pPr>
            <w:r w:rsidRPr="00E0193B">
              <w:rPr>
                <w:rFonts w:eastAsia="Calibri"/>
                <w:color w:val="000000"/>
                <w:lang w:val="en-GB" w:eastAsia="en-GB"/>
              </w:rPr>
              <w:t>Podstawa prawna zmiany</w:t>
            </w:r>
          </w:p>
        </w:tc>
        <w:tc>
          <w:tcPr>
            <w:tcW w:w="3823" w:type="pct"/>
            <w:gridSpan w:val="2"/>
            <w:shd w:val="clear" w:color="auto" w:fill="FFFFFF"/>
          </w:tcPr>
          <w:p w14:paraId="6F23ADA2" w14:textId="77777777" w:rsidR="00D94758" w:rsidRPr="00E0193B" w:rsidRDefault="00D94758" w:rsidP="00D94758">
            <w:pPr>
              <w:spacing w:after="120" w:line="240" w:lineRule="auto"/>
            </w:pPr>
            <w:r w:rsidRPr="00E0193B">
              <w:t xml:space="preserve">art. 21 rozporządzenia Parlamentu Europejskiego i Rady (UE) 2021/241 z dnia 12 lutego 2021 r. ustanawiającego Instrument na rzecz Odbudowy i Zwiększania Odporności </w:t>
            </w:r>
          </w:p>
        </w:tc>
      </w:tr>
      <w:tr w:rsidR="00D94758" w:rsidRPr="00E0193B" w14:paraId="1C1616E9" w14:textId="77777777" w:rsidTr="00DE6CE6">
        <w:trPr>
          <w:trHeight w:val="541"/>
        </w:trPr>
        <w:tc>
          <w:tcPr>
            <w:tcW w:w="1177" w:type="pct"/>
            <w:shd w:val="clear" w:color="auto" w:fill="D9D9D9"/>
          </w:tcPr>
          <w:p w14:paraId="2C66D044" w14:textId="77777777" w:rsidR="00D94758" w:rsidRPr="00E0193B" w:rsidRDefault="00D94758" w:rsidP="00D94758">
            <w:pPr>
              <w:spacing w:after="120" w:line="240" w:lineRule="auto"/>
              <w:rPr>
                <w:highlight w:val="lightGray"/>
              </w:rPr>
            </w:pPr>
            <w:r w:rsidRPr="00E0193B">
              <w:rPr>
                <w:highlight w:val="lightGray"/>
              </w:rPr>
              <w:t>Modyfikowany element</w:t>
            </w:r>
          </w:p>
        </w:tc>
        <w:tc>
          <w:tcPr>
            <w:tcW w:w="1803" w:type="pct"/>
            <w:shd w:val="clear" w:color="auto" w:fill="D9D9D9"/>
          </w:tcPr>
          <w:p w14:paraId="7F508E53" w14:textId="77777777" w:rsidR="00D94758" w:rsidRPr="00E0193B" w:rsidRDefault="00D94758" w:rsidP="00D94758">
            <w:pPr>
              <w:spacing w:after="120" w:line="240" w:lineRule="auto"/>
              <w:jc w:val="center"/>
              <w:rPr>
                <w:highlight w:val="lightGray"/>
              </w:rPr>
            </w:pPr>
            <w:r w:rsidRPr="00E0193B">
              <w:rPr>
                <w:highlight w:val="lightGray"/>
              </w:rPr>
              <w:t>Wersja aktualna</w:t>
            </w:r>
          </w:p>
        </w:tc>
        <w:tc>
          <w:tcPr>
            <w:tcW w:w="2020" w:type="pct"/>
            <w:shd w:val="clear" w:color="auto" w:fill="D9D9D9"/>
          </w:tcPr>
          <w:p w14:paraId="50710D3F" w14:textId="77777777" w:rsidR="00D94758" w:rsidRPr="00E0193B" w:rsidRDefault="00D94758" w:rsidP="00D94758">
            <w:pPr>
              <w:spacing w:after="120" w:line="240" w:lineRule="auto"/>
              <w:jc w:val="center"/>
              <w:rPr>
                <w:highlight w:val="lightGray"/>
              </w:rPr>
            </w:pPr>
            <w:r w:rsidRPr="00E0193B">
              <w:rPr>
                <w:highlight w:val="lightGray"/>
              </w:rPr>
              <w:t>Wersja zmieniona</w:t>
            </w:r>
          </w:p>
        </w:tc>
      </w:tr>
      <w:tr w:rsidR="00F26BD5" w:rsidRPr="00E0193B" w14:paraId="26FD61B3" w14:textId="77777777" w:rsidTr="00DE6CE6">
        <w:tc>
          <w:tcPr>
            <w:tcW w:w="1177" w:type="pct"/>
            <w:vMerge w:val="restart"/>
          </w:tcPr>
          <w:p w14:paraId="1679A723" w14:textId="77777777" w:rsidR="00F26BD5" w:rsidRPr="00E0193B" w:rsidRDefault="00F26BD5" w:rsidP="00D94758">
            <w:pPr>
              <w:spacing w:after="120" w:line="240" w:lineRule="auto"/>
            </w:pPr>
            <w:r w:rsidRPr="00E0193B">
              <w:t>Opis kamienia milowego lub wskaźnika.</w:t>
            </w:r>
          </w:p>
        </w:tc>
        <w:tc>
          <w:tcPr>
            <w:tcW w:w="1803" w:type="pct"/>
          </w:tcPr>
          <w:p w14:paraId="540DAFEC" w14:textId="77777777" w:rsidR="00F26BD5" w:rsidRPr="00E0193B" w:rsidRDefault="00F26BD5" w:rsidP="00D94758">
            <w:pPr>
              <w:autoSpaceDE w:val="0"/>
              <w:autoSpaceDN w:val="0"/>
              <w:adjustRightInd w:val="0"/>
              <w:spacing w:after="120" w:line="240" w:lineRule="auto"/>
              <w:jc w:val="left"/>
              <w:rPr>
                <w:rFonts w:eastAsia="Calibri"/>
                <w:color w:val="000000"/>
                <w:lang w:eastAsia="en-GB"/>
              </w:rPr>
            </w:pPr>
            <w:r w:rsidRPr="00E0193B">
              <w:rPr>
                <w:rFonts w:eastAsia="Calibri"/>
                <w:color w:val="000000"/>
                <w:lang w:eastAsia="en-GB"/>
              </w:rPr>
              <w:t>A8L</w:t>
            </w:r>
          </w:p>
          <w:p w14:paraId="2C22D225" w14:textId="77777777" w:rsidR="00F26BD5" w:rsidRPr="00E0193B" w:rsidRDefault="00F26BD5" w:rsidP="00D94758">
            <w:pPr>
              <w:autoSpaceDE w:val="0"/>
              <w:autoSpaceDN w:val="0"/>
              <w:adjustRightInd w:val="0"/>
              <w:spacing w:after="120" w:line="240" w:lineRule="auto"/>
              <w:jc w:val="left"/>
              <w:rPr>
                <w:rFonts w:eastAsia="Calibri"/>
                <w:color w:val="000000"/>
                <w:lang w:eastAsia="en-GB"/>
              </w:rPr>
            </w:pPr>
            <w:r w:rsidRPr="00E0193B">
              <w:rPr>
                <w:rFonts w:eastAsia="Calibri"/>
                <w:color w:val="000000"/>
                <w:lang w:eastAsia="en-GB"/>
              </w:rPr>
              <w:t>Alokacja dla inwestycji A2.6.1: 150 000 000 EUR</w:t>
            </w:r>
          </w:p>
          <w:p w14:paraId="4EE48E03" w14:textId="77777777" w:rsidR="00F26BD5" w:rsidRPr="00E0193B" w:rsidRDefault="00F26BD5" w:rsidP="00D94758">
            <w:pPr>
              <w:autoSpaceDE w:val="0"/>
              <w:autoSpaceDN w:val="0"/>
              <w:adjustRightInd w:val="0"/>
              <w:spacing w:after="120" w:line="240" w:lineRule="auto"/>
              <w:jc w:val="left"/>
              <w:rPr>
                <w:rFonts w:eastAsia="Calibri"/>
                <w:color w:val="000000"/>
                <w:lang w:eastAsia="en-GB"/>
              </w:rPr>
            </w:pPr>
            <w:r w:rsidRPr="00E0193B">
              <w:rPr>
                <w:rFonts w:eastAsia="Calibri"/>
                <w:color w:val="000000"/>
                <w:lang w:eastAsia="en-GB"/>
              </w:rPr>
              <w:t xml:space="preserve">W tym dla wskaźnika A8L: </w:t>
            </w:r>
          </w:p>
          <w:p w14:paraId="3128E840" w14:textId="77777777" w:rsidR="00F26BD5" w:rsidRPr="00E0193B" w:rsidRDefault="00F26BD5" w:rsidP="00D94758">
            <w:pPr>
              <w:autoSpaceDE w:val="0"/>
              <w:autoSpaceDN w:val="0"/>
              <w:adjustRightInd w:val="0"/>
              <w:spacing w:after="120" w:line="240" w:lineRule="auto"/>
              <w:ind w:left="58"/>
              <w:jc w:val="left"/>
              <w:rPr>
                <w:rFonts w:eastAsia="Calibri"/>
                <w:color w:val="000000"/>
                <w:lang w:eastAsia="en-GB"/>
              </w:rPr>
            </w:pPr>
            <w:r w:rsidRPr="00E0193B">
              <w:rPr>
                <w:rFonts w:eastAsia="Calibri"/>
                <w:color w:val="000000"/>
                <w:lang w:eastAsia="en-GB"/>
              </w:rPr>
              <w:t>41 800 000 EUR</w:t>
            </w:r>
          </w:p>
        </w:tc>
        <w:tc>
          <w:tcPr>
            <w:tcW w:w="2020" w:type="pct"/>
          </w:tcPr>
          <w:p w14:paraId="0962ACF4" w14:textId="77777777" w:rsidR="00F26BD5" w:rsidRPr="00E0193B" w:rsidRDefault="00F26BD5" w:rsidP="00D94758">
            <w:pPr>
              <w:autoSpaceDE w:val="0"/>
              <w:autoSpaceDN w:val="0"/>
              <w:adjustRightInd w:val="0"/>
              <w:spacing w:after="120" w:line="240" w:lineRule="auto"/>
              <w:jc w:val="left"/>
              <w:rPr>
                <w:rFonts w:eastAsia="Calibri"/>
                <w:color w:val="000000"/>
                <w:lang w:eastAsia="en-GB"/>
              </w:rPr>
            </w:pPr>
            <w:r w:rsidRPr="00E0193B">
              <w:rPr>
                <w:rFonts w:eastAsia="Calibri"/>
                <w:color w:val="000000"/>
                <w:lang w:eastAsia="en-GB"/>
              </w:rPr>
              <w:t>A8L</w:t>
            </w:r>
          </w:p>
          <w:p w14:paraId="2991CDFB" w14:textId="77777777" w:rsidR="00F26BD5" w:rsidRPr="00E0193B" w:rsidRDefault="00F26BD5" w:rsidP="00D94758">
            <w:pPr>
              <w:autoSpaceDE w:val="0"/>
              <w:autoSpaceDN w:val="0"/>
              <w:adjustRightInd w:val="0"/>
              <w:spacing w:after="120" w:line="240" w:lineRule="auto"/>
              <w:jc w:val="left"/>
              <w:rPr>
                <w:rFonts w:eastAsia="Calibri"/>
                <w:color w:val="000000"/>
                <w:lang w:eastAsia="en-GB"/>
              </w:rPr>
            </w:pPr>
            <w:r w:rsidRPr="00E0193B">
              <w:rPr>
                <w:rFonts w:eastAsia="Calibri"/>
                <w:color w:val="000000"/>
                <w:lang w:eastAsia="en-GB"/>
              </w:rPr>
              <w:t xml:space="preserve">Alokacja dla inwestycji A2.6.1: </w:t>
            </w:r>
            <w:r w:rsidRPr="00E0193B">
              <w:rPr>
                <w:rFonts w:eastAsia="Calibri"/>
                <w:color w:val="FF0000"/>
                <w:lang w:eastAsia="en-GB"/>
              </w:rPr>
              <w:t>124 000 000 EUR</w:t>
            </w:r>
          </w:p>
          <w:p w14:paraId="5997D8A5" w14:textId="77777777" w:rsidR="00F26BD5" w:rsidRPr="00E0193B" w:rsidRDefault="00F26BD5" w:rsidP="00D94758">
            <w:pPr>
              <w:autoSpaceDE w:val="0"/>
              <w:autoSpaceDN w:val="0"/>
              <w:adjustRightInd w:val="0"/>
              <w:spacing w:after="120" w:line="240" w:lineRule="auto"/>
              <w:jc w:val="left"/>
              <w:rPr>
                <w:rFonts w:eastAsia="Calibri"/>
                <w:color w:val="000000"/>
                <w:lang w:eastAsia="en-GB"/>
              </w:rPr>
            </w:pPr>
            <w:r w:rsidRPr="00E0193B">
              <w:rPr>
                <w:rFonts w:eastAsia="Calibri"/>
                <w:color w:val="000000"/>
                <w:lang w:eastAsia="en-GB"/>
              </w:rPr>
              <w:t xml:space="preserve">W tym dla wskaźnika A8L: </w:t>
            </w:r>
          </w:p>
          <w:p w14:paraId="315F1034" w14:textId="77777777" w:rsidR="00F26BD5" w:rsidRPr="00E0193B" w:rsidRDefault="00F26BD5" w:rsidP="00D94758">
            <w:pPr>
              <w:autoSpaceDE w:val="0"/>
              <w:autoSpaceDN w:val="0"/>
              <w:adjustRightInd w:val="0"/>
              <w:spacing w:after="120" w:line="240" w:lineRule="auto"/>
              <w:ind w:left="226" w:hanging="226"/>
              <w:jc w:val="left"/>
              <w:rPr>
                <w:rFonts w:eastAsia="Calibri"/>
                <w:color w:val="000000"/>
                <w:lang w:eastAsia="en-GB"/>
              </w:rPr>
            </w:pPr>
            <w:r w:rsidRPr="00E0193B">
              <w:rPr>
                <w:rFonts w:eastAsia="Calibri"/>
                <w:color w:val="FF0000"/>
                <w:lang w:eastAsia="en-GB"/>
              </w:rPr>
              <w:t>15 800 000 EUR</w:t>
            </w:r>
          </w:p>
        </w:tc>
      </w:tr>
      <w:tr w:rsidR="00F26BD5" w:rsidRPr="00E0193B" w14:paraId="1B80D33F" w14:textId="77777777" w:rsidTr="00DE6CE6">
        <w:tc>
          <w:tcPr>
            <w:tcW w:w="1177" w:type="pct"/>
            <w:vMerge/>
          </w:tcPr>
          <w:p w14:paraId="5D7F133B" w14:textId="77777777" w:rsidR="00F26BD5" w:rsidRPr="00E0193B" w:rsidRDefault="00F26BD5" w:rsidP="00F26BD5">
            <w:pPr>
              <w:spacing w:after="120" w:line="240" w:lineRule="auto"/>
            </w:pPr>
          </w:p>
        </w:tc>
        <w:tc>
          <w:tcPr>
            <w:tcW w:w="1803" w:type="pct"/>
          </w:tcPr>
          <w:p w14:paraId="37754F84" w14:textId="77777777" w:rsidR="00F26BD5" w:rsidRPr="00E0193B" w:rsidRDefault="00F26BD5" w:rsidP="00F26BD5">
            <w:pPr>
              <w:autoSpaceDE w:val="0"/>
              <w:autoSpaceDN w:val="0"/>
              <w:adjustRightInd w:val="0"/>
              <w:spacing w:after="120" w:line="240" w:lineRule="auto"/>
              <w:jc w:val="left"/>
              <w:rPr>
                <w:rFonts w:eastAsia="Calibri"/>
                <w:color w:val="000000"/>
                <w:lang w:val="en-AU" w:eastAsia="en-GB"/>
              </w:rPr>
            </w:pPr>
            <w:r w:rsidRPr="00E0193B">
              <w:rPr>
                <w:rFonts w:eastAsia="Calibri"/>
                <w:color w:val="000000"/>
                <w:lang w:val="en-AU" w:eastAsia="en-GB"/>
              </w:rPr>
              <w:t>A8L</w:t>
            </w:r>
          </w:p>
          <w:p w14:paraId="2A7850E6" w14:textId="0362B3A1" w:rsidR="00F26BD5" w:rsidRPr="00E0193B" w:rsidRDefault="00F26BD5" w:rsidP="00F26BD5">
            <w:pPr>
              <w:autoSpaceDE w:val="0"/>
              <w:autoSpaceDN w:val="0"/>
              <w:adjustRightInd w:val="0"/>
              <w:spacing w:after="120" w:line="240" w:lineRule="auto"/>
              <w:jc w:val="left"/>
              <w:rPr>
                <w:rFonts w:eastAsia="Calibri"/>
                <w:color w:val="000000"/>
                <w:lang w:val="en-US" w:eastAsia="en-GB"/>
              </w:rPr>
            </w:pPr>
            <w:r w:rsidRPr="00E0193B">
              <w:rPr>
                <w:rFonts w:eastAsia="Calibri"/>
                <w:color w:val="000000"/>
                <w:lang w:val="en-US" w:eastAsia="en-GB"/>
              </w:rPr>
              <w:t>Allocation for investmentsA2.6.1: 150 000 000 EUR</w:t>
            </w:r>
          </w:p>
          <w:p w14:paraId="64C44824" w14:textId="20F6D3B3" w:rsidR="00F26BD5" w:rsidRPr="00E0193B" w:rsidRDefault="00F26BD5" w:rsidP="00F26BD5">
            <w:pPr>
              <w:autoSpaceDE w:val="0"/>
              <w:autoSpaceDN w:val="0"/>
              <w:adjustRightInd w:val="0"/>
              <w:spacing w:after="120" w:line="240" w:lineRule="auto"/>
              <w:jc w:val="left"/>
              <w:rPr>
                <w:rFonts w:eastAsia="Calibri"/>
                <w:color w:val="000000"/>
                <w:lang w:val="en-US" w:eastAsia="en-GB"/>
              </w:rPr>
            </w:pPr>
            <w:r w:rsidRPr="00E0193B">
              <w:rPr>
                <w:rFonts w:eastAsia="Calibri"/>
                <w:color w:val="000000"/>
                <w:lang w:val="en-US" w:eastAsia="en-GB"/>
              </w:rPr>
              <w:t xml:space="preserve">Including for the indicator A8L: </w:t>
            </w:r>
          </w:p>
          <w:p w14:paraId="6F11A7DB" w14:textId="59107CF2" w:rsidR="00F26BD5" w:rsidRPr="00E0193B" w:rsidRDefault="00F26BD5" w:rsidP="00F26BD5">
            <w:pPr>
              <w:autoSpaceDE w:val="0"/>
              <w:autoSpaceDN w:val="0"/>
              <w:adjustRightInd w:val="0"/>
              <w:spacing w:after="120" w:line="240" w:lineRule="auto"/>
              <w:jc w:val="left"/>
              <w:rPr>
                <w:rFonts w:eastAsia="Calibri"/>
                <w:color w:val="000000"/>
                <w:lang w:eastAsia="en-GB"/>
              </w:rPr>
            </w:pPr>
            <w:r w:rsidRPr="00E0193B">
              <w:rPr>
                <w:rFonts w:eastAsia="Calibri"/>
                <w:color w:val="000000"/>
                <w:lang w:eastAsia="en-GB"/>
              </w:rPr>
              <w:t>41 800 000 EUR</w:t>
            </w:r>
          </w:p>
        </w:tc>
        <w:tc>
          <w:tcPr>
            <w:tcW w:w="2020" w:type="pct"/>
          </w:tcPr>
          <w:p w14:paraId="68963105" w14:textId="77777777" w:rsidR="00F26BD5" w:rsidRPr="00E0193B" w:rsidRDefault="00F26BD5" w:rsidP="00F26BD5">
            <w:pPr>
              <w:autoSpaceDE w:val="0"/>
              <w:autoSpaceDN w:val="0"/>
              <w:adjustRightInd w:val="0"/>
              <w:spacing w:after="120" w:line="240" w:lineRule="auto"/>
              <w:jc w:val="left"/>
              <w:rPr>
                <w:rFonts w:eastAsia="Calibri"/>
                <w:color w:val="000000"/>
                <w:lang w:val="en-AU" w:eastAsia="en-GB"/>
              </w:rPr>
            </w:pPr>
            <w:r w:rsidRPr="00E0193B">
              <w:rPr>
                <w:rFonts w:eastAsia="Calibri"/>
                <w:color w:val="000000"/>
                <w:lang w:val="en-AU" w:eastAsia="en-GB"/>
              </w:rPr>
              <w:t>A8L</w:t>
            </w:r>
          </w:p>
          <w:p w14:paraId="64E3763D" w14:textId="302BE2B0" w:rsidR="00F26BD5" w:rsidRPr="00E0193B" w:rsidRDefault="00F26BD5" w:rsidP="00F26BD5">
            <w:pPr>
              <w:autoSpaceDE w:val="0"/>
              <w:autoSpaceDN w:val="0"/>
              <w:adjustRightInd w:val="0"/>
              <w:spacing w:after="120" w:line="240" w:lineRule="auto"/>
              <w:jc w:val="left"/>
              <w:rPr>
                <w:rFonts w:eastAsia="Calibri"/>
                <w:color w:val="000000"/>
                <w:lang w:val="en-US" w:eastAsia="en-GB"/>
              </w:rPr>
            </w:pPr>
            <w:r w:rsidRPr="00E0193B">
              <w:rPr>
                <w:rFonts w:eastAsia="Calibri"/>
                <w:color w:val="000000"/>
                <w:lang w:val="en-US" w:eastAsia="en-GB"/>
              </w:rPr>
              <w:t xml:space="preserve">Allocation for investmentsA2.6.1: </w:t>
            </w:r>
            <w:r w:rsidRPr="00E0193B">
              <w:rPr>
                <w:rFonts w:eastAsia="Calibri"/>
                <w:color w:val="FF0000"/>
                <w:lang w:val="en-US" w:eastAsia="en-GB"/>
              </w:rPr>
              <w:t>124 000 000 EUR</w:t>
            </w:r>
          </w:p>
          <w:p w14:paraId="053BF1CF" w14:textId="7B185DDC" w:rsidR="00F26BD5" w:rsidRPr="00E0193B" w:rsidRDefault="00F26BD5" w:rsidP="00F26BD5">
            <w:pPr>
              <w:autoSpaceDE w:val="0"/>
              <w:autoSpaceDN w:val="0"/>
              <w:adjustRightInd w:val="0"/>
              <w:spacing w:after="120" w:line="240" w:lineRule="auto"/>
              <w:jc w:val="left"/>
              <w:rPr>
                <w:rFonts w:eastAsia="Calibri"/>
                <w:color w:val="000000"/>
                <w:lang w:val="en-US" w:eastAsia="en-GB"/>
              </w:rPr>
            </w:pPr>
            <w:r w:rsidRPr="00E0193B">
              <w:rPr>
                <w:rFonts w:eastAsia="Calibri"/>
                <w:color w:val="000000"/>
                <w:lang w:val="en-US" w:eastAsia="en-GB"/>
              </w:rPr>
              <w:t xml:space="preserve">Including for the indicator A8L: </w:t>
            </w:r>
          </w:p>
          <w:p w14:paraId="13616C34" w14:textId="67B83809" w:rsidR="00F26BD5" w:rsidRPr="00E0193B" w:rsidRDefault="00F26BD5" w:rsidP="00F26BD5">
            <w:pPr>
              <w:autoSpaceDE w:val="0"/>
              <w:autoSpaceDN w:val="0"/>
              <w:adjustRightInd w:val="0"/>
              <w:spacing w:after="120" w:line="240" w:lineRule="auto"/>
              <w:jc w:val="left"/>
              <w:rPr>
                <w:rFonts w:eastAsia="Calibri"/>
                <w:color w:val="000000"/>
                <w:lang w:eastAsia="en-GB"/>
              </w:rPr>
            </w:pPr>
            <w:r w:rsidRPr="00E0193B">
              <w:rPr>
                <w:rFonts w:eastAsia="Calibri"/>
                <w:color w:val="FF0000"/>
                <w:lang w:eastAsia="en-GB"/>
              </w:rPr>
              <w:t>15 800 000 EUR</w:t>
            </w:r>
          </w:p>
        </w:tc>
      </w:tr>
      <w:tr w:rsidR="00D94758" w:rsidRPr="00E0193B" w14:paraId="50BC07C0" w14:textId="77777777" w:rsidTr="00DE6CE6">
        <w:tc>
          <w:tcPr>
            <w:tcW w:w="1177" w:type="pct"/>
          </w:tcPr>
          <w:p w14:paraId="6199DC74" w14:textId="77777777" w:rsidR="00D94758" w:rsidRPr="00E0193B" w:rsidRDefault="00D94758" w:rsidP="00D94758">
            <w:pPr>
              <w:spacing w:after="120" w:line="240" w:lineRule="auto"/>
            </w:pPr>
            <w:r w:rsidRPr="00E0193B">
              <w:t>Uzasadnienie</w:t>
            </w:r>
          </w:p>
        </w:tc>
        <w:tc>
          <w:tcPr>
            <w:tcW w:w="3823" w:type="pct"/>
            <w:gridSpan w:val="2"/>
          </w:tcPr>
          <w:p w14:paraId="6C7AC069" w14:textId="77777777" w:rsidR="00D94758" w:rsidRPr="00E0193B" w:rsidRDefault="00D94758" w:rsidP="00D94758">
            <w:pPr>
              <w:autoSpaceDE w:val="0"/>
              <w:autoSpaceDN w:val="0"/>
              <w:spacing w:after="0" w:line="240" w:lineRule="auto"/>
              <w:rPr>
                <w:rFonts w:eastAsia="Calibri"/>
                <w:color w:val="000000"/>
                <w:lang w:eastAsia="en-GB"/>
              </w:rPr>
            </w:pPr>
            <w:r w:rsidRPr="00E0193B">
              <w:rPr>
                <w:rFonts w:eastAsia="Calibri"/>
                <w:color w:val="000000"/>
                <w:lang w:eastAsia="en-GB"/>
              </w:rPr>
              <w:t xml:space="preserve">Kwota 15,8 mln euro jest wystarczająca na zrealizowanie wskaźnika </w:t>
            </w:r>
            <w:r w:rsidRPr="00E0193B">
              <w:rPr>
                <w:rFonts w:eastAsia="Calibri"/>
                <w:b/>
                <w:bCs/>
                <w:color w:val="000000"/>
                <w:lang w:eastAsia="en-GB"/>
              </w:rPr>
              <w:t>A8L</w:t>
            </w:r>
            <w:r w:rsidRPr="00E0193B">
              <w:rPr>
                <w:rFonts w:eastAsia="Calibri"/>
                <w:color w:val="000000"/>
                <w:lang w:eastAsia="en-GB"/>
              </w:rPr>
              <w:t xml:space="preserve">  </w:t>
            </w:r>
            <w:r w:rsidRPr="00E0193B">
              <w:rPr>
                <w:rFonts w:eastAsia="Calibri"/>
                <w:i/>
                <w:iCs/>
                <w:color w:val="000000"/>
                <w:lang w:eastAsia="zh-CN"/>
              </w:rPr>
              <w:t>Rozwój niezbędnej infrastruktury: Narodowy System Informacji Satelitarnej, który będzie świadczyć usługi monitoringu z wykorzystaniem danych z satelitarnych obserwacji</w:t>
            </w:r>
            <w:r w:rsidRPr="00E0193B">
              <w:rPr>
                <w:rFonts w:eastAsia="Calibri"/>
                <w:color w:val="000000"/>
                <w:lang w:eastAsia="zh-CN"/>
              </w:rPr>
              <w:t xml:space="preserve"> </w:t>
            </w:r>
            <w:r w:rsidRPr="00E0193B">
              <w:rPr>
                <w:rFonts w:eastAsia="Calibri"/>
                <w:i/>
                <w:iCs/>
                <w:color w:val="000000"/>
                <w:lang w:eastAsia="zh-CN"/>
              </w:rPr>
              <w:t>Ziemi (EO)”</w:t>
            </w:r>
            <w:r w:rsidRPr="00E0193B">
              <w:rPr>
                <w:rFonts w:eastAsia="Calibri"/>
                <w:color w:val="000000"/>
                <w:lang w:eastAsia="zh-CN"/>
              </w:rPr>
              <w:t>.</w:t>
            </w:r>
            <w:r w:rsidRPr="00E0193B">
              <w:rPr>
                <w:rFonts w:eastAsia="Calibri"/>
                <w:color w:val="000000"/>
                <w:lang w:eastAsia="en-GB"/>
              </w:rPr>
              <w:t xml:space="preserve"> Zgodnie z opisem zawartym w CID realizacja wskaźnika polega na „</w:t>
            </w:r>
            <w:r w:rsidRPr="00E0193B">
              <w:rPr>
                <w:rFonts w:eastAsia="Calibri"/>
                <w:i/>
                <w:iCs/>
                <w:color w:val="000000"/>
                <w:lang w:eastAsia="en-GB"/>
              </w:rPr>
              <w:t xml:space="preserve">uruchomieniu wstępnych usług we współpracy z użytkownikami </w:t>
            </w:r>
            <w:r w:rsidRPr="00E0193B">
              <w:rPr>
                <w:rFonts w:eastAsia="Calibri"/>
                <w:b/>
                <w:bCs/>
                <w:i/>
                <w:iCs/>
                <w:color w:val="000000"/>
                <w:lang w:eastAsia="en-GB"/>
              </w:rPr>
              <w:t>w dwóch obszarach zastosowań</w:t>
            </w:r>
            <w:r w:rsidRPr="00E0193B">
              <w:rPr>
                <w:rFonts w:eastAsia="Calibri"/>
                <w:i/>
                <w:iCs/>
                <w:color w:val="000000"/>
                <w:lang w:eastAsia="en-GB"/>
              </w:rPr>
              <w:t xml:space="preserve"> Elektronicznego Przechwytywania Danych (EDC) o dużym znaczeniu dla gospodarki i bezpieczeństwa Polski, wybranych spośród następujących obszarów: gospodarka przestrzenna, zarządzanie kryzysowe, rolnictwo i leśnictwo, gospodarka wodna, monitoring środowisko bałtyckie”</w:t>
            </w:r>
            <w:r w:rsidRPr="00E0193B">
              <w:rPr>
                <w:rFonts w:eastAsia="Calibri"/>
                <w:color w:val="000000"/>
                <w:lang w:eastAsia="en-GB"/>
              </w:rPr>
              <w:t>.</w:t>
            </w:r>
          </w:p>
          <w:p w14:paraId="66AB3278" w14:textId="20A13138" w:rsidR="00CF7CC1" w:rsidRPr="00E0193B" w:rsidRDefault="00CF7CC1" w:rsidP="00E502F6">
            <w:pPr>
              <w:autoSpaceDE w:val="0"/>
              <w:autoSpaceDN w:val="0"/>
              <w:adjustRightInd w:val="0"/>
              <w:spacing w:after="0" w:line="240" w:lineRule="auto"/>
            </w:pPr>
            <w:r w:rsidRPr="00E0193B">
              <w:t>Zakłada się spełnienie tego warunku dla dwóch wybranych zestawów danych (jak planowano) – monitoringów: rolnictwo i zagospodarowanie przestrzeni oraz rozpoczęcie prac nad kolejnymi np. dla terenów zadrzewionych i włączenie danych satelitarnych w proces identyfikacji i badania skutków zmian klimatycznych i działań antropogenicznych na środowisko i gospodarkę.</w:t>
            </w:r>
          </w:p>
        </w:tc>
      </w:tr>
      <w:tr w:rsidR="00D94758" w:rsidRPr="00E0193B" w14:paraId="73FBB746" w14:textId="77777777" w:rsidTr="00DE6CE6">
        <w:tc>
          <w:tcPr>
            <w:tcW w:w="1177" w:type="pct"/>
          </w:tcPr>
          <w:p w14:paraId="588228A4" w14:textId="77777777" w:rsidR="00D94758" w:rsidRPr="00E0193B" w:rsidRDefault="00D94758" w:rsidP="00D94758">
            <w:pPr>
              <w:spacing w:after="120" w:line="240" w:lineRule="auto"/>
            </w:pPr>
            <w:r w:rsidRPr="00E0193B">
              <w:t>Szacowany koszt</w:t>
            </w:r>
          </w:p>
        </w:tc>
        <w:tc>
          <w:tcPr>
            <w:tcW w:w="3823" w:type="pct"/>
            <w:gridSpan w:val="2"/>
          </w:tcPr>
          <w:p w14:paraId="145DF7E5" w14:textId="77777777" w:rsidR="00D94758" w:rsidRPr="00E0193B" w:rsidRDefault="00D94758" w:rsidP="00D94758">
            <w:pPr>
              <w:spacing w:after="120" w:line="240" w:lineRule="auto"/>
            </w:pPr>
            <w:r w:rsidRPr="00E0193B">
              <w:t>Obniżenie kwoty finansowania z 150 mln EUR na 124 mln EUR (obniżenie o 26 mln EUR)</w:t>
            </w:r>
          </w:p>
        </w:tc>
      </w:tr>
      <w:tr w:rsidR="00D94758" w:rsidRPr="00E0193B" w14:paraId="54693AF8" w14:textId="77777777" w:rsidTr="00DE6CE6">
        <w:tc>
          <w:tcPr>
            <w:tcW w:w="1177" w:type="pct"/>
          </w:tcPr>
          <w:p w14:paraId="1AB2E348" w14:textId="77777777" w:rsidR="00D94758" w:rsidRPr="00E0193B" w:rsidRDefault="00D94758" w:rsidP="00D94758">
            <w:pPr>
              <w:spacing w:after="120" w:line="240" w:lineRule="auto"/>
            </w:pPr>
            <w:r w:rsidRPr="00E0193B">
              <w:t xml:space="preserve">Cyfrowy i klimatyczny tagging </w:t>
            </w:r>
          </w:p>
        </w:tc>
        <w:tc>
          <w:tcPr>
            <w:tcW w:w="3823" w:type="pct"/>
            <w:gridSpan w:val="2"/>
          </w:tcPr>
          <w:p w14:paraId="5BC5F588" w14:textId="77777777" w:rsidR="00D94758" w:rsidRPr="00E0193B" w:rsidRDefault="00D94758" w:rsidP="00D94758">
            <w:pPr>
              <w:spacing w:after="120" w:line="240" w:lineRule="auto"/>
            </w:pPr>
            <w:r w:rsidRPr="00E0193B">
              <w:t xml:space="preserve">Zmiana ma wpływ na obniżenie taggingu cyfrowego (o 26 mln EUR) </w:t>
            </w:r>
          </w:p>
        </w:tc>
      </w:tr>
      <w:tr w:rsidR="00D94758" w:rsidRPr="00E0193B" w14:paraId="17284D63" w14:textId="77777777" w:rsidTr="00DE6CE6">
        <w:tc>
          <w:tcPr>
            <w:tcW w:w="1177" w:type="pct"/>
            <w:tcBorders>
              <w:bottom w:val="single" w:sz="4" w:space="0" w:color="auto"/>
            </w:tcBorders>
          </w:tcPr>
          <w:p w14:paraId="640830C1" w14:textId="77777777" w:rsidR="00D94758" w:rsidRPr="00E0193B" w:rsidRDefault="00D94758" w:rsidP="00D94758">
            <w:pPr>
              <w:spacing w:after="120" w:line="240" w:lineRule="auto"/>
            </w:pPr>
            <w:r w:rsidRPr="00E0193B">
              <w:t xml:space="preserve">Zasada DNSH </w:t>
            </w:r>
          </w:p>
        </w:tc>
        <w:tc>
          <w:tcPr>
            <w:tcW w:w="3823" w:type="pct"/>
            <w:gridSpan w:val="2"/>
            <w:tcBorders>
              <w:bottom w:val="single" w:sz="4" w:space="0" w:color="auto"/>
            </w:tcBorders>
          </w:tcPr>
          <w:p w14:paraId="29435533" w14:textId="77777777" w:rsidR="00D94758" w:rsidRPr="00E0193B" w:rsidRDefault="00D94758" w:rsidP="00D94758">
            <w:pPr>
              <w:spacing w:after="120" w:line="240" w:lineRule="auto"/>
            </w:pPr>
            <w:r w:rsidRPr="00E0193B">
              <w:t>Zmiana nie ma wpływu na DNSH.</w:t>
            </w:r>
          </w:p>
        </w:tc>
      </w:tr>
      <w:tr w:rsidR="00D94758" w:rsidRPr="00E0193B" w14:paraId="3F6757C6" w14:textId="77777777" w:rsidTr="00DE6CE6">
        <w:tc>
          <w:tcPr>
            <w:tcW w:w="1177" w:type="pct"/>
            <w:tcBorders>
              <w:bottom w:val="single" w:sz="4" w:space="0" w:color="auto"/>
            </w:tcBorders>
          </w:tcPr>
          <w:p w14:paraId="002D89DD" w14:textId="77777777" w:rsidR="00D94758" w:rsidRPr="00E0193B" w:rsidRDefault="00D94758" w:rsidP="00D94758">
            <w:pPr>
              <w:spacing w:after="120" w:line="240" w:lineRule="auto"/>
            </w:pPr>
            <w:r w:rsidRPr="00E0193B">
              <w:t xml:space="preserve">Pomoc publiczna </w:t>
            </w:r>
          </w:p>
        </w:tc>
        <w:tc>
          <w:tcPr>
            <w:tcW w:w="3823" w:type="pct"/>
            <w:gridSpan w:val="2"/>
            <w:tcBorders>
              <w:bottom w:val="single" w:sz="4" w:space="0" w:color="auto"/>
            </w:tcBorders>
          </w:tcPr>
          <w:p w14:paraId="6E0E8DEB" w14:textId="77777777" w:rsidR="00D94758" w:rsidRPr="00E0193B" w:rsidRDefault="00D94758" w:rsidP="00D94758">
            <w:pPr>
              <w:spacing w:after="120" w:line="240" w:lineRule="auto"/>
            </w:pPr>
            <w:r w:rsidRPr="00E0193B">
              <w:t xml:space="preserve">Nie dotyczy </w:t>
            </w:r>
          </w:p>
        </w:tc>
      </w:tr>
    </w:tbl>
    <w:p w14:paraId="7A9F2244" w14:textId="77777777" w:rsidR="00D94758" w:rsidRPr="00E0193B" w:rsidRDefault="00D94758" w:rsidP="00D94758">
      <w:pPr>
        <w:spacing w:line="240" w:lineRule="auto"/>
        <w:jc w:val="left"/>
        <w:rPr>
          <w:rFonts w:eastAsia="Calibri"/>
        </w:rPr>
      </w:pPr>
    </w:p>
    <w:p w14:paraId="45F274A7" w14:textId="77777777" w:rsidR="00D94758" w:rsidRPr="00E0193B" w:rsidRDefault="00D94758" w:rsidP="00D94758">
      <w:pPr>
        <w:shd w:val="clear" w:color="auto" w:fill="FFFFFF"/>
        <w:autoSpaceDE w:val="0"/>
        <w:autoSpaceDN w:val="0"/>
        <w:adjustRightInd w:val="0"/>
        <w:spacing w:after="120" w:line="240" w:lineRule="auto"/>
        <w:jc w:val="left"/>
        <w:rPr>
          <w:rFonts w:eastAsia="Calibri"/>
          <w:b/>
          <w:bCs/>
        </w:rPr>
      </w:pPr>
      <w:r w:rsidRPr="00E0193B">
        <w:rPr>
          <w:rFonts w:eastAsia="Calibri"/>
          <w:b/>
          <w:bCs/>
        </w:rPr>
        <w:t>Komponent B - Zielona energia i zmniejszenie energochłonności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26"/>
        <w:gridCol w:w="3448"/>
        <w:gridCol w:w="3642"/>
      </w:tblGrid>
      <w:tr w:rsidR="00D94758" w:rsidRPr="00E0193B" w14:paraId="16AAF9B2" w14:textId="77777777" w:rsidTr="00D94758">
        <w:tc>
          <w:tcPr>
            <w:tcW w:w="1068" w:type="pct"/>
            <w:shd w:val="clear" w:color="auto" w:fill="FFFFFF"/>
          </w:tcPr>
          <w:p w14:paraId="0171FE84" w14:textId="77777777" w:rsidR="00D94758" w:rsidRPr="00E0193B" w:rsidRDefault="00D94758" w:rsidP="00D94758">
            <w:pPr>
              <w:spacing w:after="120" w:line="240" w:lineRule="auto"/>
              <w:jc w:val="left"/>
              <w:rPr>
                <w:rFonts w:eastAsia="Calibri"/>
                <w:b/>
                <w:bCs/>
              </w:rPr>
            </w:pPr>
            <w:r w:rsidRPr="00E0193B">
              <w:rPr>
                <w:rFonts w:eastAsia="Calibri"/>
                <w:b/>
                <w:bCs/>
              </w:rPr>
              <w:t>Numer inwestycji</w:t>
            </w:r>
          </w:p>
        </w:tc>
        <w:tc>
          <w:tcPr>
            <w:tcW w:w="3932" w:type="pct"/>
            <w:gridSpan w:val="2"/>
            <w:shd w:val="clear" w:color="auto" w:fill="FFFFFF"/>
          </w:tcPr>
          <w:p w14:paraId="0D3DCB3F" w14:textId="77777777" w:rsidR="00D94758" w:rsidRPr="00E0193B" w:rsidRDefault="00D94758" w:rsidP="00D94758">
            <w:pPr>
              <w:spacing w:after="120"/>
              <w:contextualSpacing/>
              <w:rPr>
                <w:b/>
                <w:bCs/>
              </w:rPr>
            </w:pPr>
            <w:r w:rsidRPr="00E0193B">
              <w:rPr>
                <w:b/>
                <w:bCs/>
              </w:rPr>
              <w:t>B3.2.1.</w:t>
            </w:r>
          </w:p>
        </w:tc>
      </w:tr>
      <w:tr w:rsidR="00D94758" w:rsidRPr="00E0193B" w14:paraId="00D92F19" w14:textId="77777777" w:rsidTr="00D94758">
        <w:tc>
          <w:tcPr>
            <w:tcW w:w="1068" w:type="pct"/>
            <w:shd w:val="clear" w:color="auto" w:fill="FFFFFF"/>
          </w:tcPr>
          <w:p w14:paraId="3839DD6C" w14:textId="77777777" w:rsidR="00D94758" w:rsidRPr="00E0193B" w:rsidRDefault="00D94758" w:rsidP="00D94758">
            <w:pPr>
              <w:spacing w:after="120"/>
              <w:ind w:left="67"/>
              <w:contextualSpacing/>
              <w:rPr>
                <w:b/>
                <w:bCs/>
              </w:rPr>
            </w:pPr>
            <w:r w:rsidRPr="00E0193B">
              <w:rPr>
                <w:b/>
                <w:bCs/>
              </w:rPr>
              <w:t xml:space="preserve">Nazwa inwestycji </w:t>
            </w:r>
          </w:p>
        </w:tc>
        <w:tc>
          <w:tcPr>
            <w:tcW w:w="3932" w:type="pct"/>
            <w:gridSpan w:val="2"/>
            <w:shd w:val="clear" w:color="auto" w:fill="FFFFFF"/>
          </w:tcPr>
          <w:p w14:paraId="1EF03976" w14:textId="77777777" w:rsidR="00D94758" w:rsidRPr="00E0193B" w:rsidRDefault="00D94758" w:rsidP="00D94758">
            <w:pPr>
              <w:spacing w:after="120"/>
              <w:ind w:hanging="24"/>
              <w:contextualSpacing/>
              <w:rPr>
                <w:b/>
                <w:bCs/>
              </w:rPr>
            </w:pPr>
            <w:r w:rsidRPr="00E0193B">
              <w:rPr>
                <w:b/>
                <w:bCs/>
              </w:rPr>
              <w:t>Inwestycje w neutralizację zagrożeń oraz odnowę wielkoobszarowych terenów zdegradowanych i Morza Bałtyckiego</w:t>
            </w:r>
          </w:p>
        </w:tc>
      </w:tr>
      <w:tr w:rsidR="00D94758" w:rsidRPr="00E0193B" w14:paraId="67AECC18" w14:textId="77777777" w:rsidTr="00D94758">
        <w:tc>
          <w:tcPr>
            <w:tcW w:w="1068" w:type="pct"/>
            <w:shd w:val="clear" w:color="auto" w:fill="FFFFFF"/>
          </w:tcPr>
          <w:p w14:paraId="26F093A5" w14:textId="77777777" w:rsidR="00D94758" w:rsidRPr="00E0193B" w:rsidRDefault="00D94758" w:rsidP="00D94758">
            <w:pPr>
              <w:spacing w:after="120"/>
              <w:ind w:left="67"/>
              <w:contextualSpacing/>
            </w:pPr>
            <w:r w:rsidRPr="00E0193B">
              <w:t>Rodzaj wprowadzonej zmiany w odniesieniu do CID</w:t>
            </w:r>
          </w:p>
        </w:tc>
        <w:tc>
          <w:tcPr>
            <w:tcW w:w="3932" w:type="pct"/>
            <w:gridSpan w:val="2"/>
            <w:shd w:val="clear" w:color="auto" w:fill="FFFFFF"/>
          </w:tcPr>
          <w:p w14:paraId="269ECB8A" w14:textId="77777777" w:rsidR="00D94758" w:rsidRPr="00E0193B" w:rsidRDefault="00D94758" w:rsidP="00D94758">
            <w:pPr>
              <w:spacing w:after="120"/>
              <w:contextualSpacing/>
            </w:pPr>
            <w:r w:rsidRPr="00E0193B">
              <w:t xml:space="preserve">Przesunięcie terminu realizacji kamienia milowego B17L </w:t>
            </w:r>
          </w:p>
          <w:p w14:paraId="765CF84E" w14:textId="34F33344" w:rsidR="0099041F" w:rsidRPr="00E0193B" w:rsidRDefault="0099041F" w:rsidP="00955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p>
        </w:tc>
      </w:tr>
      <w:tr w:rsidR="00D94758" w:rsidRPr="00E0193B" w14:paraId="5EBFFBB1" w14:textId="77777777" w:rsidTr="00D94758">
        <w:tc>
          <w:tcPr>
            <w:tcW w:w="1068" w:type="pct"/>
            <w:shd w:val="clear" w:color="auto" w:fill="FFFFFF"/>
          </w:tcPr>
          <w:p w14:paraId="37D8B1C6" w14:textId="77777777" w:rsidR="00D94758" w:rsidRPr="00E0193B" w:rsidRDefault="00D94758" w:rsidP="00D94758">
            <w:pPr>
              <w:spacing w:after="120"/>
              <w:ind w:left="67"/>
              <w:contextualSpacing/>
            </w:pPr>
            <w:r w:rsidRPr="00E0193B">
              <w:t>Podstawa prawna zmiany</w:t>
            </w:r>
          </w:p>
          <w:p w14:paraId="0F28D8D7" w14:textId="77777777" w:rsidR="00D94758" w:rsidRPr="00E0193B" w:rsidRDefault="00D94758" w:rsidP="00D94758">
            <w:pPr>
              <w:spacing w:after="120"/>
              <w:ind w:left="720"/>
              <w:contextualSpacing/>
            </w:pPr>
          </w:p>
        </w:tc>
        <w:tc>
          <w:tcPr>
            <w:tcW w:w="3932" w:type="pct"/>
            <w:gridSpan w:val="2"/>
            <w:shd w:val="clear" w:color="auto" w:fill="FFFFFF"/>
          </w:tcPr>
          <w:p w14:paraId="2D1376C4" w14:textId="77777777" w:rsidR="00D94758" w:rsidRPr="00E0193B" w:rsidRDefault="00D94758" w:rsidP="00D94758">
            <w:pPr>
              <w:spacing w:after="120" w:line="240" w:lineRule="auto"/>
              <w:jc w:val="left"/>
              <w:rPr>
                <w:rFonts w:eastAsia="Calibri"/>
              </w:rPr>
            </w:pPr>
            <w:r w:rsidRPr="00E0193B">
              <w:t xml:space="preserve">art. 21 rozporządzenia Parlamentu Europejskiego i Rady (UE) 2021/241 z dnia 12 lutego 2021 r. ustanawiającego Instrument na rzecz Odbudowy i Zwiększania Odporności </w:t>
            </w:r>
          </w:p>
        </w:tc>
      </w:tr>
      <w:tr w:rsidR="00D94758" w:rsidRPr="00E0193B" w14:paraId="3FF979FF" w14:textId="77777777" w:rsidTr="00D94758">
        <w:tc>
          <w:tcPr>
            <w:tcW w:w="1068" w:type="pct"/>
            <w:shd w:val="clear" w:color="auto" w:fill="D0CECE"/>
          </w:tcPr>
          <w:p w14:paraId="0627A1E0" w14:textId="77777777" w:rsidR="00D94758" w:rsidRPr="00E0193B" w:rsidRDefault="00D94758" w:rsidP="00D94758">
            <w:pPr>
              <w:spacing w:after="120" w:line="240" w:lineRule="auto"/>
              <w:jc w:val="left"/>
              <w:rPr>
                <w:rFonts w:eastAsia="Calibri"/>
              </w:rPr>
            </w:pPr>
            <w:r w:rsidRPr="00E0193B">
              <w:rPr>
                <w:rFonts w:eastAsia="Calibri"/>
              </w:rPr>
              <w:t>Modyfikowany element</w:t>
            </w:r>
          </w:p>
        </w:tc>
        <w:tc>
          <w:tcPr>
            <w:tcW w:w="1912" w:type="pct"/>
            <w:shd w:val="clear" w:color="auto" w:fill="D0CECE"/>
          </w:tcPr>
          <w:p w14:paraId="3979C96B" w14:textId="77777777" w:rsidR="00D94758" w:rsidRPr="00E0193B" w:rsidRDefault="00D94758" w:rsidP="00D94758">
            <w:pPr>
              <w:spacing w:after="120" w:line="240" w:lineRule="auto"/>
              <w:jc w:val="center"/>
              <w:rPr>
                <w:rFonts w:eastAsia="Calibri"/>
              </w:rPr>
            </w:pPr>
            <w:r w:rsidRPr="00E0193B">
              <w:rPr>
                <w:rFonts w:eastAsia="Calibri"/>
              </w:rPr>
              <w:t>Wersja aktualna</w:t>
            </w:r>
          </w:p>
        </w:tc>
        <w:tc>
          <w:tcPr>
            <w:tcW w:w="2020" w:type="pct"/>
            <w:shd w:val="clear" w:color="auto" w:fill="D0CECE"/>
          </w:tcPr>
          <w:p w14:paraId="1030ECCF" w14:textId="77777777" w:rsidR="00D94758" w:rsidRPr="00E0193B" w:rsidRDefault="00D94758" w:rsidP="00D94758">
            <w:pPr>
              <w:spacing w:after="120" w:line="240" w:lineRule="auto"/>
              <w:jc w:val="center"/>
              <w:rPr>
                <w:rFonts w:eastAsia="Calibri"/>
              </w:rPr>
            </w:pPr>
            <w:r w:rsidRPr="00E0193B">
              <w:rPr>
                <w:rFonts w:eastAsia="Calibri"/>
              </w:rPr>
              <w:t>Wersja zmieniona</w:t>
            </w:r>
          </w:p>
        </w:tc>
      </w:tr>
      <w:tr w:rsidR="00D94758" w:rsidRPr="00E0193B" w14:paraId="369E481C" w14:textId="77777777" w:rsidTr="00D94758">
        <w:trPr>
          <w:trHeight w:val="977"/>
        </w:trPr>
        <w:tc>
          <w:tcPr>
            <w:tcW w:w="1068" w:type="pct"/>
            <w:shd w:val="clear" w:color="auto" w:fill="FFFFFF"/>
          </w:tcPr>
          <w:p w14:paraId="60C9F956" w14:textId="77777777" w:rsidR="00D94758" w:rsidRPr="00E0193B" w:rsidRDefault="00D94758" w:rsidP="00D94758">
            <w:pPr>
              <w:spacing w:after="120" w:line="240" w:lineRule="auto"/>
              <w:jc w:val="left"/>
              <w:rPr>
                <w:rFonts w:eastAsia="Calibri"/>
              </w:rPr>
            </w:pPr>
            <w:r w:rsidRPr="00E0193B">
              <w:rPr>
                <w:rFonts w:eastAsia="Calibri"/>
              </w:rPr>
              <w:t>Opis kamienia milowego lub wskaźnika.</w:t>
            </w:r>
          </w:p>
        </w:tc>
        <w:tc>
          <w:tcPr>
            <w:tcW w:w="1912" w:type="pct"/>
            <w:shd w:val="clear" w:color="auto" w:fill="FFFFFF"/>
          </w:tcPr>
          <w:p w14:paraId="3F6F3FF1" w14:textId="77777777" w:rsidR="00D94758" w:rsidRPr="00E0193B" w:rsidRDefault="00D94758" w:rsidP="00D94758">
            <w:pPr>
              <w:spacing w:after="120" w:line="240" w:lineRule="auto"/>
              <w:jc w:val="left"/>
              <w:rPr>
                <w:rFonts w:eastAsia="Calibri"/>
                <w:b/>
                <w:bCs/>
              </w:rPr>
            </w:pPr>
            <w:r w:rsidRPr="00E0193B">
              <w:rPr>
                <w:rFonts w:eastAsia="Calibri"/>
              </w:rPr>
              <w:t xml:space="preserve">B17L </w:t>
            </w:r>
            <w:r w:rsidRPr="00E0193B">
              <w:rPr>
                <w:rFonts w:eastAsia="Calibri"/>
              </w:rPr>
              <w:br/>
              <w:t>Termin realizacji: IV kwartał 2024 r.</w:t>
            </w:r>
          </w:p>
          <w:p w14:paraId="29F4E961" w14:textId="77777777" w:rsidR="00D94758" w:rsidRPr="00E0193B" w:rsidRDefault="00D94758" w:rsidP="00D94758">
            <w:pPr>
              <w:spacing w:after="120" w:line="240" w:lineRule="auto"/>
              <w:jc w:val="left"/>
              <w:rPr>
                <w:rFonts w:eastAsia="Calibri"/>
                <w:lang w:val="en-GB"/>
              </w:rPr>
            </w:pPr>
            <w:r w:rsidRPr="00E0193B">
              <w:rPr>
                <w:rFonts w:eastAsia="Calibri"/>
                <w:color w:val="000000"/>
                <w:lang w:val="en-GB" w:eastAsia="en-GB"/>
              </w:rPr>
              <w:t xml:space="preserve">Q4 2024 </w:t>
            </w:r>
          </w:p>
        </w:tc>
        <w:tc>
          <w:tcPr>
            <w:tcW w:w="2020" w:type="pct"/>
            <w:shd w:val="clear" w:color="auto" w:fill="FFFFFF"/>
          </w:tcPr>
          <w:p w14:paraId="33A9E623" w14:textId="77777777" w:rsidR="00D94758" w:rsidRPr="00E0193B" w:rsidRDefault="00D94758" w:rsidP="00D94758">
            <w:pPr>
              <w:spacing w:after="120" w:line="240" w:lineRule="auto"/>
              <w:jc w:val="left"/>
              <w:rPr>
                <w:rFonts w:eastAsia="Calibri"/>
                <w:b/>
                <w:bCs/>
                <w:color w:val="FF0000"/>
              </w:rPr>
            </w:pPr>
            <w:r w:rsidRPr="00E0193B">
              <w:rPr>
                <w:rFonts w:eastAsia="Calibri"/>
              </w:rPr>
              <w:t xml:space="preserve">B17L </w:t>
            </w:r>
            <w:r w:rsidRPr="00E0193B">
              <w:rPr>
                <w:rFonts w:eastAsia="Calibri"/>
              </w:rPr>
              <w:br/>
              <w:t>Termin realizacji</w:t>
            </w:r>
            <w:r w:rsidRPr="00E0193B">
              <w:rPr>
                <w:rFonts w:eastAsia="Calibri"/>
                <w:color w:val="FF0000"/>
              </w:rPr>
              <w:t>: IV kwartał 2025 r.</w:t>
            </w:r>
          </w:p>
          <w:p w14:paraId="17EE9386" w14:textId="77777777" w:rsidR="00D94758" w:rsidRPr="00E0193B" w:rsidRDefault="00D94758" w:rsidP="00D94758">
            <w:pPr>
              <w:spacing w:after="120" w:line="240" w:lineRule="auto"/>
              <w:jc w:val="left"/>
              <w:rPr>
                <w:rFonts w:eastAsia="Calibri"/>
                <w:b/>
                <w:bCs/>
                <w:lang w:val="en-GB"/>
              </w:rPr>
            </w:pPr>
            <w:r w:rsidRPr="00E0193B">
              <w:rPr>
                <w:rFonts w:eastAsia="Calibri"/>
                <w:color w:val="FF0000"/>
                <w:lang w:val="en-GB" w:eastAsia="en-GB"/>
              </w:rPr>
              <w:t>Q4 2025</w:t>
            </w:r>
          </w:p>
        </w:tc>
      </w:tr>
      <w:tr w:rsidR="00D94758" w:rsidRPr="00E0193B" w14:paraId="2D2595D4" w14:textId="77777777" w:rsidTr="00D94758">
        <w:tc>
          <w:tcPr>
            <w:tcW w:w="1068" w:type="pct"/>
            <w:shd w:val="clear" w:color="auto" w:fill="FFFFFF"/>
          </w:tcPr>
          <w:p w14:paraId="71411823" w14:textId="77777777" w:rsidR="00D94758" w:rsidRPr="00E0193B" w:rsidRDefault="00D94758" w:rsidP="00D94758">
            <w:pPr>
              <w:spacing w:after="120" w:line="240" w:lineRule="auto"/>
              <w:jc w:val="left"/>
              <w:rPr>
                <w:rFonts w:eastAsia="Calibri"/>
              </w:rPr>
            </w:pPr>
            <w:r w:rsidRPr="00E0193B">
              <w:rPr>
                <w:rFonts w:eastAsia="Calibri"/>
              </w:rPr>
              <w:t>Uzasadnienie</w:t>
            </w:r>
          </w:p>
          <w:p w14:paraId="6947D8DE" w14:textId="77777777" w:rsidR="00D94758" w:rsidRPr="00E0193B" w:rsidRDefault="00D94758" w:rsidP="00D94758">
            <w:pPr>
              <w:spacing w:after="120" w:line="240" w:lineRule="auto"/>
              <w:jc w:val="left"/>
              <w:rPr>
                <w:rFonts w:eastAsia="Calibri"/>
              </w:rPr>
            </w:pPr>
          </w:p>
        </w:tc>
        <w:tc>
          <w:tcPr>
            <w:tcW w:w="3932" w:type="pct"/>
            <w:gridSpan w:val="2"/>
            <w:shd w:val="clear" w:color="auto" w:fill="FFFFFF"/>
          </w:tcPr>
          <w:p w14:paraId="0457BB0E" w14:textId="77777777" w:rsidR="00D94758" w:rsidRPr="00E0193B" w:rsidRDefault="00D94758" w:rsidP="00D94758">
            <w:pPr>
              <w:spacing w:after="120" w:line="240" w:lineRule="auto"/>
              <w:jc w:val="left"/>
              <w:rPr>
                <w:rFonts w:eastAsia="Calibri"/>
              </w:rPr>
            </w:pPr>
            <w:r w:rsidRPr="00E0193B">
              <w:rPr>
                <w:rFonts w:eastAsia="Calibri"/>
              </w:rPr>
              <w:t xml:space="preserve">Art. 6 ust. 1 ustawy o wielkoobszarowych terenach zdegradowanych (WTZ) obliguje właściwy organ do wykonania kompleksowej oceny stanu środowiska na WTZ oraz opracowania projektu planu poprawy stanu środowiska na WTZ dopiero po objęciu tego przedsięwzięcia wskazanym dofinansowaniem, m.in. z KPO. </w:t>
            </w:r>
          </w:p>
          <w:p w14:paraId="34AFCBF9" w14:textId="77777777" w:rsidR="00D94758" w:rsidRPr="00E0193B" w:rsidRDefault="00D94758" w:rsidP="00D94758">
            <w:pPr>
              <w:spacing w:after="120" w:line="240" w:lineRule="auto"/>
              <w:jc w:val="left"/>
              <w:rPr>
                <w:rFonts w:eastAsia="Calibri"/>
              </w:rPr>
            </w:pPr>
            <w:r w:rsidRPr="00E0193B">
              <w:rPr>
                <w:rFonts w:eastAsia="Calibri"/>
              </w:rPr>
              <w:t xml:space="preserve">Ze względu na brak dostępności środków z RRF niemożliwe było rozpoczęcie stosownych prac terenowych i tym samym opracowanie niezbędnej dokumentacji, co powoduje przesunięcia w harmonogramie wykonania prac, na co wpływa również rozkład pór roku (brak możliwości wykonania niektórych badań terenowych w okresie jesienno-zimowym). </w:t>
            </w:r>
          </w:p>
          <w:p w14:paraId="3DDB9D12" w14:textId="1317EAA9" w:rsidR="00D94758" w:rsidRPr="00E0193B" w:rsidRDefault="00D94758" w:rsidP="00D94758">
            <w:pPr>
              <w:spacing w:after="120" w:line="240" w:lineRule="auto"/>
              <w:jc w:val="left"/>
              <w:rPr>
                <w:rFonts w:eastAsia="Calibri"/>
              </w:rPr>
            </w:pPr>
            <w:r w:rsidRPr="00E0193B">
              <w:rPr>
                <w:rFonts w:eastAsia="Calibri"/>
              </w:rPr>
              <w:t>Po analizie informacji nt. stopnia zaawansowania przygotowań do prac inwentaryzacyjnych w gminach wskazanych ustawą niezbędne jest przesunięcie terminu zakończenia wszystkich prac w ramach wskaźnika B17L na IV kw. 2025.</w:t>
            </w:r>
          </w:p>
        </w:tc>
      </w:tr>
      <w:tr w:rsidR="00D94758" w:rsidRPr="00E0193B" w14:paraId="5359CFB6" w14:textId="77777777" w:rsidTr="00D94758">
        <w:trPr>
          <w:trHeight w:val="513"/>
        </w:trPr>
        <w:tc>
          <w:tcPr>
            <w:tcW w:w="1068" w:type="pct"/>
            <w:shd w:val="clear" w:color="auto" w:fill="FFFFFF"/>
          </w:tcPr>
          <w:p w14:paraId="15F1BB23" w14:textId="77777777" w:rsidR="00D94758" w:rsidRPr="00E0193B" w:rsidRDefault="00D94758" w:rsidP="00D94758">
            <w:pPr>
              <w:spacing w:after="120" w:line="240" w:lineRule="auto"/>
              <w:jc w:val="left"/>
              <w:rPr>
                <w:rFonts w:eastAsia="Calibri"/>
              </w:rPr>
            </w:pPr>
            <w:r w:rsidRPr="00E0193B">
              <w:rPr>
                <w:rFonts w:eastAsia="Calibri"/>
              </w:rPr>
              <w:t>Szacowany koszt</w:t>
            </w:r>
          </w:p>
        </w:tc>
        <w:tc>
          <w:tcPr>
            <w:tcW w:w="3932" w:type="pct"/>
            <w:gridSpan w:val="2"/>
            <w:shd w:val="clear" w:color="auto" w:fill="FFFFFF"/>
          </w:tcPr>
          <w:p w14:paraId="75A4EE60" w14:textId="77777777" w:rsidR="00D94758" w:rsidRPr="00E0193B" w:rsidRDefault="00D94758" w:rsidP="00D94758">
            <w:pPr>
              <w:spacing w:after="120" w:line="240" w:lineRule="auto"/>
              <w:jc w:val="left"/>
              <w:rPr>
                <w:rFonts w:eastAsia="Calibri"/>
              </w:rPr>
            </w:pPr>
            <w:r w:rsidRPr="00E0193B">
              <w:rPr>
                <w:rFonts w:eastAsia="Calibri"/>
              </w:rPr>
              <w:t>Zmiana nie ma wpływu na szacowany koszt.</w:t>
            </w:r>
          </w:p>
        </w:tc>
      </w:tr>
      <w:tr w:rsidR="00D94758" w:rsidRPr="00E0193B" w14:paraId="444BC36D" w14:textId="77777777" w:rsidTr="00D94758">
        <w:tc>
          <w:tcPr>
            <w:tcW w:w="1068" w:type="pct"/>
            <w:shd w:val="clear" w:color="auto" w:fill="FFFFFF"/>
          </w:tcPr>
          <w:p w14:paraId="37825641" w14:textId="77777777" w:rsidR="00D94758" w:rsidRPr="00E0193B" w:rsidRDefault="00D94758" w:rsidP="00D94758">
            <w:pPr>
              <w:spacing w:after="120" w:line="240" w:lineRule="auto"/>
              <w:jc w:val="left"/>
              <w:rPr>
                <w:rFonts w:eastAsia="Calibri"/>
                <w:lang w:val="en-GB"/>
              </w:rPr>
            </w:pPr>
            <w:r w:rsidRPr="00E0193B">
              <w:rPr>
                <w:rFonts w:eastAsia="Calibri"/>
                <w:lang w:val="en-GB"/>
              </w:rPr>
              <w:t xml:space="preserve">Cyfrowy i klimatyczny tagging </w:t>
            </w:r>
          </w:p>
        </w:tc>
        <w:tc>
          <w:tcPr>
            <w:tcW w:w="3932" w:type="pct"/>
            <w:gridSpan w:val="2"/>
            <w:shd w:val="clear" w:color="auto" w:fill="FFFFFF"/>
          </w:tcPr>
          <w:p w14:paraId="1E33CCFD" w14:textId="77777777" w:rsidR="00D94758" w:rsidRPr="00E0193B" w:rsidRDefault="00D94758" w:rsidP="00D94758">
            <w:pPr>
              <w:spacing w:after="120" w:line="240" w:lineRule="auto"/>
              <w:jc w:val="left"/>
              <w:rPr>
                <w:rFonts w:eastAsia="Calibri"/>
              </w:rPr>
            </w:pPr>
            <w:r w:rsidRPr="00E0193B">
              <w:rPr>
                <w:rFonts w:eastAsia="Calibri"/>
              </w:rPr>
              <w:t>Zmiana nie ma wpływu na tagging klimatyczny i cyfrowy.</w:t>
            </w:r>
          </w:p>
        </w:tc>
      </w:tr>
      <w:tr w:rsidR="00E71AA6" w:rsidRPr="00E0193B" w14:paraId="7F082DB3" w14:textId="77777777" w:rsidTr="00D94758">
        <w:trPr>
          <w:trHeight w:val="378"/>
        </w:trPr>
        <w:tc>
          <w:tcPr>
            <w:tcW w:w="1068" w:type="pct"/>
            <w:tcBorders>
              <w:bottom w:val="single" w:sz="4" w:space="0" w:color="auto"/>
            </w:tcBorders>
            <w:shd w:val="clear" w:color="auto" w:fill="FFFFFF"/>
          </w:tcPr>
          <w:p w14:paraId="29950B4F" w14:textId="77777777" w:rsidR="00D94758" w:rsidRPr="00E0193B" w:rsidRDefault="00D94758" w:rsidP="00D94758">
            <w:pPr>
              <w:spacing w:after="120" w:line="240" w:lineRule="auto"/>
              <w:jc w:val="left"/>
              <w:rPr>
                <w:rFonts w:eastAsia="Calibri"/>
              </w:rPr>
            </w:pPr>
            <w:r w:rsidRPr="00E0193B">
              <w:rPr>
                <w:rFonts w:eastAsia="Calibri"/>
              </w:rPr>
              <w:t>Zasada DNSH</w:t>
            </w:r>
          </w:p>
        </w:tc>
        <w:tc>
          <w:tcPr>
            <w:tcW w:w="3932" w:type="pct"/>
            <w:gridSpan w:val="2"/>
            <w:tcBorders>
              <w:bottom w:val="single" w:sz="4" w:space="0" w:color="auto"/>
            </w:tcBorders>
            <w:shd w:val="clear" w:color="auto" w:fill="FFFFFF"/>
          </w:tcPr>
          <w:p w14:paraId="55DF9FF4" w14:textId="77777777" w:rsidR="00D94758" w:rsidRPr="00E0193B" w:rsidRDefault="00D94758" w:rsidP="00D94758">
            <w:pPr>
              <w:spacing w:after="120" w:line="240" w:lineRule="auto"/>
              <w:jc w:val="left"/>
              <w:rPr>
                <w:rFonts w:eastAsia="Calibri"/>
              </w:rPr>
            </w:pPr>
            <w:r w:rsidRPr="00E0193B">
              <w:rPr>
                <w:rFonts w:eastAsia="Calibri"/>
              </w:rPr>
              <w:t>Zmiana nie ma wpływu na DNSH.</w:t>
            </w:r>
          </w:p>
        </w:tc>
      </w:tr>
      <w:tr w:rsidR="00D94758" w:rsidRPr="00E0193B" w14:paraId="7F27078E" w14:textId="77777777" w:rsidTr="00D94758">
        <w:tc>
          <w:tcPr>
            <w:tcW w:w="1068" w:type="pct"/>
            <w:tcBorders>
              <w:bottom w:val="single" w:sz="4" w:space="0" w:color="auto"/>
            </w:tcBorders>
            <w:shd w:val="clear" w:color="auto" w:fill="FFFFFF"/>
          </w:tcPr>
          <w:p w14:paraId="77CE38F7" w14:textId="77777777" w:rsidR="00D94758" w:rsidRPr="00E0193B" w:rsidRDefault="00D94758" w:rsidP="00D94758">
            <w:pPr>
              <w:spacing w:after="120" w:line="240" w:lineRule="auto"/>
              <w:jc w:val="left"/>
              <w:rPr>
                <w:rFonts w:eastAsia="Calibri"/>
              </w:rPr>
            </w:pPr>
            <w:r w:rsidRPr="00E0193B">
              <w:rPr>
                <w:rFonts w:eastAsia="Calibri"/>
              </w:rPr>
              <w:t xml:space="preserve">Pomoc publiczna </w:t>
            </w:r>
          </w:p>
        </w:tc>
        <w:tc>
          <w:tcPr>
            <w:tcW w:w="3932" w:type="pct"/>
            <w:gridSpan w:val="2"/>
            <w:tcBorders>
              <w:bottom w:val="single" w:sz="4" w:space="0" w:color="auto"/>
            </w:tcBorders>
            <w:shd w:val="clear" w:color="auto" w:fill="FFFFFF"/>
          </w:tcPr>
          <w:p w14:paraId="3D6C4F32" w14:textId="77777777" w:rsidR="00D94758" w:rsidRPr="00E0193B" w:rsidRDefault="00D94758" w:rsidP="00D94758">
            <w:pPr>
              <w:spacing w:after="120" w:line="240" w:lineRule="auto"/>
              <w:jc w:val="left"/>
              <w:rPr>
                <w:rFonts w:eastAsia="Calibri"/>
                <w:lang w:val="en-GB"/>
              </w:rPr>
            </w:pPr>
            <w:r w:rsidRPr="00E0193B">
              <w:rPr>
                <w:rFonts w:eastAsia="Calibri"/>
              </w:rPr>
              <w:t xml:space="preserve">Nie dotyczy </w:t>
            </w:r>
          </w:p>
        </w:tc>
      </w:tr>
    </w:tbl>
    <w:p w14:paraId="1759BCFD" w14:textId="77777777" w:rsidR="00D94758" w:rsidRPr="00E0193B" w:rsidRDefault="00D94758" w:rsidP="00D94758">
      <w:pPr>
        <w:spacing w:line="259" w:lineRule="auto"/>
        <w:jc w:val="left"/>
        <w:rPr>
          <w:rFonts w:eastAsia="Calibri"/>
          <w:b/>
          <w:bCs/>
          <w:lang w:val="en-GB"/>
        </w:rPr>
      </w:pPr>
    </w:p>
    <w:p w14:paraId="662D10B0" w14:textId="7C27697F" w:rsidR="00D94758" w:rsidRPr="00E0193B" w:rsidRDefault="00D94758" w:rsidP="00D94758">
      <w:pPr>
        <w:spacing w:line="259" w:lineRule="auto"/>
        <w:jc w:val="left"/>
        <w:rPr>
          <w:rFonts w:eastAsia="Calibri"/>
          <w:b/>
          <w:bCs/>
        </w:rPr>
      </w:pPr>
      <w:r w:rsidRPr="00E0193B">
        <w:rPr>
          <w:rFonts w:eastAsia="Calibri"/>
          <w:b/>
          <w:bCs/>
        </w:rPr>
        <w:t>Komponent C Transformacja cyfrowa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3339"/>
        <w:gridCol w:w="3551"/>
      </w:tblGrid>
      <w:tr w:rsidR="0097164F" w:rsidRPr="00E0193B" w14:paraId="18634A40" w14:textId="77777777" w:rsidTr="00C6297C">
        <w:tc>
          <w:tcPr>
            <w:tcW w:w="1088" w:type="pct"/>
          </w:tcPr>
          <w:p w14:paraId="1DA1B9CC" w14:textId="77777777" w:rsidR="0097164F" w:rsidRPr="00E0193B" w:rsidRDefault="0097164F" w:rsidP="0097164F">
            <w:pPr>
              <w:spacing w:after="120" w:line="240" w:lineRule="auto"/>
              <w:rPr>
                <w:b/>
                <w:bCs/>
              </w:rPr>
            </w:pPr>
            <w:r w:rsidRPr="00E0193B">
              <w:rPr>
                <w:b/>
                <w:bCs/>
              </w:rPr>
              <w:t>Numer inwestycji</w:t>
            </w:r>
          </w:p>
        </w:tc>
        <w:tc>
          <w:tcPr>
            <w:tcW w:w="3912" w:type="pct"/>
            <w:gridSpan w:val="2"/>
          </w:tcPr>
          <w:p w14:paraId="6061861F" w14:textId="77777777" w:rsidR="0097164F" w:rsidRPr="00E0193B" w:rsidRDefault="0097164F" w:rsidP="0097164F">
            <w:pPr>
              <w:spacing w:after="120" w:line="240" w:lineRule="auto"/>
              <w:rPr>
                <w:b/>
                <w:bCs/>
              </w:rPr>
            </w:pPr>
            <w:r w:rsidRPr="00E0193B">
              <w:rPr>
                <w:b/>
                <w:bCs/>
              </w:rPr>
              <w:t>C4.1.1</w:t>
            </w:r>
          </w:p>
        </w:tc>
      </w:tr>
      <w:tr w:rsidR="0097164F" w:rsidRPr="00E0193B" w14:paraId="32BD4BFC" w14:textId="77777777" w:rsidTr="00C6297C">
        <w:tc>
          <w:tcPr>
            <w:tcW w:w="1088" w:type="pct"/>
          </w:tcPr>
          <w:p w14:paraId="34243DCF" w14:textId="77777777" w:rsidR="0097164F" w:rsidRPr="00E0193B" w:rsidRDefault="0097164F" w:rsidP="0097164F">
            <w:pPr>
              <w:spacing w:after="120" w:line="240" w:lineRule="auto"/>
              <w:rPr>
                <w:b/>
                <w:bCs/>
              </w:rPr>
            </w:pPr>
            <w:r w:rsidRPr="00E0193B">
              <w:rPr>
                <w:b/>
                <w:bCs/>
              </w:rPr>
              <w:t>Nazwa inwestycji</w:t>
            </w:r>
          </w:p>
        </w:tc>
        <w:tc>
          <w:tcPr>
            <w:tcW w:w="3912" w:type="pct"/>
            <w:gridSpan w:val="2"/>
          </w:tcPr>
          <w:p w14:paraId="6D640FC1" w14:textId="77777777" w:rsidR="0097164F" w:rsidRPr="00E0193B" w:rsidRDefault="0097164F" w:rsidP="0097164F">
            <w:pPr>
              <w:spacing w:after="120" w:line="240" w:lineRule="auto"/>
              <w:rPr>
                <w:b/>
                <w:bCs/>
              </w:rPr>
            </w:pPr>
            <w:r w:rsidRPr="00E0193B">
              <w:rPr>
                <w:b/>
                <w:bCs/>
              </w:rPr>
              <w:t>C4.1.1 Wspieranie transformacji cyfrowej przedsiębiorstw dzięki wykorzystaniu technologii przetwarzania w chmurze</w:t>
            </w:r>
          </w:p>
        </w:tc>
      </w:tr>
      <w:tr w:rsidR="0097164F" w:rsidRPr="00E0193B" w14:paraId="3D77F5C2" w14:textId="77777777" w:rsidTr="00C6297C">
        <w:tc>
          <w:tcPr>
            <w:tcW w:w="1088" w:type="pct"/>
            <w:shd w:val="clear" w:color="auto" w:fill="auto"/>
          </w:tcPr>
          <w:p w14:paraId="2318D98A" w14:textId="77777777" w:rsidR="0097164F" w:rsidRPr="00E0193B" w:rsidRDefault="0097164F" w:rsidP="0097164F">
            <w:pPr>
              <w:spacing w:after="120" w:line="240" w:lineRule="auto"/>
            </w:pPr>
            <w:r w:rsidRPr="00E0193B">
              <w:lastRenderedPageBreak/>
              <w:t>Rodzaj wprowadzonej zmiany w odniesieniu do CID</w:t>
            </w:r>
          </w:p>
        </w:tc>
        <w:tc>
          <w:tcPr>
            <w:tcW w:w="3912" w:type="pct"/>
            <w:gridSpan w:val="2"/>
            <w:shd w:val="clear" w:color="auto" w:fill="auto"/>
          </w:tcPr>
          <w:p w14:paraId="0B5E588E" w14:textId="5723C8D7" w:rsidR="0097164F" w:rsidRPr="00E0193B" w:rsidRDefault="007E255E" w:rsidP="0097164F">
            <w:pPr>
              <w:spacing w:after="120" w:line="240" w:lineRule="auto"/>
            </w:pPr>
            <w:r>
              <w:t>M</w:t>
            </w:r>
            <w:r w:rsidR="0097164F" w:rsidRPr="00E0193B">
              <w:t>odyfikacja opisu inwestycji oraz opisu wskaźnika C18L.</w:t>
            </w:r>
          </w:p>
        </w:tc>
      </w:tr>
      <w:tr w:rsidR="0097164F" w:rsidRPr="00E0193B" w14:paraId="4C54C236" w14:textId="77777777" w:rsidTr="00C6297C">
        <w:tc>
          <w:tcPr>
            <w:tcW w:w="1088" w:type="pct"/>
            <w:shd w:val="clear" w:color="auto" w:fill="auto"/>
          </w:tcPr>
          <w:p w14:paraId="3E1BF9D4" w14:textId="77777777" w:rsidR="0097164F" w:rsidRPr="00E0193B" w:rsidRDefault="0097164F" w:rsidP="0097164F">
            <w:pPr>
              <w:spacing w:after="120" w:line="240" w:lineRule="auto"/>
            </w:pPr>
            <w:r w:rsidRPr="00E0193B">
              <w:t>Podstawa prawna zmiany</w:t>
            </w:r>
          </w:p>
        </w:tc>
        <w:tc>
          <w:tcPr>
            <w:tcW w:w="3912" w:type="pct"/>
            <w:gridSpan w:val="2"/>
            <w:shd w:val="clear" w:color="auto" w:fill="auto"/>
          </w:tcPr>
          <w:p w14:paraId="524C1880" w14:textId="380753E6" w:rsidR="0097164F" w:rsidRPr="00E0193B" w:rsidRDefault="007E255E" w:rsidP="0097164F">
            <w:pPr>
              <w:spacing w:after="0" w:line="240" w:lineRule="auto"/>
              <w:jc w:val="left"/>
              <w:rPr>
                <w:lang w:eastAsia="pl-PL"/>
              </w:rPr>
            </w:pPr>
            <w:r>
              <w:t xml:space="preserve">Zmiana techniczna (clerical error) </w:t>
            </w:r>
          </w:p>
        </w:tc>
      </w:tr>
      <w:tr w:rsidR="0097164F" w:rsidRPr="00E0193B" w14:paraId="0EFD5EF4" w14:textId="77777777" w:rsidTr="00C6297C">
        <w:tc>
          <w:tcPr>
            <w:tcW w:w="1088" w:type="pct"/>
            <w:shd w:val="clear" w:color="auto" w:fill="D9D9D9"/>
          </w:tcPr>
          <w:p w14:paraId="6AAB780B" w14:textId="77777777" w:rsidR="0097164F" w:rsidRPr="00E0193B" w:rsidRDefault="0097164F" w:rsidP="0097164F">
            <w:pPr>
              <w:spacing w:after="120" w:line="240" w:lineRule="auto"/>
              <w:rPr>
                <w:highlight w:val="lightGray"/>
              </w:rPr>
            </w:pPr>
            <w:r w:rsidRPr="00E0193B">
              <w:rPr>
                <w:highlight w:val="lightGray"/>
              </w:rPr>
              <w:t>Modyfikowany element</w:t>
            </w:r>
          </w:p>
        </w:tc>
        <w:tc>
          <w:tcPr>
            <w:tcW w:w="1897" w:type="pct"/>
            <w:shd w:val="clear" w:color="auto" w:fill="D9D9D9"/>
          </w:tcPr>
          <w:p w14:paraId="4F292373" w14:textId="77777777" w:rsidR="0097164F" w:rsidRPr="00E0193B" w:rsidRDefault="0097164F" w:rsidP="0097164F">
            <w:pPr>
              <w:spacing w:after="120" w:line="240" w:lineRule="auto"/>
              <w:rPr>
                <w:highlight w:val="lightGray"/>
              </w:rPr>
            </w:pPr>
            <w:r w:rsidRPr="00E0193B">
              <w:rPr>
                <w:highlight w:val="lightGray"/>
              </w:rPr>
              <w:t>Bieżąca wersja</w:t>
            </w:r>
          </w:p>
        </w:tc>
        <w:tc>
          <w:tcPr>
            <w:tcW w:w="2015" w:type="pct"/>
            <w:shd w:val="clear" w:color="auto" w:fill="D9D9D9"/>
          </w:tcPr>
          <w:p w14:paraId="7841CA5E" w14:textId="77777777" w:rsidR="0097164F" w:rsidRPr="00E0193B" w:rsidRDefault="0097164F" w:rsidP="0097164F">
            <w:pPr>
              <w:spacing w:after="120" w:line="240" w:lineRule="auto"/>
              <w:rPr>
                <w:highlight w:val="lightGray"/>
              </w:rPr>
            </w:pPr>
            <w:r w:rsidRPr="00E0193B">
              <w:rPr>
                <w:highlight w:val="lightGray"/>
              </w:rPr>
              <w:t>Wersja zmieniona</w:t>
            </w:r>
          </w:p>
        </w:tc>
      </w:tr>
      <w:tr w:rsidR="0097164F" w:rsidRPr="00E0193B" w14:paraId="2A27DF0B" w14:textId="77777777" w:rsidTr="00C6297C">
        <w:tc>
          <w:tcPr>
            <w:tcW w:w="1088" w:type="pct"/>
            <w:vMerge w:val="restart"/>
          </w:tcPr>
          <w:p w14:paraId="29307236" w14:textId="77777777" w:rsidR="0097164F" w:rsidRPr="00E0193B" w:rsidRDefault="0097164F" w:rsidP="0097164F">
            <w:pPr>
              <w:spacing w:after="120" w:line="240" w:lineRule="auto"/>
            </w:pPr>
            <w:r w:rsidRPr="00E0193B">
              <w:t>Opis komponentu oraz/lub działania (inwestycji/reformy)</w:t>
            </w:r>
          </w:p>
        </w:tc>
        <w:tc>
          <w:tcPr>
            <w:tcW w:w="1897" w:type="pct"/>
          </w:tcPr>
          <w:p w14:paraId="429A449A" w14:textId="77777777" w:rsidR="0097164F" w:rsidRPr="00E0193B" w:rsidRDefault="0097164F" w:rsidP="0097164F">
            <w:pPr>
              <w:spacing w:after="120" w:line="240" w:lineRule="auto"/>
              <w:jc w:val="left"/>
            </w:pPr>
            <w:r w:rsidRPr="00E0193B">
              <w:t>Na podstawie inwestycji w ramach RRF celem Instrumentu na początkowym etapie jest wypłacenie finansowania w wysokości co najmniej 650 000 0000 EUR.</w:t>
            </w:r>
          </w:p>
        </w:tc>
        <w:tc>
          <w:tcPr>
            <w:tcW w:w="2015" w:type="pct"/>
          </w:tcPr>
          <w:p w14:paraId="39F29416" w14:textId="0F0723AD" w:rsidR="0097164F" w:rsidRPr="00D63482" w:rsidRDefault="0097164F" w:rsidP="00D6348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FF0000"/>
              </w:rPr>
            </w:pPr>
            <w:r w:rsidRPr="00E0193B">
              <w:rPr>
                <w:rFonts w:eastAsia="Calibri"/>
              </w:rPr>
              <w:t xml:space="preserve">Na podstawie inwestycji w ramach RRF celem Instrumentu na początkowym etapie jest wypłacenie finansowania w wysokości </w:t>
            </w:r>
            <w:r w:rsidRPr="00E0193B">
              <w:rPr>
                <w:rFonts w:eastAsia="Calibri"/>
                <w:color w:val="FF0000"/>
              </w:rPr>
              <w:t>stanowiącej równowartość środków zakontraktowanych w umowach z Ostatecznymi Odbiorcami Wsparcia</w:t>
            </w:r>
            <w:r w:rsidR="001E35AA" w:rsidRPr="00E0193B">
              <w:rPr>
                <w:rFonts w:eastAsia="Calibri"/>
                <w:color w:val="FF0000"/>
              </w:rPr>
              <w:t>.</w:t>
            </w:r>
            <w:r w:rsidR="008E4C8F" w:rsidRPr="00E0193B">
              <w:rPr>
                <w:rFonts w:eastAsia="Calibri"/>
                <w:color w:val="FF0000"/>
              </w:rPr>
              <w:t xml:space="preserve"> </w:t>
            </w:r>
          </w:p>
        </w:tc>
      </w:tr>
      <w:tr w:rsidR="0097164F" w:rsidRPr="00935797" w14:paraId="7E4838AA" w14:textId="77777777" w:rsidTr="00C6297C">
        <w:tc>
          <w:tcPr>
            <w:tcW w:w="1088" w:type="pct"/>
            <w:vMerge/>
          </w:tcPr>
          <w:p w14:paraId="56A474AC" w14:textId="77777777" w:rsidR="0097164F" w:rsidRPr="00E0193B" w:rsidRDefault="0097164F" w:rsidP="0097164F">
            <w:pPr>
              <w:spacing w:after="120" w:line="240" w:lineRule="auto"/>
            </w:pPr>
          </w:p>
        </w:tc>
        <w:tc>
          <w:tcPr>
            <w:tcW w:w="1897" w:type="pct"/>
          </w:tcPr>
          <w:p w14:paraId="7E1CD5DA" w14:textId="77777777" w:rsidR="0097164F" w:rsidRPr="00E0193B" w:rsidRDefault="0097164F" w:rsidP="0097164F">
            <w:pPr>
              <w:spacing w:after="120" w:line="240" w:lineRule="auto"/>
              <w:jc w:val="left"/>
              <w:rPr>
                <w:lang w:val="en-GB"/>
              </w:rPr>
            </w:pPr>
            <w:r w:rsidRPr="00E0193B">
              <w:rPr>
                <w:lang w:val="en-GB"/>
              </w:rPr>
              <w:t>On the basis of the RRF investment, the Facility aims at initially providing at least EUR 650 000 0000 of financing.</w:t>
            </w:r>
          </w:p>
        </w:tc>
        <w:tc>
          <w:tcPr>
            <w:tcW w:w="2015" w:type="pct"/>
          </w:tcPr>
          <w:p w14:paraId="33451790" w14:textId="3E2E4218" w:rsidR="0097164F" w:rsidRPr="00E0193B" w:rsidRDefault="0097164F" w:rsidP="0097164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FF0000"/>
                <w:lang w:val="en-GB"/>
              </w:rPr>
            </w:pPr>
            <w:r w:rsidRPr="00E0193B">
              <w:rPr>
                <w:rFonts w:eastAsia="Calibri"/>
                <w:color w:val="FF0000"/>
                <w:lang w:val="en-GB"/>
              </w:rPr>
              <w:t>On the basis of the RRF investment, the purpose of the Instrument at the initial stage is to pay out financing in the amount equivalent to the funds contracted in the agreements with the Final Support Recipients.</w:t>
            </w:r>
          </w:p>
          <w:p w14:paraId="7CA5C374" w14:textId="77777777" w:rsidR="0097164F" w:rsidRPr="00E0193B" w:rsidRDefault="0097164F" w:rsidP="0097164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lang w:val="en-GB"/>
              </w:rPr>
            </w:pPr>
          </w:p>
        </w:tc>
      </w:tr>
      <w:tr w:rsidR="0097164F" w:rsidRPr="00E0193B" w14:paraId="206135EF" w14:textId="77777777" w:rsidTr="002522AD">
        <w:trPr>
          <w:trHeight w:val="699"/>
        </w:trPr>
        <w:tc>
          <w:tcPr>
            <w:tcW w:w="1088" w:type="pct"/>
            <w:vMerge w:val="restart"/>
          </w:tcPr>
          <w:p w14:paraId="33B2D7F5" w14:textId="77777777" w:rsidR="0097164F" w:rsidRPr="00E0193B" w:rsidRDefault="0097164F" w:rsidP="0097164F">
            <w:pPr>
              <w:spacing w:after="120" w:line="240" w:lineRule="auto"/>
            </w:pPr>
            <w:r w:rsidRPr="00E0193B">
              <w:t>Opis kamienia milowego lub wskaźnika</w:t>
            </w:r>
          </w:p>
        </w:tc>
        <w:tc>
          <w:tcPr>
            <w:tcW w:w="1897" w:type="pct"/>
          </w:tcPr>
          <w:p w14:paraId="6F1391C4" w14:textId="77777777" w:rsidR="0097164F" w:rsidRPr="00E0193B" w:rsidRDefault="0097164F" w:rsidP="0097164F">
            <w:pPr>
              <w:spacing w:after="120" w:line="240" w:lineRule="auto"/>
              <w:jc w:val="left"/>
            </w:pPr>
            <w:r w:rsidRPr="00E0193B">
              <w:t>C18L - Ministerstwo zakończyło inwestycję</w:t>
            </w:r>
          </w:p>
          <w:p w14:paraId="5CCBFC25" w14:textId="77777777" w:rsidR="0097164F" w:rsidRPr="00E0193B" w:rsidRDefault="0097164F" w:rsidP="0097164F">
            <w:pPr>
              <w:spacing w:after="120" w:line="240" w:lineRule="auto"/>
              <w:jc w:val="left"/>
            </w:pPr>
            <w:r w:rsidRPr="00E0193B">
              <w:t>Opis wskaźnika:</w:t>
            </w:r>
          </w:p>
          <w:p w14:paraId="1894FFAB" w14:textId="77777777" w:rsidR="0097164F" w:rsidRPr="00E0193B" w:rsidRDefault="0097164F" w:rsidP="0097164F">
            <w:pPr>
              <w:spacing w:after="120" w:line="240" w:lineRule="auto"/>
              <w:jc w:val="left"/>
            </w:pPr>
            <w:r w:rsidRPr="00E0193B">
              <w:t>Polska przekaże Bankowi Gospodarstwa Krajowego kwotę 650 000 000 EUR na potrzeby Instrumentu.</w:t>
            </w:r>
          </w:p>
        </w:tc>
        <w:tc>
          <w:tcPr>
            <w:tcW w:w="2015" w:type="pct"/>
          </w:tcPr>
          <w:p w14:paraId="27211000" w14:textId="77777777" w:rsidR="0097164F" w:rsidRPr="00E0193B" w:rsidRDefault="0097164F" w:rsidP="0097164F">
            <w:pPr>
              <w:spacing w:after="120" w:line="240" w:lineRule="auto"/>
              <w:jc w:val="left"/>
            </w:pPr>
            <w:r w:rsidRPr="00E0193B">
              <w:t>C18L - Ministerstwo zakończyło inwestycję</w:t>
            </w:r>
          </w:p>
          <w:p w14:paraId="3A6F916A" w14:textId="77777777" w:rsidR="0097164F" w:rsidRPr="00E0193B" w:rsidRDefault="0097164F" w:rsidP="0097164F">
            <w:pPr>
              <w:spacing w:after="120" w:line="240" w:lineRule="auto"/>
              <w:jc w:val="left"/>
            </w:pPr>
            <w:r w:rsidRPr="00E0193B">
              <w:t xml:space="preserve">Opis wskaźnika: </w:t>
            </w:r>
          </w:p>
          <w:p w14:paraId="141262B3" w14:textId="1D5C0FDB" w:rsidR="0097164F" w:rsidRPr="00E0193B" w:rsidRDefault="0097164F" w:rsidP="002522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FF0000"/>
              </w:rPr>
            </w:pPr>
            <w:r w:rsidRPr="00E0193B">
              <w:rPr>
                <w:rFonts w:eastAsia="Calibri"/>
              </w:rPr>
              <w:t xml:space="preserve">Polska przekaże BGK kwotę </w:t>
            </w:r>
            <w:r w:rsidRPr="00E0193B">
              <w:rPr>
                <w:rFonts w:eastAsia="Calibri"/>
                <w:color w:val="FF0000"/>
              </w:rPr>
              <w:t>środków finansowych stanowiąca równowartość środków zakontraktowanych w umowach z Ostatecznymi Odbiorcami Wsparcia.</w:t>
            </w:r>
          </w:p>
        </w:tc>
      </w:tr>
      <w:tr w:rsidR="0097164F" w:rsidRPr="00935797" w14:paraId="370C4165" w14:textId="77777777" w:rsidTr="00C6297C">
        <w:tc>
          <w:tcPr>
            <w:tcW w:w="1088" w:type="pct"/>
            <w:vMerge/>
          </w:tcPr>
          <w:p w14:paraId="4C5EE18C" w14:textId="77777777" w:rsidR="0097164F" w:rsidRPr="00E0193B" w:rsidRDefault="0097164F" w:rsidP="0097164F">
            <w:pPr>
              <w:spacing w:after="120" w:line="240" w:lineRule="auto"/>
            </w:pPr>
          </w:p>
        </w:tc>
        <w:tc>
          <w:tcPr>
            <w:tcW w:w="1897" w:type="pct"/>
          </w:tcPr>
          <w:p w14:paraId="5F0C401C" w14:textId="63FB00C7" w:rsidR="0097164F" w:rsidRPr="00E0193B" w:rsidRDefault="0097164F" w:rsidP="0097164F">
            <w:pPr>
              <w:spacing w:after="120" w:line="240" w:lineRule="auto"/>
              <w:jc w:val="left"/>
              <w:rPr>
                <w:lang w:val="en-GB"/>
              </w:rPr>
            </w:pPr>
            <w:r w:rsidRPr="00E0193B">
              <w:rPr>
                <w:lang w:val="en-GB"/>
              </w:rPr>
              <w:t>C18L - Ministry has completed the investment</w:t>
            </w:r>
          </w:p>
          <w:p w14:paraId="74045AB2" w14:textId="77777777" w:rsidR="0097164F" w:rsidRPr="00E0193B" w:rsidRDefault="0097164F" w:rsidP="0097164F">
            <w:pPr>
              <w:spacing w:after="120" w:line="240" w:lineRule="auto"/>
              <w:jc w:val="left"/>
              <w:rPr>
                <w:lang w:val="en-GB"/>
              </w:rPr>
            </w:pPr>
            <w:r w:rsidRPr="00E0193B">
              <w:rPr>
                <w:lang w:val="en-GB"/>
              </w:rPr>
              <w:t>Description of the target:</w:t>
            </w:r>
          </w:p>
          <w:p w14:paraId="66184769" w14:textId="77777777" w:rsidR="0097164F" w:rsidRPr="00E0193B" w:rsidRDefault="0097164F" w:rsidP="0097164F">
            <w:pPr>
              <w:spacing w:after="120" w:line="240" w:lineRule="auto"/>
              <w:jc w:val="left"/>
              <w:rPr>
                <w:lang w:val="en-GB"/>
              </w:rPr>
            </w:pPr>
            <w:r w:rsidRPr="00E0193B">
              <w:rPr>
                <w:lang w:val="en-GB"/>
              </w:rPr>
              <w:t>Poland shall transfer EUR 650 000 000 to Bank Gospodarstwa Krajowego for the Facility.</w:t>
            </w:r>
          </w:p>
        </w:tc>
        <w:tc>
          <w:tcPr>
            <w:tcW w:w="2015" w:type="pct"/>
          </w:tcPr>
          <w:p w14:paraId="46913724" w14:textId="5F5BE8B3" w:rsidR="0097164F" w:rsidRPr="00E0193B" w:rsidRDefault="0097164F" w:rsidP="0097164F">
            <w:pPr>
              <w:spacing w:after="120" w:line="240" w:lineRule="auto"/>
              <w:jc w:val="left"/>
              <w:rPr>
                <w:lang w:val="en-GB"/>
              </w:rPr>
            </w:pPr>
            <w:r w:rsidRPr="00E0193B">
              <w:rPr>
                <w:lang w:val="en-GB"/>
              </w:rPr>
              <w:t>C18L - Ministry has completed the investment</w:t>
            </w:r>
          </w:p>
          <w:p w14:paraId="4BFD4A40" w14:textId="77777777" w:rsidR="0097164F" w:rsidRPr="00E0193B" w:rsidRDefault="0097164F" w:rsidP="0097164F">
            <w:pPr>
              <w:spacing w:after="120" w:line="240" w:lineRule="auto"/>
              <w:jc w:val="left"/>
              <w:rPr>
                <w:lang w:val="en-GB"/>
              </w:rPr>
            </w:pPr>
            <w:r w:rsidRPr="00E0193B">
              <w:rPr>
                <w:lang w:val="en-GB"/>
              </w:rPr>
              <w:t>Description of the target:</w:t>
            </w:r>
          </w:p>
          <w:p w14:paraId="28B4B18D" w14:textId="6FD8FB41" w:rsidR="0097164F" w:rsidRPr="00E0193B" w:rsidRDefault="0097164F" w:rsidP="002522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FF0000"/>
                <w:lang w:val="en-US"/>
              </w:rPr>
            </w:pPr>
            <w:r w:rsidRPr="00E0193B">
              <w:rPr>
                <w:rFonts w:eastAsia="Calibri"/>
                <w:lang w:val="en-US"/>
              </w:rPr>
              <w:t xml:space="preserve">Poland </w:t>
            </w:r>
            <w:r w:rsidRPr="00E0193B">
              <w:rPr>
                <w:rFonts w:eastAsia="Calibri"/>
                <w:color w:val="FF0000"/>
                <w:lang w:val="en-US"/>
              </w:rPr>
              <w:t>will transfer to BGK the amount of funds equivalent to those contracted in agreements with the Final</w:t>
            </w:r>
            <w:r w:rsidR="002A21C5" w:rsidRPr="00E0193B">
              <w:rPr>
                <w:rFonts w:eastAsia="Calibri"/>
                <w:color w:val="FF0000"/>
                <w:lang w:val="en-US"/>
              </w:rPr>
              <w:t xml:space="preserve"> Support</w:t>
            </w:r>
            <w:r w:rsidRPr="00E0193B">
              <w:rPr>
                <w:rFonts w:eastAsia="Calibri"/>
                <w:color w:val="FF0000"/>
                <w:lang w:val="en-US"/>
              </w:rPr>
              <w:t xml:space="preserve"> Recipients</w:t>
            </w:r>
            <w:r w:rsidRPr="00E0193B">
              <w:rPr>
                <w:rFonts w:eastAsia="Calibri"/>
                <w:color w:val="202124"/>
                <w:lang w:val="en-US"/>
              </w:rPr>
              <w:t>.</w:t>
            </w:r>
          </w:p>
        </w:tc>
      </w:tr>
      <w:tr w:rsidR="0097164F" w:rsidRPr="00E0193B" w14:paraId="37F92925" w14:textId="77777777" w:rsidTr="00C6297C">
        <w:tc>
          <w:tcPr>
            <w:tcW w:w="1088" w:type="pct"/>
          </w:tcPr>
          <w:p w14:paraId="6C358AFE" w14:textId="77777777" w:rsidR="0097164F" w:rsidRPr="00E0193B" w:rsidRDefault="0097164F" w:rsidP="0097164F">
            <w:pPr>
              <w:spacing w:after="120" w:line="240" w:lineRule="auto"/>
            </w:pPr>
            <w:r w:rsidRPr="00E0193B">
              <w:t>Uzasadnienie</w:t>
            </w:r>
          </w:p>
        </w:tc>
        <w:tc>
          <w:tcPr>
            <w:tcW w:w="3912" w:type="pct"/>
            <w:gridSpan w:val="2"/>
          </w:tcPr>
          <w:p w14:paraId="3E6EB3EC" w14:textId="5AA72AF2" w:rsidR="0097164F" w:rsidRPr="00E0193B" w:rsidRDefault="0097164F" w:rsidP="0097164F">
            <w:pPr>
              <w:spacing w:after="120" w:line="240" w:lineRule="auto"/>
            </w:pPr>
            <w:r w:rsidRPr="00E0193B">
              <w:t>Proponowana zmiana wynika z realnej możliwości zrealizowania wskaźnika do dnia 31.08.2026r. Wartość zakontraktowanych środków finansowych w umowach z Ostatecznymi Odbiorcami Wsparcia może być niższa niż 100% wartości przyznanego finansowania, tj. kwoty 650 000 000 EUR. Powyższe uzasadnia propozycję, by wskaźnikiem stała się finalna wartość wszystkich podpisanych umów z OOW.</w:t>
            </w:r>
          </w:p>
        </w:tc>
      </w:tr>
      <w:tr w:rsidR="0097164F" w:rsidRPr="00E0193B" w14:paraId="104FE51D" w14:textId="77777777" w:rsidTr="00C6297C">
        <w:tc>
          <w:tcPr>
            <w:tcW w:w="1088" w:type="pct"/>
          </w:tcPr>
          <w:p w14:paraId="6CAC4F86" w14:textId="77777777" w:rsidR="0097164F" w:rsidRPr="00E0193B" w:rsidRDefault="0097164F" w:rsidP="0097164F">
            <w:pPr>
              <w:spacing w:after="120" w:line="240" w:lineRule="auto"/>
            </w:pPr>
            <w:r w:rsidRPr="00E0193B">
              <w:t>Szacowany koszt</w:t>
            </w:r>
          </w:p>
        </w:tc>
        <w:tc>
          <w:tcPr>
            <w:tcW w:w="3912" w:type="pct"/>
            <w:gridSpan w:val="2"/>
          </w:tcPr>
          <w:p w14:paraId="2973B4C7" w14:textId="2DBEE10A" w:rsidR="0097164F" w:rsidRPr="00E0193B" w:rsidRDefault="0097164F" w:rsidP="0097164F">
            <w:pPr>
              <w:spacing w:after="120" w:line="240" w:lineRule="auto"/>
            </w:pPr>
            <w:r w:rsidRPr="00E0193B">
              <w:t>Finalna wartość wszystkich podpisanych umów z OOW według stanu na dzień 31 sierpnia 2026r</w:t>
            </w:r>
            <w:r w:rsidR="001E35AA" w:rsidRPr="00E0193B">
              <w:t>.</w:t>
            </w:r>
          </w:p>
          <w:p w14:paraId="27DACF50" w14:textId="0623B948" w:rsidR="0097164F" w:rsidRPr="00E0193B" w:rsidRDefault="0097164F" w:rsidP="001E35AA">
            <w:pPr>
              <w:spacing w:after="120" w:line="240" w:lineRule="auto"/>
            </w:pPr>
            <w:r w:rsidRPr="00E0193B">
              <w:t>Zmiana może wpływać na wartość części pożyczkowej KPO.</w:t>
            </w:r>
          </w:p>
        </w:tc>
      </w:tr>
      <w:tr w:rsidR="0097164F" w:rsidRPr="00E0193B" w14:paraId="5981118D" w14:textId="77777777" w:rsidTr="00C6297C">
        <w:tc>
          <w:tcPr>
            <w:tcW w:w="1088" w:type="pct"/>
          </w:tcPr>
          <w:p w14:paraId="64155416" w14:textId="77777777" w:rsidR="0097164F" w:rsidRPr="00E0193B" w:rsidRDefault="0097164F" w:rsidP="0097164F">
            <w:pPr>
              <w:spacing w:after="120" w:line="240" w:lineRule="auto"/>
            </w:pPr>
            <w:r w:rsidRPr="00E0193B">
              <w:t>Cyfrowy i klimatyczny tagging</w:t>
            </w:r>
          </w:p>
        </w:tc>
        <w:tc>
          <w:tcPr>
            <w:tcW w:w="3912" w:type="pct"/>
            <w:gridSpan w:val="2"/>
          </w:tcPr>
          <w:p w14:paraId="2147C5EE" w14:textId="77777777" w:rsidR="0097164F" w:rsidRPr="00E0193B" w:rsidRDefault="0097164F" w:rsidP="0097164F">
            <w:pPr>
              <w:spacing w:after="120" w:line="240" w:lineRule="auto"/>
            </w:pPr>
            <w:r w:rsidRPr="00E0193B">
              <w:t>Zmiana nie ma wpływu na tagging klimatyczny i cyfrowy</w:t>
            </w:r>
          </w:p>
        </w:tc>
      </w:tr>
      <w:tr w:rsidR="0097164F" w:rsidRPr="00E0193B" w14:paraId="73E623F6" w14:textId="77777777" w:rsidTr="00C6297C">
        <w:tc>
          <w:tcPr>
            <w:tcW w:w="1088" w:type="pct"/>
          </w:tcPr>
          <w:p w14:paraId="478B431C" w14:textId="77777777" w:rsidR="0097164F" w:rsidRPr="00E0193B" w:rsidRDefault="0097164F" w:rsidP="0097164F">
            <w:pPr>
              <w:spacing w:after="120" w:line="240" w:lineRule="auto"/>
            </w:pPr>
            <w:r w:rsidRPr="00E0193B">
              <w:t xml:space="preserve">Zasada DNSH </w:t>
            </w:r>
          </w:p>
        </w:tc>
        <w:tc>
          <w:tcPr>
            <w:tcW w:w="3912" w:type="pct"/>
            <w:gridSpan w:val="2"/>
          </w:tcPr>
          <w:p w14:paraId="449A70CC" w14:textId="77777777" w:rsidR="0097164F" w:rsidRPr="00E0193B" w:rsidRDefault="0097164F" w:rsidP="0097164F">
            <w:pPr>
              <w:spacing w:after="120" w:line="240" w:lineRule="auto"/>
            </w:pPr>
            <w:r w:rsidRPr="00E0193B">
              <w:t>Zmiana nie ma wpływu na DNSH</w:t>
            </w:r>
          </w:p>
        </w:tc>
      </w:tr>
      <w:tr w:rsidR="0097164F" w:rsidRPr="00E0193B" w14:paraId="2DB304EA" w14:textId="77777777" w:rsidTr="00C6297C">
        <w:tc>
          <w:tcPr>
            <w:tcW w:w="1088" w:type="pct"/>
          </w:tcPr>
          <w:p w14:paraId="5EFE9D1C" w14:textId="77777777" w:rsidR="0097164F" w:rsidRPr="00E0193B" w:rsidRDefault="0097164F" w:rsidP="0097164F">
            <w:pPr>
              <w:spacing w:after="120" w:line="240" w:lineRule="auto"/>
            </w:pPr>
            <w:r w:rsidRPr="00E0193B">
              <w:t>Pomoc publiczna</w:t>
            </w:r>
          </w:p>
        </w:tc>
        <w:tc>
          <w:tcPr>
            <w:tcW w:w="3912" w:type="pct"/>
            <w:gridSpan w:val="2"/>
          </w:tcPr>
          <w:p w14:paraId="68DE280A" w14:textId="77777777" w:rsidR="0097164F" w:rsidRPr="00E0193B" w:rsidRDefault="0097164F" w:rsidP="0097164F">
            <w:pPr>
              <w:spacing w:after="120" w:line="240" w:lineRule="auto"/>
            </w:pPr>
            <w:r w:rsidRPr="00E0193B">
              <w:t>Zmiana nie ma wpływu na pomoc publiczną</w:t>
            </w:r>
          </w:p>
        </w:tc>
      </w:tr>
    </w:tbl>
    <w:p w14:paraId="696C292C" w14:textId="77777777" w:rsidR="00071507" w:rsidRPr="00E0193B" w:rsidRDefault="00071507" w:rsidP="00D94758">
      <w:pPr>
        <w:spacing w:line="259" w:lineRule="auto"/>
        <w:jc w:val="left"/>
        <w:rPr>
          <w:rFonts w:eastAsia="Calibri"/>
          <w:b/>
          <w:bCs/>
        </w:rPr>
      </w:pPr>
    </w:p>
    <w:p w14:paraId="0770902D" w14:textId="2F59C5C2" w:rsidR="00A1213F" w:rsidRPr="00E0193B" w:rsidRDefault="00D94758" w:rsidP="00D94758">
      <w:pPr>
        <w:spacing w:after="120" w:line="240" w:lineRule="auto"/>
        <w:jc w:val="left"/>
        <w:rPr>
          <w:rFonts w:eastAsia="Calibri"/>
          <w:b/>
          <w:bCs/>
        </w:rPr>
      </w:pPr>
      <w:r w:rsidRPr="00E0193B">
        <w:rPr>
          <w:rFonts w:eastAsia="Calibri"/>
          <w:b/>
          <w:bCs/>
        </w:rPr>
        <w:t>Komponent D Efektywność, dostępność i jakość systemu ochrony zdrowia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20"/>
        <w:gridCol w:w="6996"/>
      </w:tblGrid>
      <w:tr w:rsidR="00A1213F" w:rsidRPr="00E0193B" w14:paraId="6A052977" w14:textId="77777777" w:rsidTr="00E0617C">
        <w:tc>
          <w:tcPr>
            <w:tcW w:w="1120" w:type="pct"/>
          </w:tcPr>
          <w:p w14:paraId="1B62A412" w14:textId="77777777" w:rsidR="00A1213F" w:rsidRPr="00E0193B" w:rsidRDefault="00A1213F" w:rsidP="00E0617C">
            <w:pPr>
              <w:spacing w:after="120" w:line="240" w:lineRule="auto"/>
              <w:rPr>
                <w:b/>
                <w:bCs/>
              </w:rPr>
            </w:pPr>
            <w:r w:rsidRPr="00E0193B">
              <w:rPr>
                <w:b/>
                <w:bCs/>
              </w:rPr>
              <w:t>Numer reformy</w:t>
            </w:r>
          </w:p>
        </w:tc>
        <w:tc>
          <w:tcPr>
            <w:tcW w:w="3880" w:type="pct"/>
          </w:tcPr>
          <w:p w14:paraId="323D0568" w14:textId="77777777" w:rsidR="00A1213F" w:rsidRPr="00E0193B" w:rsidRDefault="00A1213F" w:rsidP="00E0617C">
            <w:pPr>
              <w:spacing w:after="120" w:line="240" w:lineRule="auto"/>
              <w:rPr>
                <w:b/>
                <w:bCs/>
              </w:rPr>
            </w:pPr>
            <w:r w:rsidRPr="00E0193B">
              <w:rPr>
                <w:b/>
                <w:bCs/>
              </w:rPr>
              <w:t>D1.2</w:t>
            </w:r>
          </w:p>
        </w:tc>
      </w:tr>
      <w:tr w:rsidR="00A1213F" w:rsidRPr="00935797" w14:paraId="4750CA1D" w14:textId="77777777" w:rsidTr="00E0617C">
        <w:tc>
          <w:tcPr>
            <w:tcW w:w="1120" w:type="pct"/>
          </w:tcPr>
          <w:p w14:paraId="6314AD65" w14:textId="77777777" w:rsidR="00A1213F" w:rsidRPr="00E0193B" w:rsidRDefault="00A1213F" w:rsidP="00E0617C">
            <w:pPr>
              <w:spacing w:after="120" w:line="240" w:lineRule="auto"/>
              <w:rPr>
                <w:b/>
                <w:bCs/>
              </w:rPr>
            </w:pPr>
            <w:r w:rsidRPr="00E0193B">
              <w:rPr>
                <w:b/>
                <w:bCs/>
              </w:rPr>
              <w:t>Nazwa reformy</w:t>
            </w:r>
          </w:p>
        </w:tc>
        <w:tc>
          <w:tcPr>
            <w:tcW w:w="3880" w:type="pct"/>
          </w:tcPr>
          <w:p w14:paraId="2B4CDC80" w14:textId="77777777" w:rsidR="00A1213F" w:rsidRPr="00E0193B" w:rsidRDefault="00A1213F" w:rsidP="00E0617C">
            <w:pPr>
              <w:spacing w:after="120" w:line="240" w:lineRule="auto"/>
              <w:rPr>
                <w:b/>
                <w:bCs/>
              </w:rPr>
            </w:pPr>
            <w:r w:rsidRPr="00E0193B">
              <w:rPr>
                <w:b/>
                <w:bCs/>
              </w:rPr>
              <w:t>Zwiększenie efektywności, dostępności i jakości świadczeń opieki długoterminowej podmiotów leczniczych na poziomie powiatowym</w:t>
            </w:r>
          </w:p>
          <w:p w14:paraId="3EB3E80D" w14:textId="77777777" w:rsidR="00A1213F" w:rsidRPr="00E0193B" w:rsidRDefault="00A1213F" w:rsidP="00E0617C">
            <w:pPr>
              <w:pStyle w:val="Default"/>
              <w:jc w:val="both"/>
              <w:rPr>
                <w:b/>
                <w:bCs/>
              </w:rPr>
            </w:pPr>
            <w:r w:rsidRPr="00E0193B">
              <w:rPr>
                <w:b/>
                <w:bCs/>
              </w:rPr>
              <w:t xml:space="preserve">Increasing the efficiency, availability and quality of long-term care services of healthcare providers at district level </w:t>
            </w:r>
          </w:p>
          <w:p w14:paraId="16DA147D" w14:textId="77777777" w:rsidR="00A1213F" w:rsidRPr="00E0193B" w:rsidRDefault="00A1213F" w:rsidP="00E0617C">
            <w:pPr>
              <w:spacing w:after="120" w:line="240" w:lineRule="auto"/>
              <w:rPr>
                <w:b/>
                <w:bCs/>
                <w:lang w:val="en-GB"/>
              </w:rPr>
            </w:pPr>
          </w:p>
        </w:tc>
      </w:tr>
      <w:tr w:rsidR="00A1213F" w:rsidRPr="00935797" w14:paraId="718B33DB" w14:textId="77777777" w:rsidTr="00E0617C">
        <w:tc>
          <w:tcPr>
            <w:tcW w:w="1120" w:type="pct"/>
            <w:shd w:val="clear" w:color="auto" w:fill="auto"/>
          </w:tcPr>
          <w:p w14:paraId="0166980D" w14:textId="77777777" w:rsidR="00A1213F" w:rsidRPr="00E0193B" w:rsidRDefault="00A1213F" w:rsidP="00E0617C">
            <w:pPr>
              <w:spacing w:after="120" w:line="240" w:lineRule="auto"/>
            </w:pPr>
            <w:r w:rsidRPr="00E0193B">
              <w:t>Rodzaj wprowadzonej zmiany w odniesieniu do CID</w:t>
            </w:r>
          </w:p>
        </w:tc>
        <w:tc>
          <w:tcPr>
            <w:tcW w:w="3880" w:type="pct"/>
            <w:shd w:val="clear" w:color="auto" w:fill="auto"/>
          </w:tcPr>
          <w:p w14:paraId="57E3D235" w14:textId="77777777" w:rsidR="00A1213F" w:rsidRPr="00E0193B" w:rsidRDefault="00A1213F" w:rsidP="00E0617C">
            <w:pPr>
              <w:pStyle w:val="HTML-wstpniesformatowany"/>
              <w:rPr>
                <w:rFonts w:ascii="Times New Roman" w:hAnsi="Times New Roman" w:cs="Times New Roman"/>
                <w:sz w:val="24"/>
                <w:szCs w:val="24"/>
              </w:rPr>
            </w:pPr>
            <w:r w:rsidRPr="00E0193B">
              <w:rPr>
                <w:rFonts w:ascii="Times New Roman" w:hAnsi="Times New Roman" w:cs="Times New Roman"/>
                <w:sz w:val="24"/>
                <w:szCs w:val="24"/>
              </w:rPr>
              <w:t>Przeniesienie reformy D1.2 z części pożyczkowej do części grantowej.</w:t>
            </w:r>
          </w:p>
          <w:p w14:paraId="5A0430E4" w14:textId="77777777" w:rsidR="00A1213F" w:rsidRPr="00E0193B" w:rsidRDefault="00A1213F" w:rsidP="00E0617C">
            <w:pPr>
              <w:pStyle w:val="HTML-wstpniesformatowany"/>
              <w:rPr>
                <w:rFonts w:ascii="Times New Roman" w:hAnsi="Times New Roman" w:cs="Times New Roman"/>
                <w:sz w:val="24"/>
                <w:szCs w:val="24"/>
                <w:lang w:val="en-GB"/>
              </w:rPr>
            </w:pPr>
            <w:r w:rsidRPr="00E0193B">
              <w:rPr>
                <w:rFonts w:ascii="Times New Roman" w:hAnsi="Times New Roman" w:cs="Times New Roman"/>
                <w:sz w:val="24"/>
                <w:szCs w:val="24"/>
              </w:rPr>
              <w:t xml:space="preserve">Zmiana numeracji mierników D1L-D2L na kolejne w części grantowej w komponencie D (np. </w:t>
            </w:r>
            <w:r w:rsidRPr="00E0193B">
              <w:rPr>
                <w:rFonts w:ascii="Times New Roman" w:hAnsi="Times New Roman" w:cs="Times New Roman"/>
                <w:sz w:val="24"/>
                <w:szCs w:val="24"/>
                <w:lang w:val="en-GB"/>
              </w:rPr>
              <w:t xml:space="preserve">D38G, D39G) </w:t>
            </w:r>
          </w:p>
          <w:p w14:paraId="6DD486DF" w14:textId="77777777" w:rsidR="00A1213F" w:rsidRPr="00E0193B" w:rsidRDefault="00A1213F" w:rsidP="00E0617C">
            <w:pPr>
              <w:pStyle w:val="HTML-wstpniesformatowany"/>
              <w:rPr>
                <w:rFonts w:ascii="Times New Roman" w:hAnsi="Times New Roman" w:cs="Times New Roman"/>
                <w:sz w:val="24"/>
                <w:szCs w:val="24"/>
                <w:lang w:val="en-GB"/>
              </w:rPr>
            </w:pPr>
          </w:p>
          <w:p w14:paraId="0D47165F" w14:textId="77777777" w:rsidR="00A1213F" w:rsidRPr="00E0193B" w:rsidRDefault="00A1213F" w:rsidP="00E0617C">
            <w:pPr>
              <w:pStyle w:val="HTML-wstpniesformatowany"/>
              <w:rPr>
                <w:rFonts w:ascii="Times New Roman" w:hAnsi="Times New Roman" w:cs="Times New Roman"/>
                <w:sz w:val="24"/>
                <w:szCs w:val="24"/>
                <w:lang w:val="en-GB"/>
              </w:rPr>
            </w:pPr>
            <w:r w:rsidRPr="00E0193B">
              <w:rPr>
                <w:rFonts w:ascii="Times New Roman" w:hAnsi="Times New Roman" w:cs="Times New Roman"/>
                <w:sz w:val="24"/>
                <w:szCs w:val="24"/>
                <w:lang w:val="en-GB"/>
              </w:rPr>
              <w:t>Transferring the D1.2 reform from loan to grant part of NDP.</w:t>
            </w:r>
          </w:p>
          <w:p w14:paraId="7B31E9A3" w14:textId="77777777" w:rsidR="00A1213F" w:rsidRPr="00E0193B" w:rsidRDefault="00A1213F" w:rsidP="00E06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lang w:val="en-GB" w:eastAsia="pl-PL"/>
              </w:rPr>
            </w:pPr>
            <w:r w:rsidRPr="00E0193B">
              <w:rPr>
                <w:lang w:val="en" w:eastAsia="pl-PL"/>
              </w:rPr>
              <w:t>Changing the numbers of D1L-D2L as a result of the transfer to subsequent ones in the grant part of component D (e.g. D38G, D39G)</w:t>
            </w:r>
          </w:p>
          <w:p w14:paraId="44DD1C15" w14:textId="77777777" w:rsidR="00A1213F" w:rsidRPr="00E0193B" w:rsidRDefault="00A1213F" w:rsidP="00E0617C">
            <w:pPr>
              <w:pStyle w:val="HTML-wstpniesformatowany"/>
              <w:rPr>
                <w:rFonts w:ascii="Times New Roman" w:hAnsi="Times New Roman" w:cs="Times New Roman"/>
                <w:sz w:val="24"/>
                <w:szCs w:val="24"/>
                <w:lang w:val="en-GB"/>
              </w:rPr>
            </w:pPr>
          </w:p>
        </w:tc>
      </w:tr>
      <w:tr w:rsidR="00A1213F" w:rsidRPr="00E0193B" w14:paraId="71698700" w14:textId="77777777" w:rsidTr="00E0617C">
        <w:tc>
          <w:tcPr>
            <w:tcW w:w="1120" w:type="pct"/>
            <w:shd w:val="clear" w:color="auto" w:fill="auto"/>
          </w:tcPr>
          <w:p w14:paraId="04515DC9" w14:textId="77777777" w:rsidR="00A1213F" w:rsidRPr="00E0193B" w:rsidRDefault="00A1213F" w:rsidP="00E0617C">
            <w:pPr>
              <w:spacing w:after="120" w:line="240" w:lineRule="auto"/>
            </w:pPr>
            <w:r w:rsidRPr="00E0193B">
              <w:t>Podstawa prawna zmiany</w:t>
            </w:r>
          </w:p>
        </w:tc>
        <w:tc>
          <w:tcPr>
            <w:tcW w:w="3880" w:type="pct"/>
            <w:shd w:val="clear" w:color="auto" w:fill="auto"/>
          </w:tcPr>
          <w:p w14:paraId="408799FF" w14:textId="77777777" w:rsidR="00A1213F" w:rsidRPr="00E0193B" w:rsidRDefault="00A1213F" w:rsidP="00E0617C">
            <w:pPr>
              <w:spacing w:after="120" w:line="240" w:lineRule="auto"/>
            </w:pPr>
            <w:r w:rsidRPr="00E0193B">
              <w:t>art. 21 rozporządzenia Parlamentu Europejskiego i Rady (UE) 2021/241 z dnia 12 lutego 2021 r. ustanawiające Instrument na rzecz Odbudowy i Zwiększania Odporności</w:t>
            </w:r>
          </w:p>
          <w:p w14:paraId="2D2BAB66" w14:textId="77777777" w:rsidR="00A1213F" w:rsidRPr="00E0193B" w:rsidRDefault="00A1213F" w:rsidP="00E0617C">
            <w:pPr>
              <w:spacing w:after="120" w:line="240" w:lineRule="auto"/>
              <w:rPr>
                <w:lang w:val="en-GB"/>
              </w:rPr>
            </w:pPr>
            <w:r w:rsidRPr="00E0193B">
              <w:rPr>
                <w:lang w:val="en-GB"/>
              </w:rPr>
              <w:t>Lepsza alternatywa</w:t>
            </w:r>
          </w:p>
          <w:p w14:paraId="7F5B20C6" w14:textId="77777777" w:rsidR="00A1213F" w:rsidRPr="00E0193B" w:rsidRDefault="00A1213F" w:rsidP="00E0617C">
            <w:pPr>
              <w:spacing w:after="120" w:line="240" w:lineRule="auto"/>
              <w:rPr>
                <w:rFonts w:eastAsia="Calibri"/>
                <w:color w:val="000000"/>
                <w:lang w:val="en-GB" w:eastAsia="en-GB"/>
              </w:rPr>
            </w:pPr>
            <w:r w:rsidRPr="00E0193B">
              <w:rPr>
                <w:rFonts w:eastAsia="Calibri"/>
                <w:color w:val="000000"/>
                <w:lang w:val="en-GB" w:eastAsia="en-GB"/>
              </w:rPr>
              <w:t>article 21 of Regulation (EU) 2021/241 of the European Parliament and of the Council of 12 February 2021 establishing an Instrument for Reconstruction and Increasing Resilience</w:t>
            </w:r>
          </w:p>
          <w:p w14:paraId="66053906" w14:textId="77777777" w:rsidR="00A1213F" w:rsidRPr="00E0193B" w:rsidRDefault="00A1213F" w:rsidP="00E0617C">
            <w:pPr>
              <w:spacing w:after="120" w:line="240" w:lineRule="auto"/>
              <w:rPr>
                <w:lang w:val="en-GB"/>
              </w:rPr>
            </w:pPr>
            <w:r w:rsidRPr="00E0193B">
              <w:rPr>
                <w:lang w:val="en-GB"/>
              </w:rPr>
              <w:t>Better alternative</w:t>
            </w:r>
          </w:p>
        </w:tc>
      </w:tr>
      <w:tr w:rsidR="00A1213F" w:rsidRPr="00E0193B" w14:paraId="37585D2E" w14:textId="77777777" w:rsidTr="00E0617C">
        <w:tc>
          <w:tcPr>
            <w:tcW w:w="1120" w:type="pct"/>
          </w:tcPr>
          <w:p w14:paraId="786CF372" w14:textId="77777777" w:rsidR="00A1213F" w:rsidRPr="00E0193B" w:rsidRDefault="00A1213F" w:rsidP="00E0617C">
            <w:pPr>
              <w:spacing w:after="120" w:line="240" w:lineRule="auto"/>
            </w:pPr>
            <w:r w:rsidRPr="00E0193B">
              <w:t>Uzasadnienie</w:t>
            </w:r>
          </w:p>
        </w:tc>
        <w:tc>
          <w:tcPr>
            <w:tcW w:w="3880" w:type="pct"/>
          </w:tcPr>
          <w:p w14:paraId="06C464B6" w14:textId="77777777" w:rsidR="00A1213F" w:rsidRPr="00E0193B" w:rsidRDefault="00A1213F" w:rsidP="00E0617C">
            <w:pPr>
              <w:spacing w:line="240" w:lineRule="auto"/>
              <w:jc w:val="left"/>
            </w:pPr>
            <w:r w:rsidRPr="00E0193B">
              <w:t>Propozycja przeniesienia reformy D1.2 dotyczącej opieki długoterminowej z części pożyczkowej do części grantowej jest dokonywana w związku z przeniesieniem inwestycji D1.2.1 dotyczącej opieki długoterminowej z części pożyczkowej do części grantowej.</w:t>
            </w:r>
          </w:p>
        </w:tc>
      </w:tr>
      <w:tr w:rsidR="00A1213F" w:rsidRPr="00E0193B" w14:paraId="29CEA9BF" w14:textId="77777777" w:rsidTr="00E0617C">
        <w:tc>
          <w:tcPr>
            <w:tcW w:w="1120" w:type="pct"/>
          </w:tcPr>
          <w:p w14:paraId="53FB76FD" w14:textId="77777777" w:rsidR="00A1213F" w:rsidRPr="00E0193B" w:rsidRDefault="00A1213F" w:rsidP="00E0617C">
            <w:pPr>
              <w:spacing w:after="120" w:line="240" w:lineRule="auto"/>
            </w:pPr>
            <w:r w:rsidRPr="00E0193B">
              <w:t>Szacowany koszt</w:t>
            </w:r>
          </w:p>
        </w:tc>
        <w:tc>
          <w:tcPr>
            <w:tcW w:w="3880" w:type="pct"/>
          </w:tcPr>
          <w:p w14:paraId="7110BA79" w14:textId="77777777" w:rsidR="00A1213F" w:rsidRPr="00E0193B" w:rsidRDefault="00A1213F" w:rsidP="00E0617C">
            <w:pPr>
              <w:spacing w:after="120" w:line="240" w:lineRule="auto"/>
            </w:pPr>
            <w:r w:rsidRPr="00E0193B">
              <w:t>Bez zmian</w:t>
            </w:r>
          </w:p>
        </w:tc>
      </w:tr>
      <w:tr w:rsidR="00A1213F" w:rsidRPr="00E0193B" w14:paraId="43523C5E" w14:textId="77777777" w:rsidTr="00E0617C">
        <w:tc>
          <w:tcPr>
            <w:tcW w:w="1120" w:type="pct"/>
          </w:tcPr>
          <w:p w14:paraId="7852CC8A" w14:textId="77777777" w:rsidR="00A1213F" w:rsidRPr="00E0193B" w:rsidRDefault="00A1213F" w:rsidP="00E0617C">
            <w:pPr>
              <w:spacing w:after="120" w:line="240" w:lineRule="auto"/>
            </w:pPr>
            <w:r w:rsidRPr="00E0193B">
              <w:t>Klimatyczny i cyfrowy tagging</w:t>
            </w:r>
          </w:p>
        </w:tc>
        <w:tc>
          <w:tcPr>
            <w:tcW w:w="3880" w:type="pct"/>
          </w:tcPr>
          <w:p w14:paraId="1B7DC744" w14:textId="77777777" w:rsidR="00A1213F" w:rsidRPr="00E0193B" w:rsidRDefault="00A1213F" w:rsidP="00E0617C">
            <w:pPr>
              <w:spacing w:after="120" w:line="240" w:lineRule="auto"/>
            </w:pPr>
            <w:r w:rsidRPr="00E0193B">
              <w:t>Zmiana nie ma wpływu na tagging klimatyczny i cyfrowy</w:t>
            </w:r>
          </w:p>
        </w:tc>
      </w:tr>
      <w:tr w:rsidR="00A1213F" w:rsidRPr="00E0193B" w14:paraId="2B053B30" w14:textId="77777777" w:rsidTr="00E0617C">
        <w:tc>
          <w:tcPr>
            <w:tcW w:w="1120" w:type="pct"/>
          </w:tcPr>
          <w:p w14:paraId="44E2B29F" w14:textId="77777777" w:rsidR="00A1213F" w:rsidRPr="00E0193B" w:rsidRDefault="00A1213F" w:rsidP="00E0617C">
            <w:pPr>
              <w:spacing w:after="120" w:line="240" w:lineRule="auto"/>
            </w:pPr>
            <w:r w:rsidRPr="00E0193B">
              <w:t xml:space="preserve">Ocena DNSH </w:t>
            </w:r>
          </w:p>
        </w:tc>
        <w:tc>
          <w:tcPr>
            <w:tcW w:w="3880" w:type="pct"/>
          </w:tcPr>
          <w:p w14:paraId="47EB5ABF" w14:textId="77777777" w:rsidR="00A1213F" w:rsidRPr="00E0193B" w:rsidRDefault="00A1213F" w:rsidP="00E0617C">
            <w:pPr>
              <w:spacing w:after="120" w:line="240" w:lineRule="auto"/>
            </w:pPr>
            <w:r w:rsidRPr="00E0193B">
              <w:t>Zmiana nie ma wpływu na DNSH</w:t>
            </w:r>
          </w:p>
        </w:tc>
      </w:tr>
    </w:tbl>
    <w:p w14:paraId="10A96A21" w14:textId="77777777" w:rsidR="00A1213F" w:rsidRPr="00E0193B" w:rsidRDefault="00A1213F" w:rsidP="00A1213F">
      <w:pPr>
        <w:spacing w:after="120" w:line="240" w:lineRule="auto"/>
        <w:jc w:val="left"/>
        <w:rPr>
          <w:rFonts w:eastAsia="Calibri"/>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0"/>
        <w:gridCol w:w="7036"/>
      </w:tblGrid>
      <w:tr w:rsidR="00A1213F" w:rsidRPr="00E0193B" w14:paraId="58D7B511" w14:textId="77777777" w:rsidTr="00E0617C">
        <w:tc>
          <w:tcPr>
            <w:tcW w:w="1098" w:type="pct"/>
            <w:shd w:val="clear" w:color="auto" w:fill="auto"/>
          </w:tcPr>
          <w:p w14:paraId="4E591EED" w14:textId="77777777" w:rsidR="00A1213F" w:rsidRPr="00E0193B" w:rsidRDefault="00A1213F" w:rsidP="00E0617C">
            <w:pPr>
              <w:spacing w:after="120" w:line="240" w:lineRule="auto"/>
              <w:jc w:val="left"/>
              <w:rPr>
                <w:rFonts w:eastAsia="Calibri"/>
                <w:b/>
                <w:bCs/>
              </w:rPr>
            </w:pPr>
            <w:r w:rsidRPr="00E0193B">
              <w:rPr>
                <w:rFonts w:eastAsia="Calibri"/>
                <w:b/>
                <w:bCs/>
              </w:rPr>
              <w:t>Numer inwestycji</w:t>
            </w:r>
          </w:p>
        </w:tc>
        <w:tc>
          <w:tcPr>
            <w:tcW w:w="3902" w:type="pct"/>
            <w:shd w:val="clear" w:color="auto" w:fill="auto"/>
          </w:tcPr>
          <w:p w14:paraId="4C0437A6" w14:textId="77777777" w:rsidR="00A1213F" w:rsidRPr="00E0193B" w:rsidRDefault="00A1213F" w:rsidP="00E0617C">
            <w:pPr>
              <w:spacing w:after="120"/>
              <w:ind w:left="550" w:hanging="567"/>
              <w:contextualSpacing/>
              <w:rPr>
                <w:b/>
                <w:bCs/>
              </w:rPr>
            </w:pPr>
            <w:r w:rsidRPr="00E0193B">
              <w:rPr>
                <w:b/>
                <w:bCs/>
              </w:rPr>
              <w:t>D1.2.1.</w:t>
            </w:r>
          </w:p>
        </w:tc>
      </w:tr>
      <w:tr w:rsidR="00A1213F" w:rsidRPr="00935797" w14:paraId="41D5915A" w14:textId="77777777" w:rsidTr="00E0617C">
        <w:tc>
          <w:tcPr>
            <w:tcW w:w="1098" w:type="pct"/>
            <w:shd w:val="clear" w:color="auto" w:fill="auto"/>
          </w:tcPr>
          <w:p w14:paraId="664A3E3E" w14:textId="77777777" w:rsidR="00A1213F" w:rsidRPr="00E0193B" w:rsidRDefault="00A1213F" w:rsidP="00E0617C">
            <w:pPr>
              <w:spacing w:after="120"/>
              <w:ind w:left="67"/>
              <w:contextualSpacing/>
              <w:rPr>
                <w:b/>
                <w:bCs/>
              </w:rPr>
            </w:pPr>
            <w:r w:rsidRPr="00E0193B">
              <w:rPr>
                <w:b/>
                <w:bCs/>
              </w:rPr>
              <w:t xml:space="preserve">Nazwa inwestycji </w:t>
            </w:r>
          </w:p>
        </w:tc>
        <w:tc>
          <w:tcPr>
            <w:tcW w:w="3902" w:type="pct"/>
            <w:shd w:val="clear" w:color="auto" w:fill="auto"/>
          </w:tcPr>
          <w:p w14:paraId="4942AE09" w14:textId="77777777" w:rsidR="00A1213F" w:rsidRPr="00E0193B" w:rsidRDefault="00A1213F" w:rsidP="00E0617C">
            <w:pPr>
              <w:spacing w:after="120"/>
              <w:contextualSpacing/>
              <w:rPr>
                <w:lang w:eastAsia="pl-PL"/>
              </w:rPr>
            </w:pPr>
            <w:r w:rsidRPr="00E0193B">
              <w:rPr>
                <w:b/>
                <w:bCs/>
              </w:rPr>
              <w:t>Rozwój opieki długoterminowej poprzez modernizację infrastruktury podmiotów leczniczych na poziomie powiatowym</w:t>
            </w:r>
            <w:r w:rsidRPr="00E0193B" w:rsidDel="007A4127">
              <w:rPr>
                <w:lang w:eastAsia="pl-PL"/>
              </w:rPr>
              <w:t xml:space="preserve"> </w:t>
            </w:r>
          </w:p>
          <w:p w14:paraId="1E1B5D1F" w14:textId="77777777" w:rsidR="00A1213F" w:rsidRPr="00E0193B" w:rsidRDefault="00A1213F" w:rsidP="00E0617C">
            <w:pPr>
              <w:spacing w:after="120"/>
              <w:contextualSpacing/>
              <w:rPr>
                <w:b/>
                <w:bCs/>
                <w:lang w:val="en-GB"/>
              </w:rPr>
            </w:pPr>
            <w:r w:rsidRPr="00E0193B">
              <w:rPr>
                <w:b/>
                <w:bCs/>
                <w:lang w:val="en-GB"/>
              </w:rPr>
              <w:t xml:space="preserve">Development of long-term care by modernisation of medical entities’ infrastructure at district level </w:t>
            </w:r>
          </w:p>
          <w:p w14:paraId="1AD03D8A" w14:textId="77777777" w:rsidR="00A1213F" w:rsidRPr="00E0193B" w:rsidRDefault="00A1213F" w:rsidP="00E0617C">
            <w:pPr>
              <w:spacing w:after="120"/>
              <w:contextualSpacing/>
              <w:rPr>
                <w:b/>
                <w:bCs/>
                <w:lang w:val="en-GB"/>
              </w:rPr>
            </w:pPr>
          </w:p>
        </w:tc>
      </w:tr>
      <w:tr w:rsidR="00A1213F" w:rsidRPr="00935797" w14:paraId="3254C674" w14:textId="77777777" w:rsidTr="00E0617C">
        <w:trPr>
          <w:trHeight w:val="1212"/>
        </w:trPr>
        <w:tc>
          <w:tcPr>
            <w:tcW w:w="1098" w:type="pct"/>
            <w:shd w:val="clear" w:color="auto" w:fill="auto"/>
          </w:tcPr>
          <w:p w14:paraId="393608B5" w14:textId="77777777" w:rsidR="00A1213F" w:rsidRPr="00E0193B" w:rsidRDefault="00A1213F" w:rsidP="00E0617C">
            <w:pPr>
              <w:spacing w:after="120"/>
              <w:ind w:left="67"/>
              <w:contextualSpacing/>
            </w:pPr>
            <w:r w:rsidRPr="00E0193B">
              <w:lastRenderedPageBreak/>
              <w:t>Rodzaj wprowadzonej zmiany w odniesieniu do CID</w:t>
            </w:r>
          </w:p>
        </w:tc>
        <w:tc>
          <w:tcPr>
            <w:tcW w:w="3902" w:type="pct"/>
            <w:shd w:val="clear" w:color="auto" w:fill="auto"/>
          </w:tcPr>
          <w:p w14:paraId="68F8C784" w14:textId="77777777" w:rsidR="00A1213F" w:rsidRPr="00E0193B" w:rsidRDefault="00A1213F" w:rsidP="00E0617C">
            <w:pPr>
              <w:spacing w:line="259" w:lineRule="auto"/>
              <w:jc w:val="left"/>
              <w:rPr>
                <w:rFonts w:eastAsia="Calibri"/>
              </w:rPr>
            </w:pPr>
            <w:r w:rsidRPr="00E0193B">
              <w:rPr>
                <w:rFonts w:eastAsia="Calibri"/>
              </w:rPr>
              <w:t>Przeniesienie inwestycji z części pożyczkowej do części grantowej KPO.</w:t>
            </w:r>
          </w:p>
          <w:p w14:paraId="2B0B02E6" w14:textId="77777777" w:rsidR="00A1213F" w:rsidRPr="00E0193B" w:rsidRDefault="00A1213F" w:rsidP="00E0617C">
            <w:pPr>
              <w:spacing w:line="259" w:lineRule="auto"/>
              <w:jc w:val="left"/>
              <w:rPr>
                <w:rFonts w:eastAsia="Calibri"/>
              </w:rPr>
            </w:pPr>
            <w:r w:rsidRPr="00E0193B">
              <w:rPr>
                <w:rFonts w:eastAsia="Calibri"/>
              </w:rPr>
              <w:t>Zwiększenie budżetu do 300 mln EUR.</w:t>
            </w:r>
          </w:p>
          <w:p w14:paraId="607AF344" w14:textId="77777777" w:rsidR="00A1213F" w:rsidRPr="00E0193B" w:rsidRDefault="00A1213F" w:rsidP="00E0617C">
            <w:pPr>
              <w:spacing w:line="259" w:lineRule="auto"/>
              <w:jc w:val="left"/>
              <w:rPr>
                <w:rFonts w:eastAsia="Calibri"/>
              </w:rPr>
            </w:pPr>
            <w:r w:rsidRPr="00E0193B">
              <w:rPr>
                <w:rFonts w:eastAsia="Calibri"/>
              </w:rPr>
              <w:t>Zmiana wartości wskaźnikow D4L-D5L</w:t>
            </w:r>
          </w:p>
          <w:p w14:paraId="67D35D01" w14:textId="77777777" w:rsidR="00A1213F" w:rsidRPr="00E0193B" w:rsidRDefault="00A1213F" w:rsidP="00E0617C">
            <w:pPr>
              <w:spacing w:line="259" w:lineRule="auto"/>
              <w:jc w:val="left"/>
              <w:rPr>
                <w:rFonts w:eastAsia="Calibri"/>
              </w:rPr>
            </w:pPr>
            <w:r w:rsidRPr="00E0193B">
              <w:rPr>
                <w:rFonts w:eastAsia="Calibri"/>
              </w:rPr>
              <w:t xml:space="preserve">Zmiana terminów wskaźnika D3L </w:t>
            </w:r>
          </w:p>
          <w:p w14:paraId="32A3DF62" w14:textId="77777777" w:rsidR="00A1213F" w:rsidRPr="00E0193B" w:rsidRDefault="00A1213F" w:rsidP="00E06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lang w:val="en" w:eastAsia="pl-PL"/>
              </w:rPr>
            </w:pPr>
            <w:r w:rsidRPr="00E0193B">
              <w:rPr>
                <w:lang w:val="en" w:eastAsia="pl-PL"/>
              </w:rPr>
              <w:t>Transferring the investment from the loan part to the grant part of the KPO.</w:t>
            </w:r>
          </w:p>
          <w:p w14:paraId="53BD7B48" w14:textId="77777777" w:rsidR="00A1213F" w:rsidRPr="00E0193B" w:rsidRDefault="00A1213F" w:rsidP="00E06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lang w:val="en" w:eastAsia="pl-PL"/>
              </w:rPr>
            </w:pPr>
            <w:r w:rsidRPr="00E0193B">
              <w:rPr>
                <w:lang w:val="en" w:eastAsia="pl-PL"/>
              </w:rPr>
              <w:t>Budget increase to EUR 300 million.</w:t>
            </w:r>
          </w:p>
          <w:p w14:paraId="272F5A57" w14:textId="77777777" w:rsidR="00A1213F" w:rsidRPr="00E0193B" w:rsidRDefault="00A1213F" w:rsidP="00E06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lang w:val="en" w:eastAsia="pl-PL"/>
              </w:rPr>
            </w:pPr>
            <w:r w:rsidRPr="00E0193B">
              <w:rPr>
                <w:lang w:val="en" w:eastAsia="pl-PL"/>
              </w:rPr>
              <w:t>Change in the values ​​of D4L-D5L indicators</w:t>
            </w:r>
          </w:p>
          <w:p w14:paraId="28788360" w14:textId="220479CC" w:rsidR="00A1213F" w:rsidRPr="007E255E" w:rsidRDefault="00A1213F" w:rsidP="007E2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lang w:val="en-GB" w:eastAsia="pl-PL"/>
              </w:rPr>
            </w:pPr>
            <w:r w:rsidRPr="00E0193B">
              <w:rPr>
                <w:lang w:val="en" w:eastAsia="pl-PL"/>
              </w:rPr>
              <w:t>Change of D3L indicator completion date.</w:t>
            </w:r>
          </w:p>
        </w:tc>
      </w:tr>
      <w:tr w:rsidR="00A1213F" w:rsidRPr="00E0193B" w14:paraId="634DE248" w14:textId="77777777" w:rsidTr="00E0617C">
        <w:tc>
          <w:tcPr>
            <w:tcW w:w="1098" w:type="pct"/>
            <w:shd w:val="clear" w:color="auto" w:fill="auto"/>
          </w:tcPr>
          <w:p w14:paraId="794E1C0A" w14:textId="77777777" w:rsidR="00A1213F" w:rsidRPr="00E0193B" w:rsidRDefault="00A1213F" w:rsidP="00E0617C">
            <w:pPr>
              <w:spacing w:after="120"/>
              <w:ind w:left="67"/>
              <w:contextualSpacing/>
            </w:pPr>
            <w:r w:rsidRPr="00E0193B">
              <w:t>Podstawa prawna zmiany</w:t>
            </w:r>
          </w:p>
        </w:tc>
        <w:tc>
          <w:tcPr>
            <w:tcW w:w="3902" w:type="pct"/>
            <w:shd w:val="clear" w:color="auto" w:fill="auto"/>
          </w:tcPr>
          <w:p w14:paraId="4496ABE9" w14:textId="77777777" w:rsidR="00A1213F" w:rsidRPr="00E0193B" w:rsidRDefault="00A1213F" w:rsidP="00E0617C">
            <w:pPr>
              <w:contextualSpacing/>
            </w:pPr>
            <w:r w:rsidRPr="00E0193B">
              <w:t>art. 21 rozporządzenia Parlamentu Europejskiego i Rady (UE) 2021/241 z dnia 12 lutego 2021 r. ustanawiającego Instrument na rzecz Odbudowy i Zwiększania Odporności</w:t>
            </w:r>
          </w:p>
        </w:tc>
      </w:tr>
      <w:tr w:rsidR="00A1213F" w:rsidRPr="00E0193B" w14:paraId="326DA0D7" w14:textId="77777777" w:rsidTr="00E0617C">
        <w:tc>
          <w:tcPr>
            <w:tcW w:w="1098" w:type="pct"/>
          </w:tcPr>
          <w:p w14:paraId="3DEEDFCA" w14:textId="77777777" w:rsidR="00A1213F" w:rsidRPr="00E0193B" w:rsidRDefault="00A1213F" w:rsidP="00E0617C">
            <w:pPr>
              <w:spacing w:after="120" w:line="240" w:lineRule="auto"/>
              <w:jc w:val="left"/>
              <w:rPr>
                <w:rFonts w:eastAsia="Calibri"/>
              </w:rPr>
            </w:pPr>
            <w:r w:rsidRPr="00E0193B">
              <w:rPr>
                <w:rFonts w:eastAsia="Calibri"/>
              </w:rPr>
              <w:t>Uzasadnienie</w:t>
            </w:r>
          </w:p>
        </w:tc>
        <w:tc>
          <w:tcPr>
            <w:tcW w:w="3902" w:type="pct"/>
          </w:tcPr>
          <w:p w14:paraId="100C16FC" w14:textId="77777777" w:rsidR="00A1213F" w:rsidRPr="00E0193B" w:rsidRDefault="00A1213F" w:rsidP="00E0617C">
            <w:pPr>
              <w:autoSpaceDE w:val="0"/>
              <w:autoSpaceDN w:val="0"/>
              <w:adjustRightInd w:val="0"/>
              <w:spacing w:after="0" w:line="240" w:lineRule="auto"/>
              <w:jc w:val="left"/>
              <w:rPr>
                <w:rFonts w:eastAsia="Calibri"/>
              </w:rPr>
            </w:pPr>
          </w:p>
          <w:p w14:paraId="3ADA89C7" w14:textId="7183EEFE" w:rsidR="00A1213F" w:rsidRPr="00E0193B" w:rsidRDefault="00A1213F" w:rsidP="00E0617C">
            <w:pPr>
              <w:autoSpaceDE w:val="0"/>
              <w:autoSpaceDN w:val="0"/>
              <w:adjustRightInd w:val="0"/>
              <w:spacing w:after="0" w:line="240" w:lineRule="auto"/>
              <w:jc w:val="left"/>
              <w:rPr>
                <w:rFonts w:eastAsia="Calibri"/>
              </w:rPr>
            </w:pPr>
            <w:r w:rsidRPr="00E0193B">
              <w:rPr>
                <w:rFonts w:eastAsia="Calibri"/>
              </w:rPr>
              <w:t xml:space="preserve">Proponowane jest przeniesienie inwestycji </w:t>
            </w:r>
            <w:r w:rsidRPr="00E0193B">
              <w:rPr>
                <w:rFonts w:eastAsia="Calibri"/>
                <w:i/>
                <w:iCs/>
              </w:rPr>
              <w:t>D1.2.1 Rozwój opieki długoterminowej poprzez modernizację infrastruktury podmiotów leczniczych na poziomie powiatowym</w:t>
            </w:r>
            <w:r w:rsidRPr="00E0193B">
              <w:rPr>
                <w:rFonts w:eastAsia="Calibri"/>
              </w:rPr>
              <w:t xml:space="preserve"> z części pożyczkowej do części grantowej z uwagi na konieczność zapewnienia dla podmiotow leczniczych, dla których organem założycielskim lub prowadzącym są JST finansowania bezzwrotnego. Zwiększenie budżetu inwestycji do 300 mln EUR wynika ze wzrotu cen jaki miał miejsce od czerwca 2022 roku oraz z dużego zapotrzebowania na łóżka opieki długoterminowej i geriatrycznej jako istotnego elementu systemu opieki i usług dla osób starszych i przewlekle chorych</w:t>
            </w:r>
            <w:r w:rsidR="00FD14FD">
              <w:rPr>
                <w:rFonts w:eastAsia="Calibri"/>
              </w:rPr>
              <w:t>.</w:t>
            </w:r>
            <w:r w:rsidRPr="00E0193B">
              <w:rPr>
                <w:rFonts w:eastAsia="Calibri"/>
              </w:rPr>
              <w:t xml:space="preserve"> </w:t>
            </w:r>
          </w:p>
          <w:p w14:paraId="6CE47507" w14:textId="77777777" w:rsidR="00A1213F" w:rsidRPr="00E0193B" w:rsidRDefault="00A1213F" w:rsidP="00E0617C">
            <w:pPr>
              <w:autoSpaceDE w:val="0"/>
              <w:autoSpaceDN w:val="0"/>
              <w:adjustRightInd w:val="0"/>
              <w:spacing w:after="0" w:line="240" w:lineRule="auto"/>
              <w:jc w:val="left"/>
              <w:rPr>
                <w:rFonts w:eastAsia="Calibri"/>
              </w:rPr>
            </w:pPr>
            <w:r w:rsidRPr="00E0193B">
              <w:rPr>
                <w:rFonts w:eastAsia="Calibri"/>
              </w:rPr>
              <w:t xml:space="preserve">Należy podkreślić, że w Polsce jest </w:t>
            </w:r>
            <w:r w:rsidRPr="00E0193B">
              <w:rPr>
                <w:rStyle w:val="hgkelc"/>
                <w:b/>
                <w:bCs/>
              </w:rPr>
              <w:t>314</w:t>
            </w:r>
            <w:r w:rsidRPr="00E0193B">
              <w:rPr>
                <w:rStyle w:val="hgkelc"/>
              </w:rPr>
              <w:t xml:space="preserve"> powiatów i 66 miast na prawach powiatu, co oznacza, że mimo wzrostu wartości wskaźników D3L-D5L, w ramach inwestycji zostanie wsparcia zdecydowana mniejszość z istniejących szpitali powiatowych.</w:t>
            </w:r>
          </w:p>
          <w:p w14:paraId="0AD1EC94" w14:textId="31614D9D" w:rsidR="00A1213F" w:rsidRPr="00DD3979" w:rsidRDefault="00A1213F" w:rsidP="007E255E">
            <w:pPr>
              <w:pStyle w:val="HTML-wstpniesformatowany"/>
              <w:rPr>
                <w:rFonts w:ascii="Times New Roman" w:hAnsi="Times New Roman" w:cs="Times New Roman"/>
                <w:sz w:val="24"/>
                <w:szCs w:val="24"/>
              </w:rPr>
            </w:pPr>
          </w:p>
        </w:tc>
      </w:tr>
      <w:tr w:rsidR="00A1213F" w:rsidRPr="00E0193B" w14:paraId="1592C78C" w14:textId="77777777" w:rsidTr="00E0617C">
        <w:tc>
          <w:tcPr>
            <w:tcW w:w="1098" w:type="pct"/>
          </w:tcPr>
          <w:p w14:paraId="32C01EFD" w14:textId="77777777" w:rsidR="00A1213F" w:rsidRPr="00E0193B" w:rsidRDefault="00A1213F" w:rsidP="00E0617C">
            <w:pPr>
              <w:spacing w:after="120" w:line="240" w:lineRule="auto"/>
              <w:jc w:val="left"/>
              <w:rPr>
                <w:rFonts w:eastAsia="Calibri"/>
              </w:rPr>
            </w:pPr>
            <w:r w:rsidRPr="00E0193B">
              <w:rPr>
                <w:rFonts w:eastAsia="Calibri"/>
              </w:rPr>
              <w:t>Szacowany koszt</w:t>
            </w:r>
          </w:p>
        </w:tc>
        <w:tc>
          <w:tcPr>
            <w:tcW w:w="3902" w:type="pct"/>
          </w:tcPr>
          <w:p w14:paraId="0F71A34F" w14:textId="77777777" w:rsidR="00A1213F" w:rsidRPr="00E0193B" w:rsidRDefault="00A1213F" w:rsidP="00E0617C">
            <w:pPr>
              <w:spacing w:after="120" w:line="240" w:lineRule="auto"/>
              <w:jc w:val="left"/>
              <w:rPr>
                <w:rFonts w:eastAsia="Calibri"/>
                <w:b/>
                <w:bCs/>
              </w:rPr>
            </w:pPr>
            <w:r w:rsidRPr="00E0193B">
              <w:rPr>
                <w:rFonts w:eastAsia="Calibri"/>
              </w:rPr>
              <w:t>Zmiana wpływa na „uwolnienie” środkow w części pożyczkowej</w:t>
            </w:r>
          </w:p>
        </w:tc>
      </w:tr>
      <w:tr w:rsidR="00A1213F" w:rsidRPr="00E0193B" w14:paraId="5563CAB7" w14:textId="77777777" w:rsidTr="00E0617C">
        <w:tc>
          <w:tcPr>
            <w:tcW w:w="1098" w:type="pct"/>
          </w:tcPr>
          <w:p w14:paraId="3AFE0207" w14:textId="77777777" w:rsidR="00A1213F" w:rsidRPr="00E0193B" w:rsidRDefault="00A1213F" w:rsidP="00E0617C">
            <w:pPr>
              <w:spacing w:after="120" w:line="240" w:lineRule="auto"/>
              <w:jc w:val="left"/>
              <w:rPr>
                <w:rFonts w:eastAsia="Calibri"/>
              </w:rPr>
            </w:pPr>
            <w:r w:rsidRPr="00E0193B">
              <w:rPr>
                <w:rFonts w:eastAsia="Calibri"/>
              </w:rPr>
              <w:t xml:space="preserve">Cyfrowy i klimatyczny tagging </w:t>
            </w:r>
          </w:p>
        </w:tc>
        <w:tc>
          <w:tcPr>
            <w:tcW w:w="3902" w:type="pct"/>
          </w:tcPr>
          <w:p w14:paraId="3DA09AEA" w14:textId="77777777" w:rsidR="00A1213F" w:rsidRPr="00E0193B" w:rsidRDefault="00A1213F" w:rsidP="00E0617C">
            <w:pPr>
              <w:spacing w:after="120" w:line="240" w:lineRule="auto"/>
              <w:jc w:val="left"/>
              <w:rPr>
                <w:rFonts w:eastAsia="Calibri"/>
              </w:rPr>
            </w:pPr>
            <w:r w:rsidRPr="00E0193B">
              <w:rPr>
                <w:rFonts w:eastAsia="Calibri"/>
              </w:rPr>
              <w:t>Zmiana nie ma wpływu na tagging klimatyczny i cyfrowy</w:t>
            </w:r>
          </w:p>
        </w:tc>
      </w:tr>
      <w:tr w:rsidR="00A1213F" w:rsidRPr="00E0193B" w14:paraId="1A6142D9" w14:textId="77777777" w:rsidTr="00E0617C">
        <w:tc>
          <w:tcPr>
            <w:tcW w:w="1098" w:type="pct"/>
            <w:tcBorders>
              <w:bottom w:val="single" w:sz="4" w:space="0" w:color="auto"/>
            </w:tcBorders>
          </w:tcPr>
          <w:p w14:paraId="7064A1CC" w14:textId="77777777" w:rsidR="00A1213F" w:rsidRPr="00E0193B" w:rsidRDefault="00A1213F" w:rsidP="00E0617C">
            <w:pPr>
              <w:spacing w:after="120" w:line="240" w:lineRule="auto"/>
              <w:jc w:val="left"/>
              <w:rPr>
                <w:rFonts w:eastAsia="Calibri"/>
              </w:rPr>
            </w:pPr>
            <w:r w:rsidRPr="00E0193B">
              <w:rPr>
                <w:rFonts w:eastAsia="Calibri"/>
              </w:rPr>
              <w:t xml:space="preserve">Zasada DNSH </w:t>
            </w:r>
          </w:p>
        </w:tc>
        <w:tc>
          <w:tcPr>
            <w:tcW w:w="3902" w:type="pct"/>
            <w:tcBorders>
              <w:bottom w:val="single" w:sz="4" w:space="0" w:color="auto"/>
            </w:tcBorders>
          </w:tcPr>
          <w:p w14:paraId="5FA00EB6" w14:textId="77777777" w:rsidR="00A1213F" w:rsidRPr="00E0193B" w:rsidRDefault="00A1213F" w:rsidP="00E0617C">
            <w:pPr>
              <w:spacing w:after="120" w:line="240" w:lineRule="auto"/>
              <w:jc w:val="left"/>
              <w:rPr>
                <w:rFonts w:eastAsia="Calibri"/>
              </w:rPr>
            </w:pPr>
            <w:r w:rsidRPr="00E0193B">
              <w:rPr>
                <w:rFonts w:eastAsia="Calibri"/>
              </w:rPr>
              <w:t>Zmiana nie ma wpływu na DNSH</w:t>
            </w:r>
          </w:p>
        </w:tc>
      </w:tr>
      <w:tr w:rsidR="00A1213F" w:rsidRPr="00E0193B" w14:paraId="786F9442" w14:textId="77777777" w:rsidTr="00E0617C">
        <w:tc>
          <w:tcPr>
            <w:tcW w:w="1098" w:type="pct"/>
            <w:tcBorders>
              <w:bottom w:val="single" w:sz="4" w:space="0" w:color="auto"/>
            </w:tcBorders>
          </w:tcPr>
          <w:p w14:paraId="204E336F" w14:textId="77777777" w:rsidR="00A1213F" w:rsidRPr="00E0193B" w:rsidRDefault="00A1213F" w:rsidP="00E0617C">
            <w:pPr>
              <w:spacing w:after="120" w:line="240" w:lineRule="auto"/>
              <w:jc w:val="left"/>
              <w:rPr>
                <w:rFonts w:eastAsia="Calibri"/>
              </w:rPr>
            </w:pPr>
            <w:r w:rsidRPr="00E0193B">
              <w:rPr>
                <w:rFonts w:eastAsia="Calibri"/>
              </w:rPr>
              <w:t xml:space="preserve">Pomoc publiczna </w:t>
            </w:r>
          </w:p>
        </w:tc>
        <w:tc>
          <w:tcPr>
            <w:tcW w:w="3902" w:type="pct"/>
            <w:tcBorders>
              <w:bottom w:val="single" w:sz="4" w:space="0" w:color="auto"/>
            </w:tcBorders>
          </w:tcPr>
          <w:p w14:paraId="7317F06E" w14:textId="77777777" w:rsidR="00A1213F" w:rsidRPr="00E0193B" w:rsidRDefault="00A1213F" w:rsidP="00E0617C">
            <w:pPr>
              <w:spacing w:after="120" w:line="240" w:lineRule="auto"/>
              <w:jc w:val="left"/>
              <w:rPr>
                <w:rFonts w:eastAsia="Calibri"/>
              </w:rPr>
            </w:pPr>
            <w:r w:rsidRPr="00E0193B">
              <w:rPr>
                <w:rFonts w:eastAsia="Calibri"/>
              </w:rPr>
              <w:t>Nie dotyczy</w:t>
            </w:r>
          </w:p>
        </w:tc>
      </w:tr>
    </w:tbl>
    <w:p w14:paraId="449E0D63" w14:textId="7E7468BA" w:rsidR="00B72575" w:rsidRPr="00E0193B" w:rsidRDefault="00B72575" w:rsidP="00D94758">
      <w:pPr>
        <w:spacing w:after="120" w:line="240" w:lineRule="auto"/>
        <w:jc w:val="left"/>
        <w:rPr>
          <w:rFonts w:eastAsia="Calibri"/>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20"/>
        <w:gridCol w:w="6996"/>
      </w:tblGrid>
      <w:tr w:rsidR="00B72575" w:rsidRPr="00E0193B" w14:paraId="04689433" w14:textId="77777777" w:rsidTr="000B39E5">
        <w:tc>
          <w:tcPr>
            <w:tcW w:w="1120" w:type="pct"/>
            <w:shd w:val="clear" w:color="auto" w:fill="FFFFFF" w:themeFill="background1"/>
          </w:tcPr>
          <w:p w14:paraId="34990CDC" w14:textId="77777777" w:rsidR="00B72575" w:rsidRPr="00E0193B" w:rsidRDefault="00B72575" w:rsidP="00B72575">
            <w:pPr>
              <w:spacing w:after="120" w:line="240" w:lineRule="auto"/>
              <w:jc w:val="left"/>
              <w:rPr>
                <w:rFonts w:eastAsia="Calibri"/>
                <w:b/>
                <w:bCs/>
              </w:rPr>
            </w:pPr>
            <w:r w:rsidRPr="00E0193B">
              <w:rPr>
                <w:rFonts w:eastAsia="Calibri"/>
                <w:b/>
                <w:bCs/>
              </w:rPr>
              <w:t>Numer reformy</w:t>
            </w:r>
          </w:p>
        </w:tc>
        <w:tc>
          <w:tcPr>
            <w:tcW w:w="3880" w:type="pct"/>
            <w:shd w:val="clear" w:color="auto" w:fill="FFFFFF" w:themeFill="background1"/>
          </w:tcPr>
          <w:p w14:paraId="6E8F2418" w14:textId="77777777" w:rsidR="00B72575" w:rsidRPr="00E0193B" w:rsidRDefault="00B72575" w:rsidP="00B72575">
            <w:pPr>
              <w:spacing w:after="120" w:line="240" w:lineRule="auto"/>
              <w:jc w:val="left"/>
              <w:rPr>
                <w:rFonts w:eastAsia="Calibri"/>
                <w:b/>
                <w:bCs/>
              </w:rPr>
            </w:pPr>
            <w:r w:rsidRPr="00E0193B">
              <w:rPr>
                <w:rFonts w:eastAsia="Calibri"/>
                <w:b/>
                <w:bCs/>
              </w:rPr>
              <w:t>D3.2.</w:t>
            </w:r>
          </w:p>
        </w:tc>
      </w:tr>
      <w:tr w:rsidR="00B72575" w:rsidRPr="00E0193B" w14:paraId="77BC032F" w14:textId="77777777" w:rsidTr="000B39E5">
        <w:tc>
          <w:tcPr>
            <w:tcW w:w="1120" w:type="pct"/>
            <w:shd w:val="clear" w:color="auto" w:fill="FFFFFF" w:themeFill="background1"/>
          </w:tcPr>
          <w:p w14:paraId="3B0A1629" w14:textId="77777777" w:rsidR="00B72575" w:rsidRPr="00E0193B" w:rsidRDefault="00B72575" w:rsidP="00B72575">
            <w:pPr>
              <w:spacing w:after="120" w:line="240" w:lineRule="auto"/>
              <w:jc w:val="left"/>
              <w:rPr>
                <w:rFonts w:eastAsia="Calibri"/>
                <w:b/>
                <w:bCs/>
              </w:rPr>
            </w:pPr>
            <w:r w:rsidRPr="00E0193B">
              <w:rPr>
                <w:rFonts w:eastAsia="Calibri"/>
                <w:b/>
                <w:bCs/>
              </w:rPr>
              <w:t>Nazwa reformy</w:t>
            </w:r>
          </w:p>
        </w:tc>
        <w:tc>
          <w:tcPr>
            <w:tcW w:w="3880" w:type="pct"/>
            <w:shd w:val="clear" w:color="auto" w:fill="FFFFFF" w:themeFill="background1"/>
          </w:tcPr>
          <w:p w14:paraId="0D00EE20" w14:textId="77777777" w:rsidR="00B72575" w:rsidRPr="00E0193B" w:rsidRDefault="00B72575" w:rsidP="00B72575">
            <w:pPr>
              <w:spacing w:after="120" w:line="240" w:lineRule="auto"/>
              <w:jc w:val="left"/>
              <w:rPr>
                <w:rFonts w:eastAsia="Calibri"/>
                <w:b/>
                <w:bCs/>
              </w:rPr>
            </w:pPr>
            <w:r w:rsidRPr="00E0193B">
              <w:rPr>
                <w:rFonts w:eastAsia="Calibri"/>
                <w:b/>
                <w:bCs/>
              </w:rPr>
              <w:t>Stworzenie sprzyjających warunków dla rozwoju sektora leków i wyrobów medycznych</w:t>
            </w:r>
          </w:p>
        </w:tc>
      </w:tr>
      <w:tr w:rsidR="00B72575" w:rsidRPr="00E0193B" w14:paraId="5B4FF327" w14:textId="77777777" w:rsidTr="004309CB">
        <w:tc>
          <w:tcPr>
            <w:tcW w:w="1120" w:type="pct"/>
            <w:shd w:val="clear" w:color="auto" w:fill="auto"/>
          </w:tcPr>
          <w:p w14:paraId="02D31FCF" w14:textId="77777777" w:rsidR="00B72575" w:rsidRPr="00E0193B" w:rsidRDefault="00B72575" w:rsidP="00B72575">
            <w:pPr>
              <w:spacing w:after="120" w:line="240" w:lineRule="auto"/>
              <w:jc w:val="left"/>
              <w:rPr>
                <w:rFonts w:eastAsia="Calibri"/>
              </w:rPr>
            </w:pPr>
            <w:r w:rsidRPr="00E0193B">
              <w:rPr>
                <w:rFonts w:eastAsia="Calibri"/>
              </w:rPr>
              <w:t>Rodzaj wprowadzonej zmiany w odniesieniu do CID</w:t>
            </w:r>
          </w:p>
        </w:tc>
        <w:tc>
          <w:tcPr>
            <w:tcW w:w="3880" w:type="pct"/>
            <w:shd w:val="clear" w:color="auto" w:fill="auto"/>
          </w:tcPr>
          <w:p w14:paraId="2CD3FAF9" w14:textId="78350CBF" w:rsidR="00B72575" w:rsidRPr="00E0193B" w:rsidRDefault="004309CB" w:rsidP="00B72575">
            <w:pPr>
              <w:spacing w:after="120" w:line="240" w:lineRule="auto"/>
              <w:jc w:val="left"/>
              <w:rPr>
                <w:rFonts w:eastAsia="Calibri"/>
              </w:rPr>
            </w:pPr>
            <w:r w:rsidRPr="00E0193B">
              <w:rPr>
                <w:rFonts w:eastAsia="Calibri"/>
              </w:rPr>
              <w:t>Usunięcie reformy i powiązanego z nią wskaźnika D6L</w:t>
            </w:r>
          </w:p>
        </w:tc>
      </w:tr>
      <w:tr w:rsidR="00B72575" w:rsidRPr="00E0193B" w14:paraId="0C1E505A" w14:textId="77777777" w:rsidTr="004309CB">
        <w:tc>
          <w:tcPr>
            <w:tcW w:w="1120" w:type="pct"/>
            <w:shd w:val="clear" w:color="auto" w:fill="auto"/>
          </w:tcPr>
          <w:p w14:paraId="25301110" w14:textId="77777777" w:rsidR="00B72575" w:rsidRPr="00E0193B" w:rsidRDefault="00B72575" w:rsidP="00B72575">
            <w:pPr>
              <w:spacing w:after="120" w:line="240" w:lineRule="auto"/>
              <w:jc w:val="left"/>
              <w:rPr>
                <w:rFonts w:eastAsia="Calibri"/>
              </w:rPr>
            </w:pPr>
            <w:r w:rsidRPr="00E0193B">
              <w:rPr>
                <w:rFonts w:eastAsia="Calibri"/>
              </w:rPr>
              <w:t>Podstawa prawna zmiany</w:t>
            </w:r>
          </w:p>
        </w:tc>
        <w:tc>
          <w:tcPr>
            <w:tcW w:w="3880" w:type="pct"/>
            <w:shd w:val="clear" w:color="auto" w:fill="auto"/>
          </w:tcPr>
          <w:p w14:paraId="400B49E3" w14:textId="17D8BA51" w:rsidR="000B39E5" w:rsidRPr="00E0193B" w:rsidRDefault="00B72575" w:rsidP="00B72575">
            <w:pPr>
              <w:spacing w:after="120" w:line="240" w:lineRule="auto"/>
              <w:jc w:val="left"/>
              <w:rPr>
                <w:rFonts w:eastAsia="Calibri"/>
              </w:rPr>
            </w:pPr>
            <w:r w:rsidRPr="00E0193B">
              <w:rPr>
                <w:rFonts w:eastAsia="Calibri"/>
              </w:rPr>
              <w:t>art. 21 rozporządzenia Parlamentu Europejskiego i Rady (UE) 2021/241 z dnia 12 lutego 2021 r. ustanawiające Instrument na rzecz Odbudowy i Zwiększania Odporności</w:t>
            </w:r>
            <w:r w:rsidR="002522AD" w:rsidRPr="00E0193B">
              <w:rPr>
                <w:rFonts w:eastAsia="Calibri"/>
              </w:rPr>
              <w:t>.</w:t>
            </w:r>
          </w:p>
        </w:tc>
      </w:tr>
      <w:tr w:rsidR="00B72575" w:rsidRPr="00E0193B" w14:paraId="49C9C7B3" w14:textId="77777777" w:rsidTr="004309CB">
        <w:tc>
          <w:tcPr>
            <w:tcW w:w="1120" w:type="pct"/>
          </w:tcPr>
          <w:p w14:paraId="4EDB2F84" w14:textId="77777777" w:rsidR="00B72575" w:rsidRPr="00E0193B" w:rsidRDefault="00B72575" w:rsidP="00B72575">
            <w:pPr>
              <w:spacing w:after="120" w:line="240" w:lineRule="auto"/>
              <w:jc w:val="left"/>
              <w:rPr>
                <w:rFonts w:eastAsia="Calibri"/>
              </w:rPr>
            </w:pPr>
            <w:r w:rsidRPr="00E0193B">
              <w:rPr>
                <w:rFonts w:eastAsia="Calibri"/>
              </w:rPr>
              <w:t>Uzasadnienie</w:t>
            </w:r>
          </w:p>
        </w:tc>
        <w:tc>
          <w:tcPr>
            <w:tcW w:w="3880" w:type="pct"/>
          </w:tcPr>
          <w:p w14:paraId="7E48CC12" w14:textId="474884C2" w:rsidR="00B72575" w:rsidRPr="00E0193B" w:rsidRDefault="000B39E5" w:rsidP="000B39E5">
            <w:pPr>
              <w:spacing w:after="120" w:line="240" w:lineRule="auto"/>
              <w:jc w:val="left"/>
              <w:rPr>
                <w:rFonts w:eastAsia="Calibri"/>
              </w:rPr>
            </w:pPr>
            <w:r w:rsidRPr="00E0193B">
              <w:rPr>
                <w:rFonts w:eastAsia="Calibri"/>
              </w:rPr>
              <w:t xml:space="preserve">Odstąpienie od realizacji reformy D3.2 jest konsekwencją rezygnacji z realizacji w ramach KPO Inwestycji D3.2.1. Reforma D3.2 jest nierozerwalnie związana z Inwestycją D3.2.1 i brak jest zasadności procedowania reformy po usunięciu Inwestycji. </w:t>
            </w:r>
          </w:p>
        </w:tc>
      </w:tr>
      <w:tr w:rsidR="00B72575" w:rsidRPr="00E0193B" w14:paraId="777DAC23" w14:textId="77777777" w:rsidTr="004309CB">
        <w:tc>
          <w:tcPr>
            <w:tcW w:w="1120" w:type="pct"/>
          </w:tcPr>
          <w:p w14:paraId="5CFEECED" w14:textId="77777777" w:rsidR="00B72575" w:rsidRPr="00E0193B" w:rsidRDefault="00B72575" w:rsidP="00B72575">
            <w:pPr>
              <w:spacing w:after="120" w:line="240" w:lineRule="auto"/>
              <w:jc w:val="left"/>
              <w:rPr>
                <w:rFonts w:eastAsia="Calibri"/>
              </w:rPr>
            </w:pPr>
            <w:r w:rsidRPr="00E0193B">
              <w:rPr>
                <w:rFonts w:eastAsia="Calibri"/>
              </w:rPr>
              <w:t>Szacowany koszy</w:t>
            </w:r>
          </w:p>
        </w:tc>
        <w:tc>
          <w:tcPr>
            <w:tcW w:w="3880" w:type="pct"/>
          </w:tcPr>
          <w:p w14:paraId="3AD42434" w14:textId="77777777" w:rsidR="00B72575" w:rsidRPr="00E0193B" w:rsidRDefault="00B72575" w:rsidP="00B72575">
            <w:pPr>
              <w:spacing w:after="120" w:line="240" w:lineRule="auto"/>
              <w:jc w:val="left"/>
              <w:rPr>
                <w:rFonts w:eastAsia="Calibri"/>
              </w:rPr>
            </w:pPr>
            <w:r w:rsidRPr="00E0193B">
              <w:rPr>
                <w:rFonts w:eastAsia="Calibri"/>
              </w:rPr>
              <w:t>Zmiana nie ma wpływu na szacowany koszt</w:t>
            </w:r>
          </w:p>
        </w:tc>
      </w:tr>
      <w:tr w:rsidR="00B72575" w:rsidRPr="00E0193B" w14:paraId="40060CEE" w14:textId="77777777" w:rsidTr="004309CB">
        <w:tc>
          <w:tcPr>
            <w:tcW w:w="1120" w:type="pct"/>
          </w:tcPr>
          <w:p w14:paraId="2B41C555" w14:textId="77777777" w:rsidR="00B72575" w:rsidRPr="00E0193B" w:rsidRDefault="00B72575" w:rsidP="00B72575">
            <w:pPr>
              <w:spacing w:after="120" w:line="240" w:lineRule="auto"/>
              <w:jc w:val="left"/>
              <w:rPr>
                <w:rFonts w:eastAsia="Calibri"/>
              </w:rPr>
            </w:pPr>
            <w:r w:rsidRPr="00E0193B">
              <w:rPr>
                <w:rFonts w:eastAsia="Calibri"/>
              </w:rPr>
              <w:t>Klimatyczny i cyfrowy tagging</w:t>
            </w:r>
          </w:p>
        </w:tc>
        <w:tc>
          <w:tcPr>
            <w:tcW w:w="3880" w:type="pct"/>
          </w:tcPr>
          <w:p w14:paraId="153C2938" w14:textId="77777777" w:rsidR="00B72575" w:rsidRPr="00E0193B" w:rsidRDefault="00B72575" w:rsidP="00B72575">
            <w:pPr>
              <w:spacing w:after="120" w:line="240" w:lineRule="auto"/>
              <w:jc w:val="left"/>
              <w:rPr>
                <w:rFonts w:eastAsia="Calibri"/>
              </w:rPr>
            </w:pPr>
            <w:r w:rsidRPr="00E0193B">
              <w:rPr>
                <w:rFonts w:eastAsia="Calibri"/>
              </w:rPr>
              <w:t>Zmiana nie ma wpływu na tagging klimatyczny i cyfrowy</w:t>
            </w:r>
          </w:p>
        </w:tc>
      </w:tr>
      <w:tr w:rsidR="00B72575" w:rsidRPr="00E0193B" w14:paraId="41FC974C" w14:textId="77777777" w:rsidTr="004309CB">
        <w:tc>
          <w:tcPr>
            <w:tcW w:w="1120" w:type="pct"/>
          </w:tcPr>
          <w:p w14:paraId="432ADA28" w14:textId="77777777" w:rsidR="00B72575" w:rsidRPr="00E0193B" w:rsidRDefault="00B72575" w:rsidP="00B72575">
            <w:pPr>
              <w:spacing w:after="120" w:line="240" w:lineRule="auto"/>
              <w:jc w:val="left"/>
              <w:rPr>
                <w:rFonts w:eastAsia="Calibri"/>
              </w:rPr>
            </w:pPr>
            <w:r w:rsidRPr="00E0193B">
              <w:rPr>
                <w:rFonts w:eastAsia="Calibri"/>
              </w:rPr>
              <w:t xml:space="preserve">Ocena DNSH </w:t>
            </w:r>
          </w:p>
        </w:tc>
        <w:tc>
          <w:tcPr>
            <w:tcW w:w="3880" w:type="pct"/>
          </w:tcPr>
          <w:p w14:paraId="5E00063F" w14:textId="77777777" w:rsidR="00B72575" w:rsidRPr="00E0193B" w:rsidRDefault="00B72575" w:rsidP="00B72575">
            <w:pPr>
              <w:spacing w:after="120" w:line="240" w:lineRule="auto"/>
              <w:jc w:val="left"/>
              <w:rPr>
                <w:rFonts w:eastAsia="Calibri"/>
              </w:rPr>
            </w:pPr>
            <w:r w:rsidRPr="00E0193B">
              <w:rPr>
                <w:rFonts w:eastAsia="Calibri"/>
              </w:rPr>
              <w:t>Zmiana nie ma wpływu na DNSH</w:t>
            </w:r>
          </w:p>
        </w:tc>
      </w:tr>
    </w:tbl>
    <w:p w14:paraId="31025103" w14:textId="77777777" w:rsidR="00B72575" w:rsidRPr="00E0193B" w:rsidRDefault="00B72575" w:rsidP="00D94758">
      <w:pPr>
        <w:spacing w:after="120" w:line="240" w:lineRule="auto"/>
        <w:jc w:val="left"/>
        <w:rPr>
          <w:rFonts w:eastAsia="Calibri"/>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02"/>
        <w:gridCol w:w="7014"/>
      </w:tblGrid>
      <w:tr w:rsidR="00D94758" w:rsidRPr="00E0193B" w14:paraId="1EC9BE55" w14:textId="77777777" w:rsidTr="008C1B0D">
        <w:tc>
          <w:tcPr>
            <w:tcW w:w="1110" w:type="pct"/>
            <w:shd w:val="clear" w:color="auto" w:fill="auto"/>
          </w:tcPr>
          <w:p w14:paraId="585EC52A" w14:textId="77777777" w:rsidR="00D94758" w:rsidRPr="00E0193B" w:rsidRDefault="00D94758" w:rsidP="00D94758">
            <w:pPr>
              <w:spacing w:after="120" w:line="240" w:lineRule="auto"/>
              <w:jc w:val="left"/>
              <w:rPr>
                <w:rFonts w:eastAsia="Calibri"/>
                <w:b/>
                <w:bCs/>
              </w:rPr>
            </w:pPr>
            <w:bookmarkStart w:id="35" w:name="_Hlk161299052"/>
            <w:r w:rsidRPr="00E0193B">
              <w:rPr>
                <w:rFonts w:eastAsia="Calibri"/>
                <w:b/>
                <w:bCs/>
              </w:rPr>
              <w:t>Numer inwestycji</w:t>
            </w:r>
          </w:p>
        </w:tc>
        <w:tc>
          <w:tcPr>
            <w:tcW w:w="3890" w:type="pct"/>
            <w:shd w:val="clear" w:color="auto" w:fill="auto"/>
          </w:tcPr>
          <w:p w14:paraId="46BEBF9D" w14:textId="77777777" w:rsidR="00D94758" w:rsidRPr="00E0193B" w:rsidRDefault="00D94758" w:rsidP="00D94758">
            <w:pPr>
              <w:spacing w:after="120"/>
              <w:ind w:left="-99" w:firstLine="142"/>
              <w:contextualSpacing/>
              <w:rPr>
                <w:b/>
                <w:bCs/>
              </w:rPr>
            </w:pPr>
            <w:r w:rsidRPr="00E0193B">
              <w:rPr>
                <w:b/>
                <w:bCs/>
              </w:rPr>
              <w:t>D3.2.1.</w:t>
            </w:r>
          </w:p>
        </w:tc>
      </w:tr>
      <w:tr w:rsidR="00D94758" w:rsidRPr="00E0193B" w14:paraId="0EB5DFF9" w14:textId="77777777" w:rsidTr="008C1B0D">
        <w:tc>
          <w:tcPr>
            <w:tcW w:w="1110" w:type="pct"/>
            <w:shd w:val="clear" w:color="auto" w:fill="auto"/>
          </w:tcPr>
          <w:p w14:paraId="3C97839E" w14:textId="77777777" w:rsidR="00D94758" w:rsidRPr="00E0193B" w:rsidRDefault="00D94758" w:rsidP="00D94758">
            <w:pPr>
              <w:spacing w:after="120"/>
              <w:contextualSpacing/>
              <w:rPr>
                <w:b/>
                <w:bCs/>
              </w:rPr>
            </w:pPr>
            <w:r w:rsidRPr="00E0193B">
              <w:rPr>
                <w:b/>
                <w:bCs/>
              </w:rPr>
              <w:t xml:space="preserve">Nazwa inwestycji </w:t>
            </w:r>
          </w:p>
        </w:tc>
        <w:tc>
          <w:tcPr>
            <w:tcW w:w="3890" w:type="pct"/>
            <w:shd w:val="clear" w:color="auto" w:fill="auto"/>
          </w:tcPr>
          <w:p w14:paraId="1BA11BD8" w14:textId="77777777" w:rsidR="00D94758" w:rsidRPr="00E0193B" w:rsidRDefault="00D94758" w:rsidP="00D94758">
            <w:pPr>
              <w:spacing w:after="120"/>
              <w:ind w:left="43"/>
              <w:contextualSpacing/>
              <w:rPr>
                <w:b/>
                <w:bCs/>
              </w:rPr>
            </w:pPr>
            <w:r w:rsidRPr="00E0193B">
              <w:rPr>
                <w:b/>
                <w:bCs/>
              </w:rPr>
              <w:t>Rozwój potencjału sektora leków i wyrobów medycznych – inwestycje związane z produkcją w Polsce API</w:t>
            </w:r>
          </w:p>
        </w:tc>
      </w:tr>
      <w:tr w:rsidR="00D94758" w:rsidRPr="00E0193B" w14:paraId="41676279" w14:textId="77777777" w:rsidTr="008C1B0D">
        <w:trPr>
          <w:trHeight w:val="1212"/>
        </w:trPr>
        <w:tc>
          <w:tcPr>
            <w:tcW w:w="1110" w:type="pct"/>
            <w:shd w:val="clear" w:color="auto" w:fill="auto"/>
          </w:tcPr>
          <w:p w14:paraId="725E1744" w14:textId="77777777" w:rsidR="00D94758" w:rsidRPr="00E0193B" w:rsidRDefault="00D94758" w:rsidP="00D94758">
            <w:pPr>
              <w:spacing w:after="120"/>
              <w:ind w:left="67"/>
              <w:contextualSpacing/>
            </w:pPr>
            <w:r w:rsidRPr="00E0193B">
              <w:t>Rodzaj wprowadzonej zmiany w odniesieniu do CID</w:t>
            </w:r>
          </w:p>
        </w:tc>
        <w:tc>
          <w:tcPr>
            <w:tcW w:w="3890" w:type="pct"/>
            <w:shd w:val="clear" w:color="auto" w:fill="auto"/>
          </w:tcPr>
          <w:p w14:paraId="4C0D9DB1" w14:textId="27B6D9A9" w:rsidR="00D94758" w:rsidRPr="00E0193B" w:rsidRDefault="006E7247" w:rsidP="006E7247">
            <w:pPr>
              <w:contextualSpacing/>
            </w:pPr>
            <w:r w:rsidRPr="00E0193B">
              <w:t>Usunięcie inwestycji i powiązanych mierników D7L i D8L</w:t>
            </w:r>
          </w:p>
        </w:tc>
      </w:tr>
      <w:tr w:rsidR="00D94758" w:rsidRPr="00E0193B" w14:paraId="1A7A8742" w14:textId="77777777" w:rsidTr="008C1B0D">
        <w:tc>
          <w:tcPr>
            <w:tcW w:w="1110" w:type="pct"/>
            <w:shd w:val="clear" w:color="auto" w:fill="auto"/>
          </w:tcPr>
          <w:p w14:paraId="36398743" w14:textId="77777777" w:rsidR="00D94758" w:rsidRPr="00E0193B" w:rsidRDefault="00D94758" w:rsidP="00D94758">
            <w:pPr>
              <w:spacing w:after="120"/>
              <w:ind w:left="67"/>
              <w:contextualSpacing/>
            </w:pPr>
            <w:r w:rsidRPr="00E0193B">
              <w:t>Podstawa prawna zmiany</w:t>
            </w:r>
          </w:p>
        </w:tc>
        <w:tc>
          <w:tcPr>
            <w:tcW w:w="3890" w:type="pct"/>
            <w:shd w:val="clear" w:color="auto" w:fill="auto"/>
          </w:tcPr>
          <w:p w14:paraId="5806DDDF" w14:textId="77777777" w:rsidR="00D94758" w:rsidRPr="00E0193B" w:rsidRDefault="00D94758" w:rsidP="00D94758">
            <w:pPr>
              <w:contextualSpacing/>
            </w:pPr>
            <w:r w:rsidRPr="00E0193B">
              <w:t>art. 21 rozporządzenia Parlamentu Europejskiego i Rady (UE) 2021/241 z dnia 12 lutego 2021 r. ustanawiające Instrument na rzecz Odbudowy i Zwiększania Odporności</w:t>
            </w:r>
          </w:p>
        </w:tc>
      </w:tr>
      <w:tr w:rsidR="00D94758" w:rsidRPr="00E0193B" w14:paraId="2D586124" w14:textId="77777777" w:rsidTr="008C1B0D">
        <w:tc>
          <w:tcPr>
            <w:tcW w:w="1110" w:type="pct"/>
          </w:tcPr>
          <w:p w14:paraId="5CB88651" w14:textId="77777777" w:rsidR="00D94758" w:rsidRPr="00E0193B" w:rsidRDefault="00D94758" w:rsidP="00D94758">
            <w:pPr>
              <w:spacing w:after="120" w:line="240" w:lineRule="auto"/>
              <w:jc w:val="left"/>
              <w:rPr>
                <w:rFonts w:eastAsia="Calibri"/>
              </w:rPr>
            </w:pPr>
            <w:r w:rsidRPr="00E0193B">
              <w:rPr>
                <w:rFonts w:eastAsia="Calibri"/>
              </w:rPr>
              <w:t>Uzasadnienie</w:t>
            </w:r>
          </w:p>
        </w:tc>
        <w:tc>
          <w:tcPr>
            <w:tcW w:w="3890" w:type="pct"/>
          </w:tcPr>
          <w:p w14:paraId="16F5DADD" w14:textId="729400C2" w:rsidR="000B39E5" w:rsidRPr="00E0193B" w:rsidRDefault="000B39E5" w:rsidP="000B39E5">
            <w:pPr>
              <w:spacing w:after="120" w:line="240" w:lineRule="auto"/>
              <w:jc w:val="left"/>
              <w:rPr>
                <w:rFonts w:eastAsia="Calibri"/>
              </w:rPr>
            </w:pPr>
            <w:r w:rsidRPr="00E0193B">
              <w:rPr>
                <w:rFonts w:eastAsia="Calibri"/>
              </w:rPr>
              <w:t xml:space="preserve">Ministerstwo Rozwoju i Technologii przeprowadziło konsultacje publiczne z przedstawicielami przemysłu farmaceutycznego, w celu zweryfikowania, czy możliwe jest zrealizowanie inwestycji na obecnie obowiązujących w CID zasadach. </w:t>
            </w:r>
          </w:p>
          <w:p w14:paraId="70DA11FF" w14:textId="77777777" w:rsidR="000B39E5" w:rsidRPr="00E0193B" w:rsidRDefault="000B39E5" w:rsidP="000B39E5">
            <w:pPr>
              <w:spacing w:after="120" w:line="240" w:lineRule="auto"/>
              <w:jc w:val="left"/>
              <w:rPr>
                <w:rFonts w:eastAsia="Calibri"/>
              </w:rPr>
            </w:pPr>
            <w:r w:rsidRPr="00E0193B">
              <w:rPr>
                <w:rFonts w:eastAsia="Calibri"/>
              </w:rPr>
              <w:t>Konsultacje z przedstawicielami podmiotów gospodarczych z sektora produkcji leków, będących potencjalną grupą docelową tej inwestycji, wykazały, że zarówno krótki okres jaki pozostał na realizację inwestycji w ramach KPO, jak też pożyczkowa forma finansowania nie są dla przedsiębiorstw efektywne ekonomicznie. Z informacji otrzymanych od przedsiębiorców wynika, że czas trwania budowy nowej inwestycji szacuje się średnio 3-6 lat (w zależności od skali projektu). W przypadku projektów o charakterze modernizacyjno-inwestycyjnym optymalny czas na ich realizację może wynosić od 12 do 48 miesięcy od momentu uzyskania środków. Powyższe oznacza, że dostarczenie konkretnego produktu, czyli substancji do produkcji leków to proces wymagający kilkuletniej perspektywy i źródła finansowania opartego o model dotacyjny. W konsekwencji zainteresowanie udziałem w inwestycji D3.2.1 ze strony przedsiębiorców będzie niewystarczające, czyniąc ją nierentowną i niemożliwą do skutecznego sfinalizowania w terminach i zakresie określonym w KPO.</w:t>
            </w:r>
          </w:p>
          <w:p w14:paraId="5A05D8BB" w14:textId="2F36CB34" w:rsidR="00D94758" w:rsidRPr="00E0193B" w:rsidRDefault="000B39E5" w:rsidP="00D94758">
            <w:pPr>
              <w:spacing w:after="120" w:line="240" w:lineRule="auto"/>
              <w:jc w:val="left"/>
              <w:rPr>
                <w:rFonts w:eastAsia="Calibri"/>
              </w:rPr>
            </w:pPr>
            <w:r w:rsidRPr="00E0193B">
              <w:rPr>
                <w:rFonts w:eastAsia="Calibri"/>
              </w:rPr>
              <w:t>Powyższe czyni inwestycje awykonalną w zakresie, terminach i na warunkach wynikających z Planu. Tym samym inwestycja wraz z przypisaną do niej reformą zostaje wycofana z KPO a strona polska rozważy realizację zakresu przewidzianego w tej inwestycji w ramach innych instrumentów wsparcia.</w:t>
            </w:r>
          </w:p>
        </w:tc>
      </w:tr>
      <w:tr w:rsidR="00D94758" w:rsidRPr="00E0193B" w14:paraId="79EECBCF" w14:textId="77777777" w:rsidTr="008C1B0D">
        <w:tc>
          <w:tcPr>
            <w:tcW w:w="1110" w:type="pct"/>
          </w:tcPr>
          <w:p w14:paraId="32936870" w14:textId="77777777" w:rsidR="00D94758" w:rsidRPr="00E0193B" w:rsidRDefault="00D94758" w:rsidP="00D94758">
            <w:pPr>
              <w:spacing w:after="120" w:line="240" w:lineRule="auto"/>
              <w:jc w:val="left"/>
              <w:rPr>
                <w:rFonts w:eastAsia="Calibri"/>
              </w:rPr>
            </w:pPr>
            <w:r w:rsidRPr="00E0193B">
              <w:rPr>
                <w:rFonts w:eastAsia="Calibri"/>
              </w:rPr>
              <w:t>Szacowany koszt</w:t>
            </w:r>
          </w:p>
        </w:tc>
        <w:tc>
          <w:tcPr>
            <w:tcW w:w="3890" w:type="pct"/>
            <w:shd w:val="clear" w:color="auto" w:fill="auto"/>
          </w:tcPr>
          <w:p w14:paraId="5C1A59AB" w14:textId="1EAA3093" w:rsidR="00D94758" w:rsidRPr="00E0193B" w:rsidRDefault="004309CB" w:rsidP="00D94758">
            <w:pPr>
              <w:spacing w:after="120" w:line="240" w:lineRule="auto"/>
              <w:jc w:val="left"/>
              <w:rPr>
                <w:rFonts w:eastAsia="Calibri"/>
                <w:color w:val="FF0000"/>
              </w:rPr>
            </w:pPr>
            <w:r w:rsidRPr="00E0193B">
              <w:rPr>
                <w:rFonts w:eastAsia="Calibri"/>
              </w:rPr>
              <w:t>Alokacja usuwanej inwestycji 139 500 000 euro</w:t>
            </w:r>
          </w:p>
        </w:tc>
      </w:tr>
      <w:tr w:rsidR="00D94758" w:rsidRPr="00E0193B" w14:paraId="5BC44DE3" w14:textId="77777777" w:rsidTr="008C1B0D">
        <w:tc>
          <w:tcPr>
            <w:tcW w:w="1110" w:type="pct"/>
          </w:tcPr>
          <w:p w14:paraId="590DCA78" w14:textId="77777777" w:rsidR="00D94758" w:rsidRPr="00E0193B" w:rsidRDefault="00D94758" w:rsidP="00D94758">
            <w:pPr>
              <w:spacing w:after="120" w:line="240" w:lineRule="auto"/>
              <w:jc w:val="left"/>
              <w:rPr>
                <w:rFonts w:eastAsia="Calibri"/>
              </w:rPr>
            </w:pPr>
            <w:r w:rsidRPr="00E0193B">
              <w:rPr>
                <w:rFonts w:eastAsia="Calibri"/>
              </w:rPr>
              <w:t xml:space="preserve">Cyfrowy i klimatyczny tagging </w:t>
            </w:r>
          </w:p>
        </w:tc>
        <w:tc>
          <w:tcPr>
            <w:tcW w:w="3890" w:type="pct"/>
            <w:shd w:val="clear" w:color="auto" w:fill="auto"/>
          </w:tcPr>
          <w:p w14:paraId="011D4A9E" w14:textId="77777777" w:rsidR="00D94758" w:rsidRPr="00E0193B" w:rsidRDefault="00D94758" w:rsidP="00D94758">
            <w:pPr>
              <w:spacing w:after="120" w:line="240" w:lineRule="auto"/>
              <w:jc w:val="left"/>
              <w:rPr>
                <w:rFonts w:eastAsia="Calibri"/>
              </w:rPr>
            </w:pPr>
            <w:r w:rsidRPr="00E0193B">
              <w:rPr>
                <w:rFonts w:eastAsia="Calibri"/>
              </w:rPr>
              <w:t>Zmiana nie ma wpływu na tagging klimatyczny i cyfrowy</w:t>
            </w:r>
          </w:p>
        </w:tc>
      </w:tr>
      <w:tr w:rsidR="00D94758" w:rsidRPr="00E0193B" w14:paraId="7A6B63FE" w14:textId="77777777" w:rsidTr="008C1B0D">
        <w:tc>
          <w:tcPr>
            <w:tcW w:w="1110" w:type="pct"/>
            <w:tcBorders>
              <w:bottom w:val="single" w:sz="4" w:space="0" w:color="auto"/>
            </w:tcBorders>
          </w:tcPr>
          <w:p w14:paraId="14ECEA0A" w14:textId="77777777" w:rsidR="00D94758" w:rsidRPr="00E0193B" w:rsidRDefault="00D94758" w:rsidP="00D94758">
            <w:pPr>
              <w:spacing w:after="120" w:line="240" w:lineRule="auto"/>
              <w:jc w:val="left"/>
              <w:rPr>
                <w:rFonts w:eastAsia="Calibri"/>
              </w:rPr>
            </w:pPr>
            <w:r w:rsidRPr="00E0193B">
              <w:rPr>
                <w:rFonts w:eastAsia="Calibri"/>
              </w:rPr>
              <w:t xml:space="preserve">Zasada DNSH </w:t>
            </w:r>
          </w:p>
        </w:tc>
        <w:tc>
          <w:tcPr>
            <w:tcW w:w="3890" w:type="pct"/>
            <w:tcBorders>
              <w:bottom w:val="single" w:sz="4" w:space="0" w:color="auto"/>
            </w:tcBorders>
            <w:shd w:val="clear" w:color="auto" w:fill="auto"/>
          </w:tcPr>
          <w:p w14:paraId="5FDB4824" w14:textId="77777777" w:rsidR="00D94758" w:rsidRPr="00E0193B" w:rsidRDefault="00D94758" w:rsidP="00D94758">
            <w:pPr>
              <w:spacing w:after="120" w:line="240" w:lineRule="auto"/>
              <w:jc w:val="left"/>
              <w:rPr>
                <w:rFonts w:eastAsia="Calibri"/>
              </w:rPr>
            </w:pPr>
            <w:r w:rsidRPr="00E0193B">
              <w:rPr>
                <w:rFonts w:eastAsia="Calibri"/>
              </w:rPr>
              <w:t>Zmiana nie ma wpływu na DNSH</w:t>
            </w:r>
          </w:p>
        </w:tc>
      </w:tr>
      <w:tr w:rsidR="00D94758" w:rsidRPr="00E0193B" w14:paraId="79C17E26" w14:textId="77777777" w:rsidTr="008C1B0D">
        <w:tc>
          <w:tcPr>
            <w:tcW w:w="1110" w:type="pct"/>
            <w:tcBorders>
              <w:bottom w:val="single" w:sz="4" w:space="0" w:color="auto"/>
            </w:tcBorders>
          </w:tcPr>
          <w:p w14:paraId="04E7FC17" w14:textId="77777777" w:rsidR="00D94758" w:rsidRPr="00E0193B" w:rsidRDefault="00D94758" w:rsidP="00D94758">
            <w:pPr>
              <w:spacing w:after="120" w:line="240" w:lineRule="auto"/>
              <w:jc w:val="left"/>
              <w:rPr>
                <w:rFonts w:eastAsia="Calibri"/>
              </w:rPr>
            </w:pPr>
            <w:r w:rsidRPr="00E0193B">
              <w:rPr>
                <w:rFonts w:eastAsia="Calibri"/>
              </w:rPr>
              <w:t xml:space="preserve">Pomoc publiczna </w:t>
            </w:r>
          </w:p>
        </w:tc>
        <w:tc>
          <w:tcPr>
            <w:tcW w:w="3890" w:type="pct"/>
            <w:tcBorders>
              <w:bottom w:val="single" w:sz="4" w:space="0" w:color="auto"/>
            </w:tcBorders>
            <w:shd w:val="clear" w:color="auto" w:fill="auto"/>
          </w:tcPr>
          <w:p w14:paraId="52BEB8B9" w14:textId="77777777" w:rsidR="00D94758" w:rsidRPr="00E0193B" w:rsidRDefault="00D94758" w:rsidP="00D94758">
            <w:pPr>
              <w:spacing w:after="120" w:line="240" w:lineRule="auto"/>
              <w:jc w:val="left"/>
              <w:rPr>
                <w:rFonts w:eastAsia="Calibri"/>
              </w:rPr>
            </w:pPr>
            <w:r w:rsidRPr="00E0193B">
              <w:rPr>
                <w:rFonts w:eastAsia="Calibri"/>
              </w:rPr>
              <w:t>Nie dotyczy</w:t>
            </w:r>
          </w:p>
        </w:tc>
      </w:tr>
      <w:bookmarkEnd w:id="35"/>
    </w:tbl>
    <w:p w14:paraId="0F117C0E" w14:textId="77777777" w:rsidR="00D94758" w:rsidRPr="00E0193B" w:rsidRDefault="00D94758" w:rsidP="00D94758">
      <w:pPr>
        <w:spacing w:line="240" w:lineRule="auto"/>
        <w:jc w:val="left"/>
        <w:rPr>
          <w:rFonts w:eastAsia="Calibri"/>
          <w:b/>
          <w:bCs/>
        </w:rPr>
      </w:pPr>
    </w:p>
    <w:p w14:paraId="7F54CAF9" w14:textId="7CEB3CA6" w:rsidR="00B72575" w:rsidRPr="00E0193B" w:rsidRDefault="00D94758" w:rsidP="00D94758">
      <w:pPr>
        <w:spacing w:line="240" w:lineRule="auto"/>
        <w:jc w:val="left"/>
        <w:rPr>
          <w:rFonts w:eastAsia="Calibri"/>
          <w:b/>
          <w:bCs/>
        </w:rPr>
      </w:pPr>
      <w:r w:rsidRPr="00E0193B">
        <w:rPr>
          <w:rFonts w:eastAsia="Calibri"/>
          <w:b/>
          <w:bCs/>
        </w:rPr>
        <w:lastRenderedPageBreak/>
        <w:t>Komponent E Zielona, inteligentna mobilność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3339"/>
        <w:gridCol w:w="3551"/>
      </w:tblGrid>
      <w:tr w:rsidR="00B72575" w:rsidRPr="00E0193B" w14:paraId="6721D6C8" w14:textId="77777777" w:rsidTr="008C1B0D">
        <w:tc>
          <w:tcPr>
            <w:tcW w:w="1088" w:type="pct"/>
          </w:tcPr>
          <w:p w14:paraId="3FF0DB8C" w14:textId="77777777" w:rsidR="00B72575" w:rsidRPr="00E0193B" w:rsidRDefault="00B72575" w:rsidP="00B72575">
            <w:pPr>
              <w:spacing w:after="120" w:line="240" w:lineRule="auto"/>
              <w:jc w:val="left"/>
              <w:rPr>
                <w:rFonts w:eastAsia="Calibri"/>
                <w:b/>
                <w:bCs/>
              </w:rPr>
            </w:pPr>
            <w:r w:rsidRPr="00E0193B">
              <w:rPr>
                <w:rFonts w:eastAsia="Calibri"/>
                <w:b/>
                <w:bCs/>
              </w:rPr>
              <w:t>Numer reformy</w:t>
            </w:r>
          </w:p>
        </w:tc>
        <w:tc>
          <w:tcPr>
            <w:tcW w:w="3912" w:type="pct"/>
            <w:gridSpan w:val="2"/>
          </w:tcPr>
          <w:p w14:paraId="1623668C" w14:textId="77777777" w:rsidR="00B72575" w:rsidRPr="00E0193B" w:rsidRDefault="00B72575" w:rsidP="00B72575">
            <w:pPr>
              <w:autoSpaceDE w:val="0"/>
              <w:autoSpaceDN w:val="0"/>
              <w:adjustRightInd w:val="0"/>
              <w:spacing w:after="0" w:line="240" w:lineRule="auto"/>
              <w:jc w:val="left"/>
              <w:rPr>
                <w:rFonts w:eastAsia="Calibri"/>
                <w:b/>
                <w:bCs/>
                <w:color w:val="000000"/>
                <w:lang w:eastAsia="en-GB"/>
              </w:rPr>
            </w:pPr>
            <w:r w:rsidRPr="00E0193B">
              <w:rPr>
                <w:rFonts w:eastAsia="Calibri"/>
                <w:b/>
                <w:bCs/>
                <w:color w:val="000000"/>
                <w:lang w:val="en-GB" w:eastAsia="en-GB"/>
              </w:rPr>
              <w:t xml:space="preserve">E1.2.                                  </w:t>
            </w:r>
          </w:p>
        </w:tc>
      </w:tr>
      <w:tr w:rsidR="00B72575" w:rsidRPr="00E0193B" w14:paraId="4F2EA43D" w14:textId="77777777" w:rsidTr="008C1B0D">
        <w:tc>
          <w:tcPr>
            <w:tcW w:w="1088" w:type="pct"/>
          </w:tcPr>
          <w:p w14:paraId="1839B344" w14:textId="77777777" w:rsidR="00B72575" w:rsidRPr="00E0193B" w:rsidRDefault="00B72575" w:rsidP="00B72575">
            <w:pPr>
              <w:spacing w:after="120" w:line="240" w:lineRule="auto"/>
              <w:jc w:val="left"/>
              <w:rPr>
                <w:rFonts w:eastAsia="Calibri"/>
                <w:b/>
                <w:bCs/>
                <w:lang w:val="en-GB"/>
              </w:rPr>
            </w:pPr>
            <w:r w:rsidRPr="00E0193B">
              <w:rPr>
                <w:rFonts w:eastAsia="Calibri"/>
                <w:b/>
                <w:bCs/>
                <w:lang w:val="en-GB"/>
              </w:rPr>
              <w:t>Nazwa reformy</w:t>
            </w:r>
          </w:p>
          <w:p w14:paraId="789EEDCC" w14:textId="77777777" w:rsidR="00B72575" w:rsidRPr="00E0193B" w:rsidRDefault="00B72575" w:rsidP="00B72575">
            <w:pPr>
              <w:spacing w:after="120" w:line="240" w:lineRule="auto"/>
              <w:jc w:val="left"/>
              <w:rPr>
                <w:rFonts w:eastAsia="Calibri"/>
                <w:b/>
                <w:bCs/>
                <w:lang w:val="en-GB"/>
              </w:rPr>
            </w:pPr>
          </w:p>
        </w:tc>
        <w:tc>
          <w:tcPr>
            <w:tcW w:w="3912" w:type="pct"/>
            <w:gridSpan w:val="2"/>
          </w:tcPr>
          <w:p w14:paraId="0415B0DC" w14:textId="77777777" w:rsidR="00B72575" w:rsidRPr="00E0193B" w:rsidRDefault="00B72575" w:rsidP="00B72575">
            <w:pPr>
              <w:autoSpaceDE w:val="0"/>
              <w:autoSpaceDN w:val="0"/>
              <w:adjustRightInd w:val="0"/>
              <w:spacing w:after="0" w:line="240" w:lineRule="auto"/>
              <w:jc w:val="left"/>
              <w:rPr>
                <w:rFonts w:eastAsia="Calibri"/>
                <w:b/>
                <w:bCs/>
                <w:color w:val="000000"/>
                <w:lang w:eastAsia="en-GB"/>
              </w:rPr>
            </w:pPr>
            <w:r w:rsidRPr="00E0193B">
              <w:rPr>
                <w:rFonts w:eastAsia="Calibri"/>
                <w:b/>
                <w:bCs/>
                <w:color w:val="000000"/>
                <w:lang w:eastAsia="en-GB"/>
              </w:rPr>
              <w:t>Zwiększenie udziału transportu zeroemisyjnego i niskoemisyjnego, zapobieganie problemowi negatywnego wpływu transportu na środowisko i jego ograniczenie</w:t>
            </w:r>
          </w:p>
        </w:tc>
      </w:tr>
      <w:tr w:rsidR="00B72575" w:rsidRPr="00E0193B" w14:paraId="43CA7C83" w14:textId="77777777" w:rsidTr="008C1B0D">
        <w:tc>
          <w:tcPr>
            <w:tcW w:w="1088" w:type="pct"/>
            <w:shd w:val="clear" w:color="auto" w:fill="auto"/>
          </w:tcPr>
          <w:p w14:paraId="4B5F9A77" w14:textId="77777777" w:rsidR="00B72575" w:rsidRPr="00E0193B" w:rsidRDefault="00B72575" w:rsidP="00B72575">
            <w:pPr>
              <w:spacing w:after="120" w:line="240" w:lineRule="auto"/>
              <w:jc w:val="left"/>
              <w:rPr>
                <w:rFonts w:eastAsia="Calibri"/>
              </w:rPr>
            </w:pPr>
            <w:r w:rsidRPr="00E0193B">
              <w:rPr>
                <w:rFonts w:eastAsia="Calibri"/>
              </w:rPr>
              <w:t>Rodzaj wprowadzonej zmiany w odniesieniu do CID</w:t>
            </w:r>
          </w:p>
        </w:tc>
        <w:tc>
          <w:tcPr>
            <w:tcW w:w="3912" w:type="pct"/>
            <w:gridSpan w:val="2"/>
            <w:shd w:val="clear" w:color="auto" w:fill="auto"/>
          </w:tcPr>
          <w:p w14:paraId="2DB5AD0F" w14:textId="77777777" w:rsidR="00B72575" w:rsidRPr="00E0193B" w:rsidRDefault="00B72575" w:rsidP="00B72575">
            <w:pPr>
              <w:autoSpaceDE w:val="0"/>
              <w:autoSpaceDN w:val="0"/>
              <w:adjustRightInd w:val="0"/>
              <w:spacing w:after="0" w:line="240" w:lineRule="auto"/>
              <w:rPr>
                <w:rFonts w:eastAsia="Calibri"/>
                <w:color w:val="000000"/>
                <w:lang w:eastAsia="pl-PL"/>
              </w:rPr>
            </w:pPr>
            <w:r w:rsidRPr="00E0193B">
              <w:rPr>
                <w:rFonts w:eastAsia="Calibri"/>
                <w:color w:val="000000"/>
                <w:lang w:eastAsia="pl-PL"/>
              </w:rPr>
              <w:t>Przesunięcie terminu realizacji kamieni milowych E1L i E2L</w:t>
            </w:r>
          </w:p>
          <w:p w14:paraId="7B895895" w14:textId="77777777" w:rsidR="006E1C6C" w:rsidRPr="00E0193B" w:rsidRDefault="006E1C6C" w:rsidP="006E1C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lang w:eastAsia="pl-PL"/>
              </w:rPr>
            </w:pPr>
          </w:p>
          <w:p w14:paraId="2DBCEC85" w14:textId="77777777" w:rsidR="00B72575" w:rsidRPr="00E0193B" w:rsidRDefault="00B72575" w:rsidP="00955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i/>
                <w:iCs/>
                <w:color w:val="000000"/>
                <w:lang w:eastAsia="en-GB"/>
              </w:rPr>
            </w:pPr>
          </w:p>
        </w:tc>
      </w:tr>
      <w:tr w:rsidR="00B72575" w:rsidRPr="00E0193B" w14:paraId="5CF11BB3" w14:textId="77777777" w:rsidTr="008C1B0D">
        <w:tc>
          <w:tcPr>
            <w:tcW w:w="1088" w:type="pct"/>
            <w:shd w:val="clear" w:color="auto" w:fill="auto"/>
          </w:tcPr>
          <w:p w14:paraId="4A179165" w14:textId="77777777" w:rsidR="00B72575" w:rsidRPr="00E0193B" w:rsidRDefault="00B72575" w:rsidP="00B72575">
            <w:pPr>
              <w:spacing w:after="120" w:line="240" w:lineRule="auto"/>
              <w:jc w:val="left"/>
              <w:rPr>
                <w:rFonts w:eastAsia="Calibri"/>
                <w:lang w:val="en-GB"/>
              </w:rPr>
            </w:pPr>
            <w:r w:rsidRPr="00E0193B">
              <w:rPr>
                <w:rFonts w:eastAsia="Calibri"/>
                <w:lang w:val="en-GB"/>
              </w:rPr>
              <w:t>Podstawa prawna zmiany</w:t>
            </w:r>
          </w:p>
        </w:tc>
        <w:tc>
          <w:tcPr>
            <w:tcW w:w="3912" w:type="pct"/>
            <w:gridSpan w:val="2"/>
            <w:shd w:val="clear" w:color="auto" w:fill="auto"/>
          </w:tcPr>
          <w:p w14:paraId="0531A770" w14:textId="77777777" w:rsidR="00B72575" w:rsidRPr="00E0193B" w:rsidRDefault="00B72575" w:rsidP="00B72575">
            <w:pPr>
              <w:spacing w:after="120" w:line="240" w:lineRule="auto"/>
              <w:jc w:val="left"/>
              <w:rPr>
                <w:rFonts w:eastAsia="Calibri"/>
              </w:rPr>
            </w:pPr>
            <w:r w:rsidRPr="00E0193B">
              <w:rPr>
                <w:rFonts w:eastAsia="Calibri"/>
              </w:rPr>
              <w:t>art. 21 rozporządzenia Parlamentu Europejskiego i Rady (UE) 2021/241 z dnia 12 lutego 2021 r. ustanawiające Instrument na rzecz Odbudowy i Zwiększania Odporności</w:t>
            </w:r>
          </w:p>
        </w:tc>
      </w:tr>
      <w:tr w:rsidR="00E71AA6" w:rsidRPr="00E0193B" w14:paraId="7C16769A" w14:textId="77777777" w:rsidTr="00B72575">
        <w:tc>
          <w:tcPr>
            <w:tcW w:w="1088" w:type="pct"/>
            <w:shd w:val="clear" w:color="auto" w:fill="D9D9D9"/>
          </w:tcPr>
          <w:p w14:paraId="28C07BB8" w14:textId="77777777" w:rsidR="00B72575" w:rsidRPr="00E0193B" w:rsidRDefault="00B72575" w:rsidP="00B72575">
            <w:pPr>
              <w:spacing w:after="120" w:line="240" w:lineRule="auto"/>
              <w:jc w:val="left"/>
              <w:rPr>
                <w:rFonts w:eastAsia="Calibri"/>
                <w:highlight w:val="lightGray"/>
              </w:rPr>
            </w:pPr>
            <w:r w:rsidRPr="00E0193B">
              <w:rPr>
                <w:rFonts w:eastAsia="Calibri"/>
                <w:highlight w:val="lightGray"/>
              </w:rPr>
              <w:t>Modyfikowany element</w:t>
            </w:r>
          </w:p>
        </w:tc>
        <w:tc>
          <w:tcPr>
            <w:tcW w:w="1897" w:type="pct"/>
            <w:shd w:val="clear" w:color="auto" w:fill="D9D9D9"/>
          </w:tcPr>
          <w:p w14:paraId="7B570593" w14:textId="77777777" w:rsidR="00B72575" w:rsidRPr="00E0193B" w:rsidRDefault="00B72575" w:rsidP="00B72575">
            <w:pPr>
              <w:spacing w:after="120" w:line="240" w:lineRule="auto"/>
              <w:jc w:val="left"/>
              <w:rPr>
                <w:rFonts w:eastAsia="Calibri"/>
                <w:highlight w:val="lightGray"/>
              </w:rPr>
            </w:pPr>
            <w:r w:rsidRPr="00E0193B">
              <w:rPr>
                <w:rFonts w:eastAsia="Calibri"/>
                <w:highlight w:val="lightGray"/>
              </w:rPr>
              <w:t>Bieżąca wersja</w:t>
            </w:r>
          </w:p>
        </w:tc>
        <w:tc>
          <w:tcPr>
            <w:tcW w:w="2015" w:type="pct"/>
            <w:shd w:val="clear" w:color="auto" w:fill="D9D9D9"/>
          </w:tcPr>
          <w:p w14:paraId="547DE065" w14:textId="77777777" w:rsidR="00B72575" w:rsidRPr="00E0193B" w:rsidRDefault="00B72575" w:rsidP="00B72575">
            <w:pPr>
              <w:spacing w:after="120" w:line="240" w:lineRule="auto"/>
              <w:jc w:val="left"/>
              <w:rPr>
                <w:rFonts w:eastAsia="Calibri"/>
                <w:highlight w:val="lightGray"/>
              </w:rPr>
            </w:pPr>
            <w:r w:rsidRPr="00E0193B">
              <w:rPr>
                <w:rFonts w:eastAsia="Calibri"/>
                <w:highlight w:val="lightGray"/>
              </w:rPr>
              <w:t>Wersja zmieniona</w:t>
            </w:r>
          </w:p>
        </w:tc>
      </w:tr>
      <w:tr w:rsidR="00B72575" w:rsidRPr="00E0193B" w14:paraId="41D45109" w14:textId="77777777" w:rsidTr="008C1B0D">
        <w:tc>
          <w:tcPr>
            <w:tcW w:w="1088" w:type="pct"/>
          </w:tcPr>
          <w:p w14:paraId="04D0F214" w14:textId="77777777" w:rsidR="00B72575" w:rsidRPr="00E0193B" w:rsidRDefault="00B72575" w:rsidP="00B72575">
            <w:pPr>
              <w:spacing w:after="120" w:line="240" w:lineRule="auto"/>
              <w:jc w:val="left"/>
              <w:rPr>
                <w:rFonts w:eastAsia="Calibri"/>
              </w:rPr>
            </w:pPr>
            <w:r w:rsidRPr="00E0193B">
              <w:rPr>
                <w:rFonts w:eastAsia="Calibri"/>
              </w:rPr>
              <w:t>Opis komponentu oraz/lub działania (inwestycji/reformy)</w:t>
            </w:r>
          </w:p>
          <w:p w14:paraId="5EE38DC1" w14:textId="77777777" w:rsidR="00B72575" w:rsidRPr="00E0193B" w:rsidRDefault="00B72575" w:rsidP="00B72575">
            <w:pPr>
              <w:spacing w:after="120" w:line="240" w:lineRule="auto"/>
              <w:jc w:val="left"/>
              <w:rPr>
                <w:rFonts w:eastAsia="Calibri"/>
              </w:rPr>
            </w:pPr>
          </w:p>
        </w:tc>
        <w:tc>
          <w:tcPr>
            <w:tcW w:w="1897" w:type="pct"/>
          </w:tcPr>
          <w:p w14:paraId="5AC2108F" w14:textId="77777777" w:rsidR="00B72575" w:rsidRPr="00E0193B" w:rsidRDefault="00B72575" w:rsidP="00B72575">
            <w:pPr>
              <w:spacing w:after="120" w:line="240" w:lineRule="auto"/>
              <w:jc w:val="left"/>
              <w:rPr>
                <w:rFonts w:eastAsia="Calibri"/>
              </w:rPr>
            </w:pPr>
            <w:r w:rsidRPr="00E0193B">
              <w:rPr>
                <w:rFonts w:eastAsia="Calibri"/>
              </w:rPr>
              <w:t>E1L</w:t>
            </w:r>
            <w:r w:rsidRPr="00E0193B">
              <w:rPr>
                <w:rFonts w:eastAsia="Calibri"/>
                <w:b/>
                <w:bCs/>
              </w:rPr>
              <w:t xml:space="preserve"> </w:t>
            </w:r>
            <w:r w:rsidRPr="00E0193B">
              <w:rPr>
                <w:rFonts w:eastAsia="Calibri"/>
              </w:rPr>
              <w:t>Wejście w życie aktu prawnego wprowadzającego obowiązek tworzenia stref niskoemisyjnych dla wybranych, najbardziej zanieczyszczonych miast</w:t>
            </w:r>
          </w:p>
          <w:p w14:paraId="620229EB" w14:textId="77777777" w:rsidR="00B72575" w:rsidRPr="00E0193B" w:rsidRDefault="00B72575" w:rsidP="00B72575">
            <w:pPr>
              <w:spacing w:after="120" w:line="240" w:lineRule="auto"/>
              <w:jc w:val="left"/>
              <w:rPr>
                <w:rFonts w:eastAsia="Calibri"/>
              </w:rPr>
            </w:pPr>
            <w:r w:rsidRPr="00E0193B">
              <w:rPr>
                <w:rFonts w:eastAsia="Calibri"/>
              </w:rPr>
              <w:t>W akcie prawnym ustanowiony zostanie od I kw. 2025 r. obowiązek tworzenia stref transportu niskoemisyjnego w miastach powyżej 100 000 mieszkańców, w których występuje przekroczenie poziomów szkodliwych substancji w stosunku do unijnych progów zanieczyszczenia powietrza, oraz przewidziane zostanie rozszerzenie możliwości ich wprowadzania na wszystkie obszary miejskie, niezależnie od liczby mieszkańców. Do stref będą mogły wjeżdżać wyłącznie „niskoemisyjne” pojazdy osobowe. W ciągu 9 miesięcy od daty otrzymania informacji o przekroczeniu poziomu stężenia zanieczyszczeń powietrza miasta utworzą na swoim terenie strefy czystego transportu. Okres 9 miesięcy ma umożliwić samorządom terytorialnym przygotowanie terenu, na którym ma być zlokalizowana strefa czystego transportu, pod kątem wprowadzenia planowanych ograniczeń.</w:t>
            </w:r>
          </w:p>
          <w:p w14:paraId="080F12C3" w14:textId="77777777" w:rsidR="00B72575" w:rsidRPr="00E0193B" w:rsidRDefault="00B72575" w:rsidP="00B72575">
            <w:pPr>
              <w:spacing w:after="120" w:line="240" w:lineRule="auto"/>
              <w:jc w:val="left"/>
              <w:rPr>
                <w:rFonts w:eastAsia="Calibri"/>
              </w:rPr>
            </w:pPr>
            <w:r w:rsidRPr="00E0193B">
              <w:rPr>
                <w:rFonts w:eastAsia="Calibri"/>
              </w:rPr>
              <w:t>Termin realizacji: I kw. 2024r.</w:t>
            </w:r>
          </w:p>
          <w:p w14:paraId="454F7604" w14:textId="77777777" w:rsidR="00B72575" w:rsidRPr="00E0193B" w:rsidRDefault="00B72575" w:rsidP="00B72575">
            <w:pPr>
              <w:spacing w:after="120" w:line="240" w:lineRule="auto"/>
              <w:jc w:val="left"/>
              <w:rPr>
                <w:rFonts w:eastAsia="Calibri"/>
                <w:lang w:val="en-GB"/>
              </w:rPr>
            </w:pPr>
            <w:r w:rsidRPr="00E0193B">
              <w:rPr>
                <w:rFonts w:eastAsia="Calibri"/>
                <w:lang w:val="en-GB"/>
              </w:rPr>
              <w:t>E1L: Entry into force of a legal act introducing low-emission zones obligation for selected, most polluted cities</w:t>
            </w:r>
          </w:p>
          <w:p w14:paraId="146F539E" w14:textId="77777777" w:rsidR="00B72575" w:rsidRPr="00E0193B" w:rsidRDefault="00B72575" w:rsidP="00B72575">
            <w:pPr>
              <w:spacing w:after="120" w:line="240" w:lineRule="auto"/>
              <w:jc w:val="left"/>
              <w:rPr>
                <w:rFonts w:eastAsia="Calibri"/>
                <w:lang w:val="en-GB"/>
              </w:rPr>
            </w:pPr>
            <w:r w:rsidRPr="00E0193B">
              <w:rPr>
                <w:rFonts w:eastAsia="Calibri"/>
                <w:lang w:val="en-GB"/>
              </w:rPr>
              <w:t>The legal act shall set an obligation, as of Q1 2025, to create low-emission transport zones in cities with more than 100,000 inhabitants, where there is an excess of harmful substances vs EU air pollution thresholds, and extend the possibility of introducing them to all urban areas, regardless of the number of inhabitants. Only "low emission” passenger vehicles shall be allowed to enter the zones. Within 9 months from the date of receiving information about exceeding the air pollution concentration level, the cities shall create a clean transport zone in their area. The period of 9 months is to enable local authorities to prepare the area where the clean transport zone is to be located to the planned restrictions.</w:t>
            </w:r>
          </w:p>
          <w:p w14:paraId="0DE797EA" w14:textId="77777777" w:rsidR="00B72575" w:rsidRPr="00E0193B" w:rsidRDefault="00B72575" w:rsidP="00B72575">
            <w:pPr>
              <w:spacing w:after="120" w:line="240" w:lineRule="auto"/>
              <w:jc w:val="left"/>
              <w:rPr>
                <w:rFonts w:eastAsia="Calibri"/>
                <w:lang w:val="en-GB"/>
              </w:rPr>
            </w:pPr>
            <w:r w:rsidRPr="00E0193B">
              <w:rPr>
                <w:rFonts w:eastAsia="Calibri"/>
              </w:rPr>
              <w:t>1Q 2024</w:t>
            </w:r>
          </w:p>
        </w:tc>
        <w:tc>
          <w:tcPr>
            <w:tcW w:w="2015" w:type="pct"/>
          </w:tcPr>
          <w:p w14:paraId="08BB9260" w14:textId="77777777" w:rsidR="00B72575" w:rsidRPr="00E0193B" w:rsidRDefault="00B72575" w:rsidP="00B72575">
            <w:pPr>
              <w:spacing w:after="120" w:line="240" w:lineRule="auto"/>
              <w:jc w:val="left"/>
              <w:rPr>
                <w:rFonts w:eastAsia="Calibri"/>
              </w:rPr>
            </w:pPr>
            <w:r w:rsidRPr="00E0193B">
              <w:rPr>
                <w:rFonts w:eastAsia="Calibri"/>
              </w:rPr>
              <w:t>E1L Wejście w życie aktu prawnego wprowadzającego obowiązek tworzenia stref niskoemisyjnych dla wybranych, najbardziej zanieczyszczonych miast</w:t>
            </w:r>
          </w:p>
          <w:p w14:paraId="1EEB205A" w14:textId="77777777" w:rsidR="00B72575" w:rsidRPr="00E0193B" w:rsidRDefault="00B72575" w:rsidP="00B72575">
            <w:pPr>
              <w:spacing w:after="120" w:line="240" w:lineRule="auto"/>
              <w:jc w:val="left"/>
              <w:rPr>
                <w:rFonts w:eastAsia="Calibri"/>
              </w:rPr>
            </w:pPr>
            <w:r w:rsidRPr="00E0193B">
              <w:rPr>
                <w:rFonts w:eastAsia="Calibri"/>
              </w:rPr>
              <w:t>W akcie prawnym ustanowiony zostanie od I kw. 202</w:t>
            </w:r>
            <w:r w:rsidRPr="00E0193B">
              <w:rPr>
                <w:rFonts w:eastAsia="Calibri"/>
                <w:color w:val="FF0000"/>
              </w:rPr>
              <w:t>6</w:t>
            </w:r>
            <w:r w:rsidRPr="00E0193B">
              <w:rPr>
                <w:rFonts w:eastAsia="Calibri"/>
              </w:rPr>
              <w:t xml:space="preserve"> r. obowiązek tworzenia stref transportu niskoemisyjnego w miastach powyżej 100 000 mieszkańców, w których występuje przekroczenie poziomów szkodliwych substancji w stosunku do unijnych progów zanieczyszczenia powietrza, oraz przewidziane zostanie rozszerzenie możliwości ich wprowadzania na wszystkie obszary miejskie, niezależnie od liczby mieszkańców. Do stref będą mogły wjeżdżać wyłącznie „niskoemisyjne” pojazdy osobowe. W ciągu 9 miesięcy od daty otrzymania informacji o przekroczeniu poziomu stężenia zanieczyszczeń powietrza miasta utworzą na swoim terenie strefy czystego transportu. Okres 9 miesięcy ma umożliwić samorządom terytorialnym przygotowanie terenu, na którym ma być zlokalizowana strefa czystego transportu, pod kątem wprowadzenia planowanych ograniczeń.</w:t>
            </w:r>
          </w:p>
          <w:p w14:paraId="3D44EE5E" w14:textId="77777777" w:rsidR="00B72575" w:rsidRPr="00E0193B" w:rsidRDefault="00B72575" w:rsidP="00B72575">
            <w:pPr>
              <w:spacing w:after="120" w:line="240" w:lineRule="auto"/>
              <w:jc w:val="left"/>
              <w:rPr>
                <w:rFonts w:eastAsia="Calibri"/>
              </w:rPr>
            </w:pPr>
            <w:r w:rsidRPr="00E0193B">
              <w:rPr>
                <w:rFonts w:eastAsia="Calibri"/>
              </w:rPr>
              <w:t>Termin realizacji: I kw. 202</w:t>
            </w:r>
            <w:r w:rsidRPr="00E0193B">
              <w:rPr>
                <w:rFonts w:eastAsia="Calibri"/>
                <w:color w:val="FF0000"/>
              </w:rPr>
              <w:t>5r.</w:t>
            </w:r>
          </w:p>
          <w:p w14:paraId="1879658A" w14:textId="77777777" w:rsidR="00B72575" w:rsidRPr="00E0193B" w:rsidRDefault="00B72575" w:rsidP="00B72575">
            <w:pPr>
              <w:spacing w:after="120" w:line="240" w:lineRule="auto"/>
              <w:jc w:val="left"/>
              <w:rPr>
                <w:rFonts w:eastAsia="Calibri"/>
                <w:lang w:val="en-GB"/>
              </w:rPr>
            </w:pPr>
            <w:r w:rsidRPr="00E0193B">
              <w:rPr>
                <w:rFonts w:eastAsia="Calibri"/>
                <w:lang w:val="en-GB"/>
              </w:rPr>
              <w:t>E1L: Entry into force of a legal act introducing low-emission zones obligation for selected, most polluted cities</w:t>
            </w:r>
          </w:p>
          <w:p w14:paraId="04392D5D" w14:textId="77777777" w:rsidR="00B72575" w:rsidRPr="00E0193B" w:rsidRDefault="00B72575" w:rsidP="00B72575">
            <w:pPr>
              <w:spacing w:after="120" w:line="240" w:lineRule="auto"/>
              <w:jc w:val="left"/>
              <w:rPr>
                <w:rFonts w:eastAsia="Calibri"/>
                <w:lang w:val="en-GB"/>
              </w:rPr>
            </w:pPr>
            <w:r w:rsidRPr="00E0193B">
              <w:rPr>
                <w:rFonts w:eastAsia="Calibri"/>
                <w:lang w:val="en-GB"/>
              </w:rPr>
              <w:t>The legal act shall set an obligation, as of Q1</w:t>
            </w:r>
            <w:r w:rsidRPr="00E0193B">
              <w:rPr>
                <w:rFonts w:eastAsia="Calibri"/>
                <w:b/>
                <w:bCs/>
                <w:color w:val="FF0000"/>
                <w:lang w:val="en-GB"/>
              </w:rPr>
              <w:t xml:space="preserve"> </w:t>
            </w:r>
            <w:r w:rsidRPr="00E0193B">
              <w:rPr>
                <w:rFonts w:eastAsia="Calibri"/>
                <w:lang w:val="en-GB"/>
              </w:rPr>
              <w:t>202</w:t>
            </w:r>
            <w:r w:rsidRPr="00E0193B">
              <w:rPr>
                <w:rFonts w:eastAsia="Calibri"/>
                <w:color w:val="FF0000"/>
                <w:lang w:val="en-GB"/>
              </w:rPr>
              <w:t>6</w:t>
            </w:r>
            <w:r w:rsidRPr="00E0193B">
              <w:rPr>
                <w:rFonts w:eastAsia="Calibri"/>
                <w:lang w:val="en-GB"/>
              </w:rPr>
              <w:t>, to create low-emission transport zones in cities with more than 100,000 inhabitants, where there is an excess of harmful substances vs EU air pollution thresholds, and extend the possibility of introducing them to all urban areas, regardless of the number of inhabitants. Only "low emission” passenger vehicles shall be allowed to enter the zones. Within 9 months from the date of receiving information about exceeding the air pollution concentration level, the cities shall create a clean transport zone in their area. The period of 9 months is to enable local authorities to prepare the area where the clean transport zone is to be located to the planned restrictions.</w:t>
            </w:r>
          </w:p>
          <w:p w14:paraId="208DEE2D" w14:textId="77777777" w:rsidR="00B72575" w:rsidRPr="00E0193B" w:rsidRDefault="00B72575" w:rsidP="00B72575">
            <w:pPr>
              <w:spacing w:after="120" w:line="240" w:lineRule="auto"/>
              <w:jc w:val="left"/>
              <w:rPr>
                <w:rFonts w:eastAsia="Calibri"/>
                <w:lang w:val="en-US"/>
              </w:rPr>
            </w:pPr>
          </w:p>
          <w:p w14:paraId="7FF70052" w14:textId="77777777" w:rsidR="00B72575" w:rsidRPr="00E0193B" w:rsidRDefault="00B72575" w:rsidP="00B72575">
            <w:pPr>
              <w:spacing w:after="120" w:line="240" w:lineRule="auto"/>
              <w:jc w:val="left"/>
              <w:rPr>
                <w:rFonts w:eastAsia="Calibri"/>
                <w:lang w:val="en-GB"/>
              </w:rPr>
            </w:pPr>
            <w:r w:rsidRPr="00E0193B">
              <w:rPr>
                <w:rFonts w:eastAsia="Calibri"/>
              </w:rPr>
              <w:t>1Q 202</w:t>
            </w:r>
            <w:r w:rsidRPr="00E0193B">
              <w:rPr>
                <w:rFonts w:eastAsia="Calibri"/>
                <w:color w:val="FF0000"/>
              </w:rPr>
              <w:t>5</w:t>
            </w:r>
          </w:p>
        </w:tc>
      </w:tr>
      <w:tr w:rsidR="00B72575" w:rsidRPr="00E0193B" w14:paraId="43BA491E" w14:textId="77777777" w:rsidTr="008C1B0D">
        <w:tc>
          <w:tcPr>
            <w:tcW w:w="1088" w:type="pct"/>
          </w:tcPr>
          <w:p w14:paraId="09359ADE" w14:textId="77777777" w:rsidR="00B72575" w:rsidRPr="00E0193B" w:rsidRDefault="00B72575" w:rsidP="00B72575">
            <w:pPr>
              <w:spacing w:after="120" w:line="240" w:lineRule="auto"/>
              <w:jc w:val="left"/>
              <w:rPr>
                <w:rFonts w:eastAsia="Calibri"/>
              </w:rPr>
            </w:pPr>
            <w:r w:rsidRPr="00E0193B">
              <w:rPr>
                <w:rFonts w:eastAsia="Calibri"/>
              </w:rPr>
              <w:t>Opis komponentu oraz/lub działania (inwestycji/reformy)</w:t>
            </w:r>
          </w:p>
        </w:tc>
        <w:tc>
          <w:tcPr>
            <w:tcW w:w="1897" w:type="pct"/>
          </w:tcPr>
          <w:p w14:paraId="6882ECE5" w14:textId="77777777" w:rsidR="00B72575" w:rsidRPr="00E0193B" w:rsidRDefault="00B72575" w:rsidP="00B72575">
            <w:pPr>
              <w:spacing w:after="120" w:line="240" w:lineRule="auto"/>
              <w:jc w:val="left"/>
              <w:rPr>
                <w:rFonts w:eastAsia="Calibri"/>
              </w:rPr>
            </w:pPr>
            <w:r w:rsidRPr="00E0193B">
              <w:rPr>
                <w:rFonts w:eastAsia="Calibri"/>
              </w:rPr>
              <w:t>E2L Wprowadzenie stref transportu niskoemisyjnego wdrażane przez właściwe władze miejskie</w:t>
            </w:r>
          </w:p>
          <w:p w14:paraId="01C6FA84" w14:textId="77777777" w:rsidR="00B72575" w:rsidRPr="00E0193B" w:rsidRDefault="00B72575" w:rsidP="00B72575">
            <w:pPr>
              <w:spacing w:after="120" w:line="240" w:lineRule="auto"/>
              <w:jc w:val="left"/>
              <w:rPr>
                <w:rFonts w:eastAsia="Calibri"/>
              </w:rPr>
            </w:pPr>
            <w:r w:rsidRPr="00E0193B">
              <w:rPr>
                <w:rFonts w:eastAsia="Calibri"/>
              </w:rPr>
              <w:t>Strefy transportu niskoemisyjnego będą obowiązkowe w miastach powyżej 100 000 mieszkańców, w których przekroczone zostaną progi jakości powietrza. Główny Inspektorat Ochrony Środowiska będzie sporządzał corocznie sprawozdanie na temat jakości powietrza w terminie do dnia 30 kwietnia. Miasta, w których przekroczone zostaną limity jakości powietrza – wskazane w pierwszym sprawozdaniu opublikowanym po wejściu w życie przepisów – będą miały 6 miesięcy na ustanowienie stref transportu niskoemisyjnego.</w:t>
            </w:r>
          </w:p>
          <w:p w14:paraId="49854DF4" w14:textId="77777777" w:rsidR="00B72575" w:rsidRPr="00E0193B" w:rsidRDefault="00B72575" w:rsidP="00B72575">
            <w:pPr>
              <w:spacing w:after="120" w:line="240" w:lineRule="auto"/>
              <w:jc w:val="left"/>
              <w:rPr>
                <w:rFonts w:eastAsia="Calibri"/>
              </w:rPr>
            </w:pPr>
            <w:r w:rsidRPr="00E0193B">
              <w:rPr>
                <w:rFonts w:eastAsia="Calibri"/>
              </w:rPr>
              <w:t>Termin realizacji: I kw. 2025r.</w:t>
            </w:r>
          </w:p>
          <w:p w14:paraId="1A0C65BC" w14:textId="77777777" w:rsidR="00B72575" w:rsidRPr="00E0193B" w:rsidRDefault="00B72575" w:rsidP="00B72575">
            <w:pPr>
              <w:autoSpaceDE w:val="0"/>
              <w:autoSpaceDN w:val="0"/>
              <w:adjustRightInd w:val="0"/>
              <w:spacing w:after="0" w:line="240" w:lineRule="auto"/>
              <w:jc w:val="left"/>
              <w:rPr>
                <w:lang w:val="en-GB"/>
              </w:rPr>
            </w:pPr>
            <w:r w:rsidRPr="00E0193B">
              <w:rPr>
                <w:lang w:val="en-GB"/>
              </w:rPr>
              <w:t>E2L Introduction of lowemission transport zones implemented by relevant unicipal</w:t>
            </w:r>
          </w:p>
          <w:p w14:paraId="68A78A7A" w14:textId="77777777" w:rsidR="00B72575" w:rsidRPr="00E0193B" w:rsidRDefault="00B72575" w:rsidP="00B72575">
            <w:pPr>
              <w:spacing w:after="120" w:line="240" w:lineRule="auto"/>
              <w:jc w:val="left"/>
              <w:rPr>
                <w:rFonts w:eastAsia="Calibri"/>
                <w:lang w:val="en-GB"/>
              </w:rPr>
            </w:pPr>
            <w:r w:rsidRPr="00E0193B">
              <w:rPr>
                <w:rFonts w:eastAsia="Calibri"/>
                <w:lang w:val="en-GB"/>
              </w:rPr>
              <w:t>Authorities</w:t>
            </w:r>
          </w:p>
          <w:p w14:paraId="7E785876" w14:textId="77777777" w:rsidR="00B72575" w:rsidRPr="00E0193B" w:rsidRDefault="00B72575" w:rsidP="00B72575">
            <w:pPr>
              <w:spacing w:after="120" w:line="240" w:lineRule="auto"/>
              <w:jc w:val="left"/>
              <w:rPr>
                <w:rFonts w:eastAsia="Calibri"/>
                <w:lang w:val="en-GB"/>
              </w:rPr>
            </w:pPr>
            <w:r w:rsidRPr="00E0193B">
              <w:rPr>
                <w:rFonts w:eastAsia="Calibri"/>
                <w:lang w:val="en-GB"/>
              </w:rPr>
              <w:t xml:space="preserve">Low-emission transport zones shall be obligatory in cities with more 100,000 inhabitants where air quality thresholds are exceeded. The General Environmental Protection Inspectorate shall prepare air quality report on yearly basis by 30 April. The cities which exceed the limits on air </w:t>
            </w:r>
            <w:r w:rsidRPr="00E0193B">
              <w:rPr>
                <w:rFonts w:eastAsia="Calibri"/>
                <w:lang w:val="en-GB"/>
              </w:rPr>
              <w:lastRenderedPageBreak/>
              <w:t xml:space="preserve">quality - identified in the first report published after legislation shall enter into force - shall have 6 months to establish low-emission transport zones. </w:t>
            </w:r>
          </w:p>
          <w:p w14:paraId="69E6A784" w14:textId="77777777" w:rsidR="00B72575" w:rsidRPr="00E0193B" w:rsidRDefault="00B72575" w:rsidP="00B72575">
            <w:pPr>
              <w:spacing w:after="120" w:line="240" w:lineRule="auto"/>
              <w:jc w:val="left"/>
              <w:rPr>
                <w:rFonts w:eastAsia="Calibri"/>
                <w:lang w:val="en-GB"/>
              </w:rPr>
            </w:pPr>
            <w:r w:rsidRPr="00E0193B">
              <w:rPr>
                <w:rFonts w:eastAsia="Calibri"/>
              </w:rPr>
              <w:t>I Q 2025</w:t>
            </w:r>
          </w:p>
        </w:tc>
        <w:tc>
          <w:tcPr>
            <w:tcW w:w="2015" w:type="pct"/>
          </w:tcPr>
          <w:p w14:paraId="50B56E82" w14:textId="77777777" w:rsidR="00B72575" w:rsidRPr="00E0193B" w:rsidRDefault="00B72575" w:rsidP="00B72575">
            <w:pPr>
              <w:spacing w:after="120" w:line="240" w:lineRule="auto"/>
              <w:jc w:val="left"/>
              <w:rPr>
                <w:rFonts w:eastAsia="Calibri"/>
              </w:rPr>
            </w:pPr>
            <w:r w:rsidRPr="00E0193B">
              <w:rPr>
                <w:rFonts w:eastAsia="Calibri"/>
              </w:rPr>
              <w:lastRenderedPageBreak/>
              <w:t>E2L Wprowadzenie stref transportu niskoemisyjnego wdrażane przez właściwe władze miejskie</w:t>
            </w:r>
          </w:p>
          <w:p w14:paraId="5B5D5F38" w14:textId="77777777" w:rsidR="00B72575" w:rsidRPr="00E0193B" w:rsidRDefault="00B72575" w:rsidP="00B72575">
            <w:pPr>
              <w:spacing w:after="120" w:line="240" w:lineRule="auto"/>
              <w:jc w:val="left"/>
              <w:rPr>
                <w:rFonts w:eastAsia="Calibri"/>
              </w:rPr>
            </w:pPr>
            <w:r w:rsidRPr="00E0193B">
              <w:rPr>
                <w:rFonts w:eastAsia="Calibri"/>
              </w:rPr>
              <w:t>Strefy transportu niskoemisyjnego będą obowiązkowe w miastach powyżej 100 000 mieszkańców, w których przekroczone zostaną progi jakości powietrza. Główny Inspektorat Ochrony Środowiska będzie sporządzał corocznie sprawozdanie na temat jakości powietrza w terminie do dnia 30 kwietnia. Miasta, w których przekroczone zostaną limity jakości powietrza – wskazane w pierwszym sprawozdaniu opublikowanym po wejściu w życie przepisów – będą miały 6 miesięcy na ustanowienie stref transportu niskoemisyjnego.</w:t>
            </w:r>
          </w:p>
          <w:p w14:paraId="281ADA10" w14:textId="77777777" w:rsidR="00B72575" w:rsidRPr="00E0193B" w:rsidRDefault="00B72575" w:rsidP="00B72575">
            <w:pPr>
              <w:spacing w:after="120" w:line="240" w:lineRule="auto"/>
              <w:jc w:val="left"/>
              <w:rPr>
                <w:rFonts w:eastAsia="Calibri"/>
              </w:rPr>
            </w:pPr>
            <w:r w:rsidRPr="00E0193B">
              <w:rPr>
                <w:rFonts w:eastAsia="Calibri"/>
              </w:rPr>
              <w:t>Termin realizacji: I kw. 202</w:t>
            </w:r>
            <w:r w:rsidRPr="00E0193B">
              <w:rPr>
                <w:rFonts w:eastAsia="Calibri"/>
                <w:color w:val="FF0000"/>
              </w:rPr>
              <w:t>6</w:t>
            </w:r>
            <w:r w:rsidRPr="00E0193B">
              <w:rPr>
                <w:rFonts w:eastAsia="Calibri"/>
              </w:rPr>
              <w:t>r.</w:t>
            </w:r>
          </w:p>
          <w:p w14:paraId="292C4ED0" w14:textId="77777777" w:rsidR="00B72575" w:rsidRPr="00E0193B" w:rsidRDefault="00B72575" w:rsidP="00B72575">
            <w:pPr>
              <w:autoSpaceDE w:val="0"/>
              <w:autoSpaceDN w:val="0"/>
              <w:adjustRightInd w:val="0"/>
              <w:spacing w:after="0" w:line="240" w:lineRule="auto"/>
              <w:jc w:val="left"/>
            </w:pPr>
          </w:p>
          <w:p w14:paraId="23D8417A" w14:textId="77777777" w:rsidR="00B72575" w:rsidRPr="00E0193B" w:rsidRDefault="00B72575" w:rsidP="00B72575">
            <w:pPr>
              <w:autoSpaceDE w:val="0"/>
              <w:autoSpaceDN w:val="0"/>
              <w:adjustRightInd w:val="0"/>
              <w:spacing w:after="0" w:line="240" w:lineRule="auto"/>
              <w:jc w:val="left"/>
              <w:rPr>
                <w:lang w:val="en-GB"/>
              </w:rPr>
            </w:pPr>
            <w:r w:rsidRPr="00E0193B">
              <w:rPr>
                <w:lang w:val="en-GB"/>
              </w:rPr>
              <w:t>E2L Introduction of lowemission transport zones implemented by relevant unicipal</w:t>
            </w:r>
          </w:p>
          <w:p w14:paraId="3A54BCD6" w14:textId="77777777" w:rsidR="00B72575" w:rsidRPr="00E0193B" w:rsidRDefault="00B72575" w:rsidP="00B72575">
            <w:pPr>
              <w:spacing w:after="120" w:line="240" w:lineRule="auto"/>
              <w:jc w:val="left"/>
              <w:rPr>
                <w:rFonts w:eastAsia="Calibri"/>
                <w:lang w:val="en-GB"/>
              </w:rPr>
            </w:pPr>
            <w:r w:rsidRPr="00E0193B">
              <w:rPr>
                <w:rFonts w:eastAsia="Calibri"/>
                <w:lang w:val="en-GB"/>
              </w:rPr>
              <w:t>Authorities</w:t>
            </w:r>
          </w:p>
          <w:p w14:paraId="5FDD3D93" w14:textId="77777777" w:rsidR="00B72575" w:rsidRPr="00E0193B" w:rsidRDefault="00B72575" w:rsidP="00B72575">
            <w:pPr>
              <w:spacing w:after="120" w:line="240" w:lineRule="auto"/>
              <w:jc w:val="left"/>
              <w:rPr>
                <w:rFonts w:eastAsia="Calibri"/>
                <w:lang w:val="en-GB"/>
              </w:rPr>
            </w:pPr>
            <w:r w:rsidRPr="00E0193B">
              <w:rPr>
                <w:rFonts w:eastAsia="Calibri"/>
                <w:lang w:val="en-GB"/>
              </w:rPr>
              <w:t xml:space="preserve">Low-emission transport zones shall be obligatory in cities with more 100,000 inhabitants where air quality thresholds are exceeded. The General Environmental Protection Inspectorate shall prepare air quality report on yearly basis by 30 April. The cities which exceed the limits on air quality - </w:t>
            </w:r>
            <w:r w:rsidRPr="00E0193B">
              <w:rPr>
                <w:rFonts w:eastAsia="Calibri"/>
                <w:lang w:val="en-GB"/>
              </w:rPr>
              <w:lastRenderedPageBreak/>
              <w:t xml:space="preserve">identified in the first report published after legislation shall enter into force - shall have 6 months to establish low-emission transport zones. </w:t>
            </w:r>
          </w:p>
          <w:p w14:paraId="45901674" w14:textId="77777777" w:rsidR="00B72575" w:rsidRPr="00E0193B" w:rsidRDefault="00B72575" w:rsidP="00B72575">
            <w:pPr>
              <w:spacing w:after="120" w:line="240" w:lineRule="auto"/>
              <w:jc w:val="left"/>
              <w:rPr>
                <w:rFonts w:eastAsia="Calibri"/>
                <w:lang w:val="en-GB"/>
              </w:rPr>
            </w:pPr>
            <w:r w:rsidRPr="00E0193B">
              <w:rPr>
                <w:rFonts w:eastAsia="Calibri"/>
              </w:rPr>
              <w:t>I Q 202</w:t>
            </w:r>
            <w:r w:rsidRPr="00E0193B">
              <w:rPr>
                <w:rFonts w:eastAsia="Calibri"/>
                <w:color w:val="FF0000"/>
              </w:rPr>
              <w:t>6</w:t>
            </w:r>
          </w:p>
        </w:tc>
      </w:tr>
      <w:tr w:rsidR="00B72575" w:rsidRPr="00E0193B" w14:paraId="7AF20444" w14:textId="77777777" w:rsidTr="008C1B0D">
        <w:tc>
          <w:tcPr>
            <w:tcW w:w="1088" w:type="pct"/>
          </w:tcPr>
          <w:p w14:paraId="5C93C9BB" w14:textId="77777777" w:rsidR="00B72575" w:rsidRPr="00E0193B" w:rsidRDefault="00B72575" w:rsidP="00B72575">
            <w:pPr>
              <w:spacing w:after="120" w:line="240" w:lineRule="auto"/>
              <w:jc w:val="left"/>
              <w:rPr>
                <w:rFonts w:eastAsia="Calibri"/>
              </w:rPr>
            </w:pPr>
            <w:r w:rsidRPr="00E0193B">
              <w:rPr>
                <w:rFonts w:eastAsia="Calibri"/>
              </w:rPr>
              <w:lastRenderedPageBreak/>
              <w:t>Uzasadnienie</w:t>
            </w:r>
          </w:p>
          <w:p w14:paraId="2CAEEFDD" w14:textId="77777777" w:rsidR="00B72575" w:rsidRPr="00E0193B" w:rsidRDefault="00B72575" w:rsidP="00B72575">
            <w:pPr>
              <w:spacing w:after="120" w:line="240" w:lineRule="auto"/>
              <w:jc w:val="left"/>
              <w:rPr>
                <w:rFonts w:eastAsia="Calibri"/>
              </w:rPr>
            </w:pPr>
          </w:p>
        </w:tc>
        <w:tc>
          <w:tcPr>
            <w:tcW w:w="3912" w:type="pct"/>
            <w:gridSpan w:val="2"/>
          </w:tcPr>
          <w:p w14:paraId="4E34BE76" w14:textId="77777777" w:rsidR="00B72575" w:rsidRPr="00E0193B" w:rsidRDefault="00B72575" w:rsidP="00B72575">
            <w:pPr>
              <w:spacing w:line="240" w:lineRule="auto"/>
              <w:jc w:val="left"/>
              <w:rPr>
                <w:rFonts w:eastAsia="Calibri"/>
                <w:lang w:eastAsia="pl-PL"/>
              </w:rPr>
            </w:pPr>
            <w:r w:rsidRPr="00E0193B">
              <w:rPr>
                <w:rFonts w:eastAsia="Calibri"/>
                <w:lang w:eastAsia="pl-PL"/>
              </w:rPr>
              <w:t xml:space="preserve">Przeprowadzenie procesu legislacyjnego z zachowaniem pełnego zakresu konsultacji jest czasochłonne. Podejmowane są działania mające na celu zakończenie tego procesu w tym roku, jednak skutkować to będzie brakiem czasu dla samorządów na przygotowanie się do realizacji tej reformy. Wprowadzenie tak dużych zmian dla polskich miast wymaga czasu i rozmów z samorządowcami. </w:t>
            </w:r>
          </w:p>
          <w:p w14:paraId="587B9227" w14:textId="77777777" w:rsidR="00B72575" w:rsidRPr="00E0193B" w:rsidRDefault="00B72575" w:rsidP="00B72575">
            <w:pPr>
              <w:spacing w:line="240" w:lineRule="auto"/>
              <w:jc w:val="left"/>
              <w:rPr>
                <w:rFonts w:eastAsia="Calibri"/>
                <w:lang w:eastAsia="pl-PL"/>
              </w:rPr>
            </w:pPr>
            <w:r w:rsidRPr="00E0193B">
              <w:rPr>
                <w:rFonts w:eastAsia="Calibri"/>
                <w:lang w:eastAsia="pl-PL"/>
              </w:rPr>
              <w:t>Wprowadzana reforma musi zostać skonsultowana z miastami – to one będą realizować obowiązek wynikający z ustawy. Dlatego proponowana zmiana jest konieczna z punktu widzenia proceduralnego, jak i społecznego</w:t>
            </w:r>
          </w:p>
          <w:p w14:paraId="6DA55670" w14:textId="7CE4CE9A" w:rsidR="00B72575" w:rsidRPr="00E0193B" w:rsidRDefault="00B72575" w:rsidP="00B72575">
            <w:pPr>
              <w:spacing w:line="240" w:lineRule="auto"/>
              <w:jc w:val="left"/>
              <w:rPr>
                <w:rFonts w:eastAsia="Calibri"/>
                <w:lang w:eastAsia="pl-PL"/>
              </w:rPr>
            </w:pPr>
            <w:r w:rsidRPr="00E0193B">
              <w:rPr>
                <w:rFonts w:eastAsia="Calibri"/>
                <w:lang w:eastAsia="pl-PL"/>
              </w:rPr>
              <w:t xml:space="preserve">Z powyższego uzasadniania wynika, że zmiana jest bezwzględnie niezbędna oraz uzasadnione obiektywnymi okolicznościami. </w:t>
            </w:r>
          </w:p>
        </w:tc>
      </w:tr>
      <w:tr w:rsidR="00B72575" w:rsidRPr="00E0193B" w14:paraId="3CC966D4" w14:textId="77777777" w:rsidTr="008C1B0D">
        <w:tc>
          <w:tcPr>
            <w:tcW w:w="1088" w:type="pct"/>
          </w:tcPr>
          <w:p w14:paraId="319A8F07" w14:textId="77777777" w:rsidR="00B72575" w:rsidRPr="00E0193B" w:rsidRDefault="00B72575" w:rsidP="00B72575">
            <w:pPr>
              <w:spacing w:after="120" w:line="240" w:lineRule="auto"/>
              <w:jc w:val="left"/>
              <w:rPr>
                <w:rFonts w:eastAsia="Calibri"/>
              </w:rPr>
            </w:pPr>
            <w:r w:rsidRPr="00E0193B">
              <w:rPr>
                <w:rFonts w:eastAsia="Calibri"/>
              </w:rPr>
              <w:t>Szacowany koszy</w:t>
            </w:r>
          </w:p>
        </w:tc>
        <w:tc>
          <w:tcPr>
            <w:tcW w:w="3912" w:type="pct"/>
            <w:gridSpan w:val="2"/>
          </w:tcPr>
          <w:p w14:paraId="116DCFCB" w14:textId="77777777" w:rsidR="00B72575" w:rsidRPr="00E0193B" w:rsidRDefault="00B72575" w:rsidP="00B72575">
            <w:pPr>
              <w:spacing w:after="120" w:line="240" w:lineRule="auto"/>
              <w:jc w:val="left"/>
              <w:rPr>
                <w:rFonts w:eastAsia="Calibri"/>
              </w:rPr>
            </w:pPr>
            <w:r w:rsidRPr="00E0193B">
              <w:rPr>
                <w:rFonts w:eastAsia="Calibri"/>
              </w:rPr>
              <w:t>Zmiana nie ma wpływu na szacowany koszt</w:t>
            </w:r>
          </w:p>
        </w:tc>
      </w:tr>
      <w:tr w:rsidR="00B72575" w:rsidRPr="00E0193B" w14:paraId="4A4D8679" w14:textId="77777777" w:rsidTr="008C1B0D">
        <w:tc>
          <w:tcPr>
            <w:tcW w:w="1088" w:type="pct"/>
          </w:tcPr>
          <w:p w14:paraId="157AA2D1" w14:textId="77777777" w:rsidR="00B72575" w:rsidRPr="00E0193B" w:rsidRDefault="00B72575" w:rsidP="00B72575">
            <w:pPr>
              <w:spacing w:after="120" w:line="240" w:lineRule="auto"/>
              <w:jc w:val="left"/>
              <w:rPr>
                <w:rFonts w:eastAsia="Calibri"/>
                <w:lang w:val="en-GB"/>
              </w:rPr>
            </w:pPr>
            <w:r w:rsidRPr="00E0193B">
              <w:rPr>
                <w:rFonts w:eastAsia="Calibri"/>
                <w:lang w:val="en-GB"/>
              </w:rPr>
              <w:t>Klimatyczny i cyfrowy tagging</w:t>
            </w:r>
          </w:p>
        </w:tc>
        <w:tc>
          <w:tcPr>
            <w:tcW w:w="3912" w:type="pct"/>
            <w:gridSpan w:val="2"/>
          </w:tcPr>
          <w:p w14:paraId="1CC4F090" w14:textId="77777777" w:rsidR="00B72575" w:rsidRPr="00E0193B" w:rsidRDefault="00B72575" w:rsidP="00B72575">
            <w:pPr>
              <w:spacing w:after="120" w:line="240" w:lineRule="auto"/>
              <w:jc w:val="left"/>
              <w:rPr>
                <w:rFonts w:eastAsia="Calibri"/>
              </w:rPr>
            </w:pPr>
            <w:r w:rsidRPr="00E0193B">
              <w:rPr>
                <w:rFonts w:eastAsia="Calibri"/>
              </w:rPr>
              <w:t xml:space="preserve">Zmiana nie ma wpływu na  tagging klimatyczny i cyfrowy </w:t>
            </w:r>
          </w:p>
        </w:tc>
      </w:tr>
      <w:tr w:rsidR="00B72575" w:rsidRPr="00E0193B" w14:paraId="0931CA4B" w14:textId="77777777" w:rsidTr="008C1B0D">
        <w:tc>
          <w:tcPr>
            <w:tcW w:w="1088" w:type="pct"/>
          </w:tcPr>
          <w:p w14:paraId="1B2CB8B6" w14:textId="77777777" w:rsidR="00B72575" w:rsidRPr="00E0193B" w:rsidRDefault="00B72575" w:rsidP="00B72575">
            <w:pPr>
              <w:spacing w:after="120" w:line="240" w:lineRule="auto"/>
              <w:jc w:val="left"/>
              <w:rPr>
                <w:rFonts w:eastAsia="Calibri"/>
              </w:rPr>
            </w:pPr>
            <w:r w:rsidRPr="00E0193B">
              <w:rPr>
                <w:rFonts w:eastAsia="Calibri"/>
              </w:rPr>
              <w:t xml:space="preserve">Ocena DNSH </w:t>
            </w:r>
          </w:p>
        </w:tc>
        <w:tc>
          <w:tcPr>
            <w:tcW w:w="3912" w:type="pct"/>
            <w:gridSpan w:val="2"/>
          </w:tcPr>
          <w:p w14:paraId="1DB6CF0C" w14:textId="77777777" w:rsidR="00B72575" w:rsidRPr="00E0193B" w:rsidRDefault="00B72575" w:rsidP="00B72575">
            <w:pPr>
              <w:spacing w:after="120" w:line="240" w:lineRule="auto"/>
              <w:jc w:val="left"/>
              <w:rPr>
                <w:rFonts w:eastAsia="Calibri"/>
              </w:rPr>
            </w:pPr>
            <w:r w:rsidRPr="00E0193B">
              <w:rPr>
                <w:rFonts w:eastAsia="Calibri"/>
              </w:rPr>
              <w:t>Zmiana nie ma wpływu na  DNSH</w:t>
            </w:r>
          </w:p>
        </w:tc>
      </w:tr>
    </w:tbl>
    <w:p w14:paraId="562A44EF" w14:textId="77777777" w:rsidR="00B72575" w:rsidRPr="00E0193B" w:rsidRDefault="00B72575" w:rsidP="00B72575">
      <w:pPr>
        <w:spacing w:line="259" w:lineRule="auto"/>
        <w:jc w:val="left"/>
        <w:rPr>
          <w:rFonts w:eastAsia="Calibri"/>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26"/>
        <w:gridCol w:w="3448"/>
        <w:gridCol w:w="3642"/>
      </w:tblGrid>
      <w:tr w:rsidR="00D94758" w:rsidRPr="00E0193B" w14:paraId="0F59D476" w14:textId="77777777" w:rsidTr="00D94758">
        <w:tc>
          <w:tcPr>
            <w:tcW w:w="1068" w:type="pct"/>
            <w:shd w:val="clear" w:color="auto" w:fill="FFFFFF"/>
          </w:tcPr>
          <w:p w14:paraId="66807669" w14:textId="77777777" w:rsidR="00D94758" w:rsidRPr="00E0193B" w:rsidRDefault="00D94758" w:rsidP="00D94758">
            <w:pPr>
              <w:spacing w:after="0" w:line="240" w:lineRule="auto"/>
              <w:jc w:val="left"/>
              <w:rPr>
                <w:rFonts w:eastAsia="Calibri"/>
                <w:b/>
                <w:bCs/>
              </w:rPr>
            </w:pPr>
            <w:r w:rsidRPr="00E0193B">
              <w:rPr>
                <w:rFonts w:eastAsia="Calibri"/>
                <w:b/>
                <w:bCs/>
              </w:rPr>
              <w:t>Numer inwestycji</w:t>
            </w:r>
          </w:p>
        </w:tc>
        <w:tc>
          <w:tcPr>
            <w:tcW w:w="3932" w:type="pct"/>
            <w:gridSpan w:val="2"/>
            <w:shd w:val="clear" w:color="auto" w:fill="FFFFFF"/>
          </w:tcPr>
          <w:p w14:paraId="694B787A" w14:textId="77777777" w:rsidR="00D94758" w:rsidRPr="00E0193B" w:rsidRDefault="00D94758" w:rsidP="00D94758">
            <w:pPr>
              <w:spacing w:line="240" w:lineRule="auto"/>
              <w:contextualSpacing/>
              <w:rPr>
                <w:b/>
                <w:bCs/>
              </w:rPr>
            </w:pPr>
            <w:r w:rsidRPr="00E0193B">
              <w:rPr>
                <w:b/>
                <w:bCs/>
              </w:rPr>
              <w:t>E1.2.1.</w:t>
            </w:r>
          </w:p>
        </w:tc>
      </w:tr>
      <w:tr w:rsidR="00D94758" w:rsidRPr="00E0193B" w14:paraId="0AA313B1" w14:textId="77777777" w:rsidTr="00D94758">
        <w:tc>
          <w:tcPr>
            <w:tcW w:w="1068" w:type="pct"/>
            <w:shd w:val="clear" w:color="auto" w:fill="FFFFFF"/>
          </w:tcPr>
          <w:p w14:paraId="04387B2D" w14:textId="77777777" w:rsidR="00D94758" w:rsidRPr="00E0193B" w:rsidRDefault="00D94758" w:rsidP="00D94758">
            <w:pPr>
              <w:spacing w:line="240" w:lineRule="auto"/>
              <w:ind w:hanging="75"/>
              <w:contextualSpacing/>
              <w:rPr>
                <w:b/>
                <w:bCs/>
              </w:rPr>
            </w:pPr>
            <w:r w:rsidRPr="00E0193B">
              <w:rPr>
                <w:b/>
                <w:bCs/>
              </w:rPr>
              <w:t xml:space="preserve">Nazwa inwestycji </w:t>
            </w:r>
          </w:p>
        </w:tc>
        <w:tc>
          <w:tcPr>
            <w:tcW w:w="3932" w:type="pct"/>
            <w:gridSpan w:val="2"/>
            <w:shd w:val="clear" w:color="auto" w:fill="FFFFFF"/>
          </w:tcPr>
          <w:p w14:paraId="05DA2BB1" w14:textId="77777777" w:rsidR="00D94758" w:rsidRPr="00E0193B" w:rsidRDefault="00D94758" w:rsidP="00D94758">
            <w:pPr>
              <w:spacing w:line="240" w:lineRule="auto"/>
              <w:contextualSpacing/>
              <w:rPr>
                <w:b/>
              </w:rPr>
            </w:pPr>
            <w:r w:rsidRPr="00E0193B">
              <w:rPr>
                <w:b/>
              </w:rPr>
              <w:t>Zeroemisyjny transport zbiorowy w miastach (tramwaje)</w:t>
            </w:r>
          </w:p>
          <w:p w14:paraId="1DCADD93" w14:textId="77777777" w:rsidR="00D94758" w:rsidRPr="00E0193B" w:rsidRDefault="00D94758" w:rsidP="00D94758">
            <w:pPr>
              <w:spacing w:line="240" w:lineRule="auto"/>
              <w:ind w:left="720"/>
              <w:contextualSpacing/>
              <w:rPr>
                <w:b/>
                <w:bCs/>
              </w:rPr>
            </w:pPr>
          </w:p>
        </w:tc>
      </w:tr>
      <w:tr w:rsidR="00D94758" w:rsidRPr="00E0193B" w14:paraId="612B833F" w14:textId="77777777" w:rsidTr="00D94758">
        <w:tc>
          <w:tcPr>
            <w:tcW w:w="1068" w:type="pct"/>
            <w:shd w:val="clear" w:color="auto" w:fill="FFFFFF"/>
          </w:tcPr>
          <w:p w14:paraId="2D372520" w14:textId="77777777" w:rsidR="00D94758" w:rsidRPr="00E0193B" w:rsidRDefault="00D94758" w:rsidP="00D94758">
            <w:pPr>
              <w:spacing w:line="240" w:lineRule="auto"/>
              <w:contextualSpacing/>
            </w:pPr>
            <w:r w:rsidRPr="00E0193B">
              <w:t>Rodzaj wprowadzonej zmiany w odniesieniu do CID</w:t>
            </w:r>
          </w:p>
        </w:tc>
        <w:tc>
          <w:tcPr>
            <w:tcW w:w="3932" w:type="pct"/>
            <w:gridSpan w:val="2"/>
            <w:shd w:val="clear" w:color="auto" w:fill="FFFFFF"/>
          </w:tcPr>
          <w:p w14:paraId="3797FC77" w14:textId="77777777" w:rsidR="00D94758" w:rsidRPr="00E0193B" w:rsidRDefault="00D94758" w:rsidP="00D94758">
            <w:pPr>
              <w:spacing w:line="240" w:lineRule="auto"/>
              <w:ind w:left="-24"/>
              <w:contextualSpacing/>
            </w:pPr>
            <w:r w:rsidRPr="00E0193B">
              <w:t xml:space="preserve">Modyfikacja nazwy i opisu wskaźnika E4L oraz opisu inwestycji </w:t>
            </w:r>
          </w:p>
          <w:p w14:paraId="5CBD31C7" w14:textId="77777777" w:rsidR="00D94758" w:rsidRPr="00E0193B" w:rsidRDefault="00D94758" w:rsidP="00D94758">
            <w:pPr>
              <w:spacing w:line="240" w:lineRule="auto"/>
              <w:ind w:left="720"/>
              <w:contextualSpacing/>
            </w:pPr>
          </w:p>
        </w:tc>
      </w:tr>
      <w:tr w:rsidR="00D94758" w:rsidRPr="00E0193B" w14:paraId="5EED74A3" w14:textId="77777777" w:rsidTr="00D94758">
        <w:tc>
          <w:tcPr>
            <w:tcW w:w="1068" w:type="pct"/>
            <w:shd w:val="clear" w:color="auto" w:fill="FFFFFF"/>
          </w:tcPr>
          <w:p w14:paraId="5D56ED90" w14:textId="77777777" w:rsidR="00D94758" w:rsidRPr="00E0193B" w:rsidRDefault="00D94758" w:rsidP="00D94758">
            <w:pPr>
              <w:spacing w:line="240" w:lineRule="auto"/>
              <w:ind w:left="67"/>
              <w:contextualSpacing/>
            </w:pPr>
            <w:r w:rsidRPr="00E0193B">
              <w:t>Podstawa prawna zmiany</w:t>
            </w:r>
          </w:p>
        </w:tc>
        <w:tc>
          <w:tcPr>
            <w:tcW w:w="3932" w:type="pct"/>
            <w:gridSpan w:val="2"/>
            <w:shd w:val="clear" w:color="auto" w:fill="FFFFFF"/>
          </w:tcPr>
          <w:p w14:paraId="6AE499CE" w14:textId="77777777" w:rsidR="00D94758" w:rsidRPr="00E0193B" w:rsidRDefault="00D94758" w:rsidP="00D94758">
            <w:pPr>
              <w:spacing w:after="0" w:line="240" w:lineRule="auto"/>
              <w:jc w:val="left"/>
              <w:rPr>
                <w:rFonts w:eastAsia="Calibri"/>
              </w:rPr>
            </w:pPr>
            <w:r w:rsidRPr="00E0193B">
              <w:rPr>
                <w:rFonts w:eastAsia="Calibri"/>
              </w:rPr>
              <w:t>art. 21 rozporządzenia Parlamentu Europejskiego i Rady (UE) 2021/241 z dnia 12 lutego 2021 r. ustanawiające Instrument na rzecz Odbudowy i Zwiększania Odporności</w:t>
            </w:r>
            <w:r w:rsidRPr="00E0193B" w:rsidDel="007A5B4B">
              <w:rPr>
                <w:rFonts w:eastAsia="Calibri"/>
              </w:rPr>
              <w:t xml:space="preserve"> </w:t>
            </w:r>
          </w:p>
        </w:tc>
      </w:tr>
      <w:tr w:rsidR="00D94758" w:rsidRPr="00E0193B" w14:paraId="58731C04" w14:textId="77777777" w:rsidTr="00D94758">
        <w:tc>
          <w:tcPr>
            <w:tcW w:w="1068" w:type="pct"/>
            <w:shd w:val="clear" w:color="auto" w:fill="D0CECE"/>
          </w:tcPr>
          <w:p w14:paraId="56A07458" w14:textId="77777777" w:rsidR="00D94758" w:rsidRPr="00E0193B" w:rsidRDefault="00D94758" w:rsidP="00D94758">
            <w:pPr>
              <w:spacing w:after="0" w:line="240" w:lineRule="auto"/>
              <w:jc w:val="left"/>
              <w:rPr>
                <w:rFonts w:eastAsia="Calibri"/>
              </w:rPr>
            </w:pPr>
            <w:r w:rsidRPr="00E0193B">
              <w:rPr>
                <w:rFonts w:eastAsia="Calibri"/>
              </w:rPr>
              <w:t>Modyfikowany element</w:t>
            </w:r>
          </w:p>
        </w:tc>
        <w:tc>
          <w:tcPr>
            <w:tcW w:w="1912" w:type="pct"/>
            <w:shd w:val="clear" w:color="auto" w:fill="D0CECE"/>
          </w:tcPr>
          <w:p w14:paraId="649C39B8" w14:textId="77777777" w:rsidR="00D94758" w:rsidRPr="00E0193B" w:rsidRDefault="00D94758" w:rsidP="00D94758">
            <w:pPr>
              <w:spacing w:after="0" w:line="240" w:lineRule="auto"/>
              <w:jc w:val="center"/>
              <w:rPr>
                <w:rFonts w:eastAsia="Calibri"/>
              </w:rPr>
            </w:pPr>
            <w:r w:rsidRPr="00E0193B">
              <w:rPr>
                <w:rFonts w:eastAsia="Calibri"/>
              </w:rPr>
              <w:t>Wersja aktualna</w:t>
            </w:r>
          </w:p>
        </w:tc>
        <w:tc>
          <w:tcPr>
            <w:tcW w:w="2020" w:type="pct"/>
            <w:shd w:val="clear" w:color="auto" w:fill="D0CECE"/>
          </w:tcPr>
          <w:p w14:paraId="585F3B4F" w14:textId="77777777" w:rsidR="00D94758" w:rsidRPr="00E0193B" w:rsidRDefault="00D94758" w:rsidP="00D94758">
            <w:pPr>
              <w:spacing w:after="0" w:line="240" w:lineRule="auto"/>
              <w:jc w:val="center"/>
              <w:rPr>
                <w:rFonts w:eastAsia="Calibri"/>
              </w:rPr>
            </w:pPr>
            <w:r w:rsidRPr="00E0193B">
              <w:rPr>
                <w:rFonts w:eastAsia="Calibri"/>
              </w:rPr>
              <w:t>Wersja zmieniona</w:t>
            </w:r>
          </w:p>
        </w:tc>
      </w:tr>
      <w:tr w:rsidR="00D94758" w:rsidRPr="00E0193B" w14:paraId="15508F3C" w14:textId="77777777" w:rsidTr="00D94758">
        <w:tc>
          <w:tcPr>
            <w:tcW w:w="1068" w:type="pct"/>
            <w:shd w:val="clear" w:color="auto" w:fill="FFFFFF"/>
          </w:tcPr>
          <w:p w14:paraId="5306A8E2" w14:textId="77777777" w:rsidR="00D94758" w:rsidRPr="00E0193B" w:rsidRDefault="00D94758" w:rsidP="00D94758">
            <w:pPr>
              <w:spacing w:after="0" w:line="240" w:lineRule="auto"/>
              <w:jc w:val="left"/>
              <w:rPr>
                <w:rFonts w:eastAsia="Calibri"/>
              </w:rPr>
            </w:pPr>
            <w:r w:rsidRPr="00E0193B">
              <w:rPr>
                <w:rFonts w:eastAsia="Calibri"/>
              </w:rPr>
              <w:t>Opis kamienia milowego lub wskaźnika.</w:t>
            </w:r>
          </w:p>
        </w:tc>
        <w:tc>
          <w:tcPr>
            <w:tcW w:w="1912" w:type="pct"/>
            <w:shd w:val="clear" w:color="auto" w:fill="FFFFFF"/>
          </w:tcPr>
          <w:p w14:paraId="4189C15D" w14:textId="77777777" w:rsidR="00D94758" w:rsidRPr="00E0193B" w:rsidRDefault="00D94758" w:rsidP="00D94758">
            <w:pPr>
              <w:spacing w:line="240" w:lineRule="auto"/>
              <w:jc w:val="left"/>
              <w:rPr>
                <w:rFonts w:eastAsia="Calibri"/>
                <w:lang w:val="en-GB"/>
              </w:rPr>
            </w:pPr>
            <w:r w:rsidRPr="00E0193B">
              <w:rPr>
                <w:rFonts w:eastAsia="Calibri"/>
                <w:lang w:val="en-GB"/>
              </w:rPr>
              <w:t xml:space="preserve">Opis inwestycji </w:t>
            </w:r>
          </w:p>
          <w:p w14:paraId="5CCBEFC4" w14:textId="77777777" w:rsidR="00D94758" w:rsidRPr="00E0193B" w:rsidRDefault="00D94758" w:rsidP="00D94758">
            <w:pPr>
              <w:spacing w:after="0" w:line="240" w:lineRule="auto"/>
              <w:jc w:val="left"/>
              <w:rPr>
                <w:rFonts w:eastAsia="Calibri"/>
              </w:rPr>
            </w:pPr>
            <w:r w:rsidRPr="00E0193B">
              <w:rPr>
                <w:rFonts w:eastAsia="Calibri"/>
                <w:lang w:val="en-GB"/>
              </w:rPr>
              <w:t xml:space="preserve">The investment shall aim at increasing the clean public transport offer in cities. Support shall be given as a matter of priority to areas where clean transport zones have been or are planned to be introduced. The investment shall consist of purchasing 88 zero-emission railways rolling stock (trams) for public transport in cities. </w:t>
            </w:r>
            <w:r w:rsidRPr="00E0193B">
              <w:rPr>
                <w:rFonts w:eastAsia="Calibri"/>
              </w:rPr>
              <w:t xml:space="preserve">Delivery of trams shall be done by 30 June 2026. </w:t>
            </w:r>
          </w:p>
          <w:p w14:paraId="16BA0A06" w14:textId="77777777" w:rsidR="00D94758" w:rsidRPr="00E0193B" w:rsidRDefault="00D94758" w:rsidP="00D94758">
            <w:pPr>
              <w:spacing w:line="240" w:lineRule="auto"/>
              <w:ind w:left="720"/>
              <w:contextualSpacing/>
            </w:pPr>
          </w:p>
          <w:p w14:paraId="7A1F3728" w14:textId="77777777" w:rsidR="00D94758" w:rsidRPr="00E0193B" w:rsidRDefault="00D94758" w:rsidP="00D94758">
            <w:pPr>
              <w:spacing w:line="240" w:lineRule="auto"/>
              <w:ind w:left="118"/>
              <w:contextualSpacing/>
            </w:pPr>
            <w:r w:rsidRPr="00E0193B">
              <w:t>Celem inwestycji jest zwiększenie oferty czystego transportu publicznego w miastach. Wsparcie zostanie udzielone w pierwszej kolejności obszarom, w których wprowadzono lub planuje się wprowadzenie stref czystego transportu. Inwestycja polega na zakupie 88 jednostek zeroemisyjnego taboru kolejowego (tramwajów) na potrzeby transportu publicznego w miastach. Tramwaje zostaną dostarczone do dnia 30 czerwca 2026 r.</w:t>
            </w:r>
          </w:p>
          <w:p w14:paraId="1A93F577" w14:textId="77777777" w:rsidR="00D94758" w:rsidRPr="00E0193B" w:rsidRDefault="00D94758" w:rsidP="00D94758">
            <w:pPr>
              <w:spacing w:after="0" w:line="240" w:lineRule="auto"/>
              <w:jc w:val="left"/>
              <w:rPr>
                <w:rFonts w:eastAsia="Calibri"/>
                <w:u w:val="single"/>
              </w:rPr>
            </w:pPr>
          </w:p>
          <w:p w14:paraId="393C9A7E" w14:textId="77777777" w:rsidR="00D94758" w:rsidRPr="00E0193B" w:rsidRDefault="00D94758" w:rsidP="00D94758">
            <w:pPr>
              <w:spacing w:line="240" w:lineRule="auto"/>
              <w:contextualSpacing/>
            </w:pPr>
            <w:r w:rsidRPr="00E0193B">
              <w:t>E4L</w:t>
            </w:r>
          </w:p>
          <w:p w14:paraId="64FF9974" w14:textId="77777777" w:rsidR="00D94758" w:rsidRPr="00E0193B" w:rsidRDefault="00D94758" w:rsidP="00D94758">
            <w:pPr>
              <w:spacing w:line="240" w:lineRule="auto"/>
              <w:contextualSpacing/>
              <w:rPr>
                <w:i/>
              </w:rPr>
            </w:pPr>
            <w:r w:rsidRPr="00E0193B">
              <w:t>Delivery of new trams for public urban transport</w:t>
            </w:r>
            <w:r w:rsidRPr="00E0193B">
              <w:rPr>
                <w:i/>
              </w:rPr>
              <w:t xml:space="preserve"> </w:t>
            </w:r>
          </w:p>
          <w:p w14:paraId="3CAEF47F" w14:textId="77777777" w:rsidR="00D94758" w:rsidRPr="00E0193B" w:rsidRDefault="00D94758" w:rsidP="00D94758">
            <w:pPr>
              <w:spacing w:line="240" w:lineRule="auto"/>
              <w:contextualSpacing/>
            </w:pPr>
            <w:r w:rsidRPr="00E0193B">
              <w:t>Dostarczenie nowych tramwajów na potrzeby publicznego transportu miejskiego</w:t>
            </w:r>
          </w:p>
          <w:p w14:paraId="1EE6818F" w14:textId="77777777" w:rsidR="00D94758" w:rsidRPr="00E0193B" w:rsidRDefault="00D94758" w:rsidP="00D94758">
            <w:pPr>
              <w:spacing w:after="0" w:line="240" w:lineRule="auto"/>
              <w:ind w:left="-6"/>
              <w:jc w:val="left"/>
              <w:rPr>
                <w:rFonts w:eastAsia="Calibri"/>
                <w:i/>
                <w:lang w:val="en-GB"/>
              </w:rPr>
            </w:pPr>
            <w:r w:rsidRPr="00E0193B">
              <w:rPr>
                <w:rFonts w:eastAsia="Calibri"/>
                <w:i/>
                <w:lang w:val="en-GB"/>
              </w:rPr>
              <w:t>Description of each (…)/ Opis każdego (…)</w:t>
            </w:r>
          </w:p>
          <w:p w14:paraId="0C050120" w14:textId="77777777" w:rsidR="00D94758" w:rsidRPr="00E0193B" w:rsidRDefault="00D94758" w:rsidP="00D94758">
            <w:pPr>
              <w:spacing w:after="0" w:line="240" w:lineRule="auto"/>
              <w:jc w:val="left"/>
              <w:rPr>
                <w:rFonts w:eastAsia="Calibri"/>
                <w:lang w:val="en-GB"/>
              </w:rPr>
            </w:pPr>
            <w:r w:rsidRPr="00E0193B">
              <w:rPr>
                <w:rFonts w:eastAsia="Calibri"/>
                <w:lang w:val="en-GB"/>
              </w:rPr>
              <w:t>The target refers to the number of new trams delivered. The procurement of trams shall be done via open and competitive tenders managed by the Ministry of Transport/beneficiary entities. The investment shall aim at increasing the clean public transport offer in cities. Support shall be given as a matter of priority to areas where clean transport zones have been or are planned to be introduced. The investment shall</w:t>
            </w:r>
            <w:r w:rsidRPr="00E0193B">
              <w:rPr>
                <w:rFonts w:eastAsia="Calibri"/>
                <w:color w:val="FF0000"/>
                <w:lang w:val="en-GB"/>
              </w:rPr>
              <w:t xml:space="preserve"> </w:t>
            </w:r>
            <w:r w:rsidRPr="00E0193B">
              <w:rPr>
                <w:rFonts w:eastAsia="Calibri"/>
                <w:lang w:val="en-GB"/>
              </w:rPr>
              <w:t>consist of delivering of 88 zero-emission rolling stock (trams) for public transport in cities by 30 June 2026.</w:t>
            </w:r>
          </w:p>
          <w:p w14:paraId="3708E89D" w14:textId="77777777" w:rsidR="00D94758" w:rsidRPr="00E0193B" w:rsidRDefault="00D94758" w:rsidP="00D94758">
            <w:pPr>
              <w:spacing w:after="0" w:line="240" w:lineRule="auto"/>
              <w:jc w:val="left"/>
              <w:rPr>
                <w:rFonts w:eastAsia="Calibri"/>
                <w:lang w:val="en-GB"/>
              </w:rPr>
            </w:pPr>
          </w:p>
          <w:p w14:paraId="626C7721" w14:textId="77777777" w:rsidR="00D94758" w:rsidRDefault="00D94758" w:rsidP="00D94758">
            <w:pPr>
              <w:spacing w:after="0" w:line="240" w:lineRule="auto"/>
              <w:jc w:val="left"/>
              <w:rPr>
                <w:rFonts w:eastAsia="Calibri"/>
              </w:rPr>
            </w:pPr>
            <w:r w:rsidRPr="00E0193B">
              <w:rPr>
                <w:rFonts w:eastAsia="Calibri"/>
              </w:rPr>
              <w:t xml:space="preserve">Wartość docelowa odnosi się do liczby dostarczonych nowych tramwajów. Zamówienia na tramwaje będą udzielane w drodze przetargów otwartych i konkurencyjnych zarządzanych przez Ministerstwo Transportu/podmioty będące beneficjentami. Celem inwestycji jest zwiększenie oferty czystego transportu publicznego w miastach. Wsparcie zostanie udzielone w pierwszej kolejności obszarom, w których wprowadzono lub planuje się wprowadzenie stref czystego transportu. Inwestycja polega na dostawie 88 jednostek zeroemisyjnego taboru kolejowego (tramwajów) na potrzeby transportu </w:t>
            </w:r>
            <w:r w:rsidRPr="00E0193B">
              <w:rPr>
                <w:rFonts w:eastAsia="Calibri"/>
              </w:rPr>
              <w:lastRenderedPageBreak/>
              <w:t>publicznego w miastach do dnia 30 czerwca 2026 r.</w:t>
            </w:r>
          </w:p>
          <w:p w14:paraId="6A4684B1" w14:textId="77777777" w:rsidR="009443AD" w:rsidRDefault="009443AD" w:rsidP="00D94758">
            <w:pPr>
              <w:spacing w:after="0" w:line="240" w:lineRule="auto"/>
              <w:jc w:val="left"/>
              <w:rPr>
                <w:rFonts w:eastAsia="Calibri"/>
              </w:rPr>
            </w:pPr>
            <w:r>
              <w:rPr>
                <w:rFonts w:eastAsia="Calibri"/>
              </w:rPr>
              <w:t>Timeline</w:t>
            </w:r>
          </w:p>
          <w:p w14:paraId="6BD0AD84" w14:textId="47BAA94E" w:rsidR="009443AD" w:rsidRPr="00E0193B" w:rsidRDefault="009443AD" w:rsidP="00D94758">
            <w:pPr>
              <w:spacing w:after="0" w:line="240" w:lineRule="auto"/>
              <w:jc w:val="left"/>
              <w:rPr>
                <w:rFonts w:eastAsia="Calibri"/>
              </w:rPr>
            </w:pPr>
            <w:r>
              <w:rPr>
                <w:rFonts w:eastAsia="Calibri"/>
              </w:rPr>
              <w:t>Q2 2026</w:t>
            </w:r>
          </w:p>
        </w:tc>
        <w:tc>
          <w:tcPr>
            <w:tcW w:w="2020" w:type="pct"/>
            <w:shd w:val="clear" w:color="auto" w:fill="FFFFFF"/>
          </w:tcPr>
          <w:p w14:paraId="3F9DA307" w14:textId="77777777" w:rsidR="00D94758" w:rsidRPr="00E0193B" w:rsidRDefault="00D94758" w:rsidP="00D94758">
            <w:pPr>
              <w:spacing w:line="240" w:lineRule="auto"/>
              <w:jc w:val="left"/>
              <w:rPr>
                <w:rFonts w:eastAsia="Calibri"/>
                <w:lang w:val="en-GB"/>
              </w:rPr>
            </w:pPr>
            <w:r w:rsidRPr="00E0193B">
              <w:rPr>
                <w:rFonts w:eastAsia="Calibri"/>
                <w:lang w:val="en-GB"/>
              </w:rPr>
              <w:lastRenderedPageBreak/>
              <w:t xml:space="preserve">Opis inwestycji </w:t>
            </w:r>
          </w:p>
          <w:p w14:paraId="1D8429F9" w14:textId="275C22EB" w:rsidR="00D94758" w:rsidRPr="00E0193B" w:rsidRDefault="00D94758" w:rsidP="00D94758">
            <w:pPr>
              <w:spacing w:after="0" w:line="240" w:lineRule="auto"/>
              <w:jc w:val="left"/>
              <w:rPr>
                <w:rFonts w:eastAsia="Calibri"/>
                <w:color w:val="FF0000"/>
              </w:rPr>
            </w:pPr>
            <w:r w:rsidRPr="00E0193B">
              <w:rPr>
                <w:rFonts w:eastAsia="Calibri"/>
                <w:lang w:val="en-GB"/>
              </w:rPr>
              <w:t xml:space="preserve">The investment shall aim at increasing the clean public transport offer in cities. Support shall be given as a matter of priority to areas where clean transport zones have been or are planned to be introduced. The investment shall consist of purchasing 88 zero-emission railways rolling stock (trams) for public transport in cities. </w:t>
            </w:r>
            <w:r w:rsidRPr="00E0193B">
              <w:rPr>
                <w:rFonts w:eastAsia="Calibri"/>
                <w:color w:val="FF0000"/>
              </w:rPr>
              <w:t xml:space="preserve">By </w:t>
            </w:r>
            <w:r w:rsidR="00A4242B" w:rsidRPr="00E0193B">
              <w:rPr>
                <w:rFonts w:eastAsia="Calibri"/>
                <w:color w:val="FF0000"/>
              </w:rPr>
              <w:t xml:space="preserve">31 August </w:t>
            </w:r>
            <w:r w:rsidRPr="00E0193B">
              <w:rPr>
                <w:rFonts w:eastAsia="Calibri"/>
                <w:strike/>
                <w:color w:val="FF0000"/>
              </w:rPr>
              <w:t>30 June</w:t>
            </w:r>
            <w:r w:rsidRPr="00E0193B">
              <w:rPr>
                <w:rFonts w:eastAsia="Calibri"/>
                <w:color w:val="FF0000"/>
              </w:rPr>
              <w:t xml:space="preserve"> 2026, 88 trams should be produc</w:t>
            </w:r>
            <w:r w:rsidR="00A4242B" w:rsidRPr="00E0193B">
              <w:rPr>
                <w:rFonts w:eastAsia="Calibri"/>
                <w:color w:val="FF0000"/>
              </w:rPr>
              <w:t>ed</w:t>
            </w:r>
            <w:r w:rsidRPr="00E0193B">
              <w:rPr>
                <w:rFonts w:eastAsia="Calibri"/>
                <w:color w:val="FF0000"/>
              </w:rPr>
              <w:t>.</w:t>
            </w:r>
          </w:p>
          <w:p w14:paraId="724AF48B" w14:textId="77777777" w:rsidR="00D94758" w:rsidRPr="00E0193B" w:rsidRDefault="00D94758" w:rsidP="00D94758">
            <w:pPr>
              <w:spacing w:line="240" w:lineRule="auto"/>
              <w:ind w:left="720"/>
              <w:contextualSpacing/>
            </w:pPr>
          </w:p>
          <w:p w14:paraId="40947673" w14:textId="7DA268FE" w:rsidR="00D94758" w:rsidRPr="00E0193B" w:rsidRDefault="00D94758" w:rsidP="00D94758">
            <w:pPr>
              <w:spacing w:line="240" w:lineRule="auto"/>
              <w:ind w:left="55"/>
              <w:contextualSpacing/>
              <w:rPr>
                <w:strike/>
                <w:color w:val="FF0000"/>
              </w:rPr>
            </w:pPr>
            <w:r w:rsidRPr="00E0193B">
              <w:t>Celem inwestycji jest zwiększenie oferty czystego transportu publicznego w miastach. Wsparcie zostanie udzielone w pierwszej kolejności obszarom, w których wprowadzono lub planuje się wprowadzenie stref czystego transportu. Inwestycja polega na zakupie 88 jednostek zeroemisyjnego taboru kolejowego (tramwajów) na potrzeby transportu publicznego w miastach.</w:t>
            </w:r>
            <w:r w:rsidRPr="00E0193B">
              <w:rPr>
                <w:color w:val="FF0000"/>
              </w:rPr>
              <w:t xml:space="preserve"> Do </w:t>
            </w:r>
            <w:r w:rsidR="00A4242B" w:rsidRPr="00E0193B">
              <w:rPr>
                <w:color w:val="FF0000"/>
              </w:rPr>
              <w:t xml:space="preserve">31 sierpnia </w:t>
            </w:r>
            <w:r w:rsidRPr="00E0193B">
              <w:rPr>
                <w:strike/>
                <w:color w:val="FF0000"/>
              </w:rPr>
              <w:t>30 czerwca</w:t>
            </w:r>
            <w:r w:rsidRPr="00E0193B">
              <w:rPr>
                <w:color w:val="FF0000"/>
              </w:rPr>
              <w:t xml:space="preserve"> 2026 r., 88 tramwajów powinno być </w:t>
            </w:r>
            <w:r w:rsidR="00A4242B" w:rsidRPr="00E0193B">
              <w:rPr>
                <w:color w:val="FF0000"/>
              </w:rPr>
              <w:t>wy</w:t>
            </w:r>
            <w:r w:rsidRPr="00E0193B">
              <w:rPr>
                <w:color w:val="FF0000"/>
              </w:rPr>
              <w:t>produk</w:t>
            </w:r>
            <w:r w:rsidR="00A4242B" w:rsidRPr="00E0193B">
              <w:rPr>
                <w:color w:val="FF0000"/>
              </w:rPr>
              <w:t>owanych</w:t>
            </w:r>
            <w:r w:rsidRPr="00E0193B">
              <w:rPr>
                <w:color w:val="FF0000"/>
              </w:rPr>
              <w:t>.</w:t>
            </w:r>
          </w:p>
          <w:p w14:paraId="1A9100A8" w14:textId="77777777" w:rsidR="00D94758" w:rsidRPr="00E0193B" w:rsidRDefault="00D94758" w:rsidP="00D94758">
            <w:pPr>
              <w:spacing w:after="0" w:line="240" w:lineRule="auto"/>
              <w:jc w:val="left"/>
              <w:rPr>
                <w:rFonts w:eastAsia="Calibri"/>
                <w:u w:val="single"/>
              </w:rPr>
            </w:pPr>
          </w:p>
          <w:p w14:paraId="47D2EF91" w14:textId="77777777" w:rsidR="00D94758" w:rsidRPr="00E0193B" w:rsidRDefault="00D94758" w:rsidP="00D94758">
            <w:pPr>
              <w:spacing w:line="240" w:lineRule="auto"/>
              <w:ind w:left="55"/>
              <w:contextualSpacing/>
            </w:pPr>
            <w:r w:rsidRPr="00E0193B">
              <w:t>E4L</w:t>
            </w:r>
          </w:p>
          <w:p w14:paraId="023D72E8" w14:textId="09370AD9" w:rsidR="00D94758" w:rsidRPr="00E0193B" w:rsidRDefault="00D94758" w:rsidP="00D94758">
            <w:pPr>
              <w:spacing w:line="240" w:lineRule="auto"/>
              <w:ind w:left="55"/>
              <w:contextualSpacing/>
              <w:rPr>
                <w:i/>
              </w:rPr>
            </w:pPr>
            <w:r w:rsidRPr="00E0193B">
              <w:rPr>
                <w:strike/>
                <w:color w:val="FF0000"/>
              </w:rPr>
              <w:t>Delivery of</w:t>
            </w:r>
            <w:r w:rsidRPr="00E0193B">
              <w:rPr>
                <w:color w:val="FF0000"/>
              </w:rPr>
              <w:t xml:space="preserve"> </w:t>
            </w:r>
            <w:r w:rsidR="00A4242B" w:rsidRPr="00E0193B">
              <w:rPr>
                <w:color w:val="FF0000"/>
              </w:rPr>
              <w:t>N</w:t>
            </w:r>
            <w:r w:rsidRPr="00E0193B">
              <w:rPr>
                <w:color w:val="FF0000"/>
              </w:rPr>
              <w:t>ew</w:t>
            </w:r>
            <w:r w:rsidRPr="00E0193B">
              <w:t xml:space="preserve"> trams for public urban transport</w:t>
            </w:r>
            <w:r w:rsidRPr="00E0193B">
              <w:rPr>
                <w:i/>
              </w:rPr>
              <w:t xml:space="preserve"> </w:t>
            </w:r>
          </w:p>
          <w:p w14:paraId="0A6DF0F9" w14:textId="4CED2172" w:rsidR="00D94758" w:rsidRPr="00E0193B" w:rsidRDefault="00D94758" w:rsidP="00D94758">
            <w:pPr>
              <w:spacing w:line="240" w:lineRule="auto"/>
              <w:ind w:left="55"/>
              <w:contextualSpacing/>
            </w:pPr>
            <w:r w:rsidRPr="00E0193B">
              <w:rPr>
                <w:strike/>
                <w:color w:val="FF0000"/>
              </w:rPr>
              <w:t>Dostarczenie nowych</w:t>
            </w:r>
            <w:r w:rsidRPr="00E0193B">
              <w:rPr>
                <w:color w:val="FF0000"/>
              </w:rPr>
              <w:t xml:space="preserve"> </w:t>
            </w:r>
            <w:r w:rsidR="00A4242B" w:rsidRPr="00E0193B">
              <w:t xml:space="preserve">Nowe </w:t>
            </w:r>
            <w:r w:rsidRPr="00E0193B">
              <w:t>tramwaj</w:t>
            </w:r>
            <w:r w:rsidR="00A4242B" w:rsidRPr="00E0193B">
              <w:t>e</w:t>
            </w:r>
            <w:r w:rsidRPr="00E0193B">
              <w:t xml:space="preserve"> na potrzeby publicznego transportu miejskiego</w:t>
            </w:r>
          </w:p>
          <w:p w14:paraId="36C226E6" w14:textId="77777777" w:rsidR="00D94758" w:rsidRPr="00E0193B" w:rsidRDefault="00D94758" w:rsidP="00D94758">
            <w:pPr>
              <w:spacing w:after="0" w:line="240" w:lineRule="auto"/>
              <w:ind w:left="-6"/>
              <w:jc w:val="left"/>
              <w:rPr>
                <w:rFonts w:eastAsia="Calibri"/>
                <w:i/>
                <w:lang w:val="en-GB"/>
              </w:rPr>
            </w:pPr>
            <w:r w:rsidRPr="00E0193B">
              <w:rPr>
                <w:rFonts w:eastAsia="Calibri"/>
                <w:i/>
                <w:lang w:val="en-GB"/>
              </w:rPr>
              <w:t>Description of each (…)/ Opis każdego (…)</w:t>
            </w:r>
          </w:p>
          <w:p w14:paraId="515B16FE" w14:textId="59697966" w:rsidR="00D94758" w:rsidRPr="00E0193B" w:rsidRDefault="00D94758" w:rsidP="00D94758">
            <w:pPr>
              <w:spacing w:after="0" w:line="240" w:lineRule="auto"/>
              <w:jc w:val="left"/>
              <w:rPr>
                <w:rFonts w:eastAsia="Calibri"/>
                <w:lang w:val="en-GB"/>
              </w:rPr>
            </w:pPr>
            <w:r w:rsidRPr="00E0193B">
              <w:rPr>
                <w:rFonts w:eastAsia="Calibri"/>
                <w:lang w:val="en-GB"/>
              </w:rPr>
              <w:t xml:space="preserve">The target refers to the number of new trams </w:t>
            </w:r>
            <w:r w:rsidR="00A4242B" w:rsidRPr="00E0193B">
              <w:rPr>
                <w:rFonts w:eastAsia="Calibri"/>
                <w:color w:val="FF0000"/>
                <w:lang w:val="en-GB"/>
              </w:rPr>
              <w:t xml:space="preserve">produced </w:t>
            </w:r>
            <w:r w:rsidRPr="00E0193B">
              <w:rPr>
                <w:rFonts w:eastAsia="Calibri"/>
                <w:strike/>
                <w:color w:val="FF0000"/>
                <w:lang w:val="en-GB"/>
              </w:rPr>
              <w:t>delivered</w:t>
            </w:r>
            <w:r w:rsidRPr="00E0193B">
              <w:rPr>
                <w:rFonts w:eastAsia="Calibri"/>
                <w:lang w:val="en-GB"/>
              </w:rPr>
              <w:t xml:space="preserve">. The procurement of trams shall be done via open and competitive tenders managed by </w:t>
            </w:r>
            <w:r w:rsidRPr="00E0193B">
              <w:rPr>
                <w:rFonts w:eastAsia="Calibri"/>
                <w:strike/>
                <w:color w:val="FF0000"/>
                <w:lang w:val="en-GB"/>
              </w:rPr>
              <w:t>the Ministry of Transport/</w:t>
            </w:r>
            <w:r w:rsidRPr="00E0193B">
              <w:rPr>
                <w:rFonts w:eastAsia="Calibri"/>
                <w:lang w:val="en-GB"/>
              </w:rPr>
              <w:t xml:space="preserve">beneficiary entities. The investment shall aim at increasing the clean public transport offer in cities. Support shall be given as a matter of priority to areas where clean transport zones have been or are planned to be introduced. The investment </w:t>
            </w:r>
            <w:r w:rsidRPr="00E0193B">
              <w:rPr>
                <w:rFonts w:eastAsia="Calibri"/>
                <w:strike/>
                <w:color w:val="FF0000"/>
                <w:lang w:val="en-GB"/>
              </w:rPr>
              <w:t>shall</w:t>
            </w:r>
            <w:r w:rsidRPr="00E0193B">
              <w:rPr>
                <w:rFonts w:eastAsia="Calibri"/>
                <w:color w:val="FF0000"/>
                <w:lang w:val="en-GB"/>
              </w:rPr>
              <w:t xml:space="preserve"> will </w:t>
            </w:r>
            <w:r w:rsidRPr="00E0193B">
              <w:rPr>
                <w:rFonts w:eastAsia="Calibri"/>
                <w:lang w:val="en-GB"/>
              </w:rPr>
              <w:t xml:space="preserve">consist of </w:t>
            </w:r>
            <w:r w:rsidR="00A4242B" w:rsidRPr="00E0193B">
              <w:rPr>
                <w:rFonts w:eastAsia="Calibri"/>
                <w:color w:val="FF0000"/>
                <w:lang w:val="en-GB"/>
              </w:rPr>
              <w:t xml:space="preserve">producing </w:t>
            </w:r>
            <w:r w:rsidRPr="00E0193B">
              <w:rPr>
                <w:rFonts w:eastAsia="Calibri"/>
                <w:strike/>
                <w:color w:val="FF0000"/>
                <w:lang w:val="en-GB"/>
              </w:rPr>
              <w:t>delivering</w:t>
            </w:r>
            <w:r w:rsidRPr="00E0193B">
              <w:rPr>
                <w:rFonts w:eastAsia="Calibri"/>
                <w:color w:val="FF0000"/>
                <w:lang w:val="en-GB"/>
              </w:rPr>
              <w:t xml:space="preserve"> </w:t>
            </w:r>
            <w:r w:rsidRPr="00E0193B">
              <w:rPr>
                <w:rFonts w:eastAsia="Calibri"/>
                <w:lang w:val="en-GB"/>
              </w:rPr>
              <w:t xml:space="preserve">of 88 zero-emission rolling stock (trams) for public transport in cities by </w:t>
            </w:r>
            <w:r w:rsidR="00A4242B" w:rsidRPr="00E0193B">
              <w:rPr>
                <w:rFonts w:eastAsia="Calibri"/>
                <w:color w:val="FF0000"/>
                <w:lang w:val="en-GB"/>
              </w:rPr>
              <w:t xml:space="preserve">31 August </w:t>
            </w:r>
            <w:r w:rsidRPr="00E0193B">
              <w:rPr>
                <w:rFonts w:eastAsia="Calibri"/>
                <w:strike/>
                <w:color w:val="FF0000"/>
                <w:lang w:val="en-GB"/>
              </w:rPr>
              <w:t>30 June</w:t>
            </w:r>
            <w:r w:rsidRPr="00E0193B">
              <w:rPr>
                <w:rFonts w:eastAsia="Calibri"/>
                <w:lang w:val="en-GB"/>
              </w:rPr>
              <w:t xml:space="preserve"> 2026.</w:t>
            </w:r>
          </w:p>
          <w:p w14:paraId="500F5489" w14:textId="77777777" w:rsidR="00D94758" w:rsidRDefault="00D94758" w:rsidP="00D94758">
            <w:pPr>
              <w:spacing w:after="0" w:line="240" w:lineRule="auto"/>
              <w:jc w:val="left"/>
              <w:rPr>
                <w:rFonts w:eastAsia="Calibri"/>
              </w:rPr>
            </w:pPr>
            <w:r w:rsidRPr="00E0193B">
              <w:rPr>
                <w:rFonts w:eastAsia="Calibri"/>
              </w:rPr>
              <w:t xml:space="preserve">Wartość docelowa odnosi się do liczby </w:t>
            </w:r>
            <w:r w:rsidR="00A4242B" w:rsidRPr="00E0193B">
              <w:rPr>
                <w:rFonts w:eastAsia="Calibri"/>
                <w:color w:val="FF0000"/>
              </w:rPr>
              <w:t xml:space="preserve">wyprodukowanych </w:t>
            </w:r>
            <w:r w:rsidRPr="00E0193B">
              <w:rPr>
                <w:rFonts w:eastAsia="Calibri"/>
                <w:strike/>
                <w:color w:val="FF0000"/>
              </w:rPr>
              <w:t>dostarczonych</w:t>
            </w:r>
            <w:r w:rsidRPr="00E0193B">
              <w:rPr>
                <w:rFonts w:eastAsia="Calibri"/>
                <w:color w:val="FF0000"/>
              </w:rPr>
              <w:t xml:space="preserve"> </w:t>
            </w:r>
            <w:r w:rsidRPr="00E0193B">
              <w:rPr>
                <w:rFonts w:eastAsia="Calibri"/>
              </w:rPr>
              <w:t xml:space="preserve">nowych tramwajów. Zamówienia na tramwaje będą udzielane w drodze przetargów otwartych i konkurencyjnych zarządzanych przez </w:t>
            </w:r>
            <w:r w:rsidRPr="00E0193B">
              <w:rPr>
                <w:rFonts w:eastAsia="Calibri"/>
                <w:strike/>
                <w:color w:val="FF0000"/>
              </w:rPr>
              <w:t xml:space="preserve">Ministerstwo Transportu </w:t>
            </w:r>
            <w:r w:rsidRPr="00E0193B">
              <w:rPr>
                <w:rFonts w:eastAsia="Calibri"/>
              </w:rPr>
              <w:t xml:space="preserve">podmioty będące beneficjentami. Celem inwestycji jest zwiększenie oferty czystego transportu publicznego w miastach. Wsparcie zostanie udzielone w pierwszej kolejności obszarom, w których wprowadzono lub planuje się wprowadzenie stref czystego transportu. Inwestycja polega na </w:t>
            </w:r>
            <w:r w:rsidR="00A4242B" w:rsidRPr="00E0193B">
              <w:rPr>
                <w:rFonts w:eastAsia="Calibri"/>
                <w:color w:val="FF0000"/>
              </w:rPr>
              <w:t xml:space="preserve">wyprodukowaniu </w:t>
            </w:r>
            <w:r w:rsidRPr="00E0193B">
              <w:rPr>
                <w:rFonts w:eastAsia="Calibri"/>
                <w:strike/>
                <w:color w:val="FF0000"/>
              </w:rPr>
              <w:t>dostawie</w:t>
            </w:r>
            <w:r w:rsidRPr="00E0193B">
              <w:rPr>
                <w:rFonts w:eastAsia="Calibri"/>
                <w:strike/>
              </w:rPr>
              <w:t xml:space="preserve"> </w:t>
            </w:r>
            <w:r w:rsidRPr="00E0193B">
              <w:rPr>
                <w:rFonts w:eastAsia="Calibri"/>
                <w:color w:val="FF0000"/>
              </w:rPr>
              <w:t xml:space="preserve"> </w:t>
            </w:r>
            <w:r w:rsidRPr="00E0193B">
              <w:rPr>
                <w:rFonts w:eastAsia="Calibri"/>
              </w:rPr>
              <w:t xml:space="preserve">88 jednostek zeroemisyjnego taboru kolejowego (tramwajów) na potrzeby transportu </w:t>
            </w:r>
            <w:r w:rsidRPr="00E0193B">
              <w:rPr>
                <w:rFonts w:eastAsia="Calibri"/>
              </w:rPr>
              <w:lastRenderedPageBreak/>
              <w:t xml:space="preserve">publicznego w miastach do dnia </w:t>
            </w:r>
            <w:r w:rsidR="00A4242B" w:rsidRPr="00E0193B">
              <w:rPr>
                <w:rFonts w:eastAsia="Calibri"/>
                <w:color w:val="FF0000"/>
              </w:rPr>
              <w:t xml:space="preserve">31 sierpnia </w:t>
            </w:r>
            <w:r w:rsidRPr="00E0193B">
              <w:rPr>
                <w:rFonts w:eastAsia="Calibri"/>
                <w:strike/>
                <w:color w:val="FF0000"/>
              </w:rPr>
              <w:t>30 czerwca</w:t>
            </w:r>
            <w:r w:rsidRPr="00E0193B">
              <w:rPr>
                <w:rFonts w:eastAsia="Calibri"/>
              </w:rPr>
              <w:t xml:space="preserve"> 2026 r.</w:t>
            </w:r>
          </w:p>
          <w:p w14:paraId="43782630" w14:textId="77777777" w:rsidR="009443AD" w:rsidRDefault="009443AD" w:rsidP="00D94758">
            <w:pPr>
              <w:spacing w:after="0" w:line="240" w:lineRule="auto"/>
              <w:jc w:val="left"/>
              <w:rPr>
                <w:rFonts w:eastAsia="Calibri"/>
              </w:rPr>
            </w:pPr>
          </w:p>
          <w:p w14:paraId="746AB32F" w14:textId="77777777" w:rsidR="009443AD" w:rsidRDefault="009443AD" w:rsidP="00D94758">
            <w:pPr>
              <w:spacing w:after="0" w:line="240" w:lineRule="auto"/>
              <w:jc w:val="left"/>
              <w:rPr>
                <w:rFonts w:eastAsia="Calibri"/>
              </w:rPr>
            </w:pPr>
          </w:p>
          <w:p w14:paraId="23F5164E" w14:textId="77777777" w:rsidR="009443AD" w:rsidRDefault="009443AD" w:rsidP="00D94758">
            <w:pPr>
              <w:spacing w:after="0" w:line="240" w:lineRule="auto"/>
              <w:jc w:val="left"/>
              <w:rPr>
                <w:rFonts w:eastAsia="Calibri"/>
              </w:rPr>
            </w:pPr>
          </w:p>
          <w:p w14:paraId="28D65531" w14:textId="77777777" w:rsidR="009443AD" w:rsidRDefault="009443AD" w:rsidP="00D94758">
            <w:pPr>
              <w:spacing w:after="0" w:line="240" w:lineRule="auto"/>
              <w:jc w:val="left"/>
              <w:rPr>
                <w:rFonts w:eastAsia="Calibri"/>
              </w:rPr>
            </w:pPr>
          </w:p>
          <w:p w14:paraId="1742F961" w14:textId="77777777" w:rsidR="009443AD" w:rsidRPr="009443AD" w:rsidRDefault="009443AD" w:rsidP="00D94758">
            <w:pPr>
              <w:spacing w:after="0" w:line="240" w:lineRule="auto"/>
              <w:jc w:val="left"/>
              <w:rPr>
                <w:rFonts w:eastAsia="Calibri"/>
                <w:color w:val="FF0000"/>
              </w:rPr>
            </w:pPr>
            <w:r w:rsidRPr="009443AD">
              <w:rPr>
                <w:rFonts w:eastAsia="Calibri"/>
                <w:color w:val="FF0000"/>
              </w:rPr>
              <w:t>Timeline</w:t>
            </w:r>
          </w:p>
          <w:p w14:paraId="2E8DE9D6" w14:textId="57B0FE27" w:rsidR="009443AD" w:rsidRPr="00E0193B" w:rsidRDefault="009443AD" w:rsidP="00D94758">
            <w:pPr>
              <w:spacing w:after="0" w:line="240" w:lineRule="auto"/>
              <w:jc w:val="left"/>
              <w:rPr>
                <w:rFonts w:eastAsia="Calibri"/>
              </w:rPr>
            </w:pPr>
            <w:r w:rsidRPr="009443AD">
              <w:rPr>
                <w:rFonts w:eastAsia="Calibri"/>
                <w:color w:val="FF0000"/>
              </w:rPr>
              <w:t>Q3 2026 (31 August 2026)</w:t>
            </w:r>
          </w:p>
        </w:tc>
      </w:tr>
      <w:tr w:rsidR="00D94758" w:rsidRPr="00E0193B" w14:paraId="568FDC03" w14:textId="77777777" w:rsidTr="00D94758">
        <w:tc>
          <w:tcPr>
            <w:tcW w:w="1068" w:type="pct"/>
            <w:shd w:val="clear" w:color="auto" w:fill="FFFFFF"/>
          </w:tcPr>
          <w:p w14:paraId="4E93B821" w14:textId="77777777" w:rsidR="00D94758" w:rsidRPr="00E0193B" w:rsidRDefault="00D94758" w:rsidP="00D94758">
            <w:pPr>
              <w:spacing w:after="0" w:line="240" w:lineRule="auto"/>
              <w:jc w:val="left"/>
              <w:rPr>
                <w:rFonts w:eastAsia="Calibri"/>
              </w:rPr>
            </w:pPr>
            <w:r w:rsidRPr="00E0193B">
              <w:rPr>
                <w:rFonts w:eastAsia="Calibri"/>
              </w:rPr>
              <w:lastRenderedPageBreak/>
              <w:t>Uzasadnienie</w:t>
            </w:r>
          </w:p>
        </w:tc>
        <w:tc>
          <w:tcPr>
            <w:tcW w:w="3932" w:type="pct"/>
            <w:gridSpan w:val="2"/>
            <w:shd w:val="clear" w:color="auto" w:fill="FFFFFF"/>
          </w:tcPr>
          <w:p w14:paraId="1C4E4E1B" w14:textId="77777777" w:rsidR="00A4242B" w:rsidRPr="00E0193B" w:rsidRDefault="00A4242B" w:rsidP="00A4242B">
            <w:pPr>
              <w:spacing w:after="0" w:line="240" w:lineRule="auto"/>
              <w:jc w:val="left"/>
              <w:rPr>
                <w:rFonts w:eastAsia="Calibri"/>
              </w:rPr>
            </w:pPr>
            <w:r w:rsidRPr="00E0193B">
              <w:rPr>
                <w:rFonts w:eastAsia="Calibri"/>
              </w:rPr>
              <w:t xml:space="preserve">W związku z ogłoszonym przez CUPT naborem w ramach programu FEnIKS, strona polska identyfikuje ryzyko ograniczonego zainteresowania naborem ze strony miast w przypadku ogłoszenia naboru konkursowego w ramach tej inwestycji (program FEnIKS ma znacznie dłuższy okres kwalifikowalności wydatków niż KPO. Poza tym zasady realizacji projektów w polityce spójności są im już znane z poprzednich perspektyw). Dodatkowo z roboczych informacji wynika, że potencjalni ostateczni odbiorcy wsparcia (miasta) są aktualnie na bardzo wstępnym etapie przygotowań do opracowania wymaganych dokumentów, co wpłynie na możliwość szybkiego składania wniosków o wsparcie. W związku z powyższym, aby ograniczyć skutki zmaterializowania się tego ryzyka, polegające na niezrealizowaniu założonego wskaźnika w postaci </w:t>
            </w:r>
            <w:r w:rsidRPr="00E0193B">
              <w:rPr>
                <w:rFonts w:eastAsia="Calibri"/>
                <w:b/>
              </w:rPr>
              <w:t>dostawy tramwajów</w:t>
            </w:r>
            <w:r w:rsidRPr="00E0193B">
              <w:rPr>
                <w:rFonts w:eastAsia="Calibri"/>
              </w:rPr>
              <w:t xml:space="preserve"> proponuje się przeformułowanie brzmienia wskaźnika w sposób umożliwiający uzyskanie produktu w ramach inwestycji do końca sierpnia 2026 r. np. poprzez odwołanie w zakresie wartości wskaźnika do  wyprodukowanych  tramwajów. </w:t>
            </w:r>
          </w:p>
          <w:p w14:paraId="03171FB4" w14:textId="77777777" w:rsidR="00A4242B" w:rsidRPr="00E0193B" w:rsidRDefault="00A4242B" w:rsidP="00A4242B">
            <w:pPr>
              <w:spacing w:after="0" w:line="240" w:lineRule="auto"/>
              <w:jc w:val="left"/>
              <w:rPr>
                <w:rFonts w:eastAsia="Calibri"/>
              </w:rPr>
            </w:pPr>
            <w:r w:rsidRPr="00E0193B">
              <w:rPr>
                <w:rFonts w:eastAsia="Calibri"/>
              </w:rPr>
              <w:t>Jednocześnie z analizy roboczej przeprowadzonej przez CUPT na podstawie roboczych informacji otrzymanych od potencjalnych odbiorców końcowych wynika, że większość taboru powinna być wyprodukowana do połowy 2026 r., natomiast niewiele ponad 10% mogłoby zostać wyprodukowanych w III kwartale 2026 r. (tj. do końca sierpnia 2026). Dodatkowo należy pamiętać, że w omawianym przypadku mamy do czynienia z konkursem i w chwili obecnej nie jest wiadome, ilu potencjalnych końcowych odbiorców będzie zainteresowanych wsparciem ze środków RRF. Ostateczna wartość wskaźnika będzie znana dopiero po zakończeniu planowanego naboru wniosków. Na obecnym etapie nie da się zatem określić, ile na pewno tramwajów byłoby wyprodukowanych na koniec czerwca 2026 r., a ile do końca sierpnia 2026 r.</w:t>
            </w:r>
          </w:p>
          <w:p w14:paraId="2927F137" w14:textId="77777777" w:rsidR="00A4242B" w:rsidRPr="00E0193B" w:rsidRDefault="00A4242B" w:rsidP="00A4242B">
            <w:pPr>
              <w:spacing w:after="0" w:line="240" w:lineRule="auto"/>
              <w:jc w:val="left"/>
              <w:rPr>
                <w:rFonts w:eastAsia="Calibri"/>
              </w:rPr>
            </w:pPr>
            <w:r w:rsidRPr="00E0193B">
              <w:rPr>
                <w:rFonts w:eastAsia="Calibri"/>
              </w:rPr>
              <w:t>W związku z powyższym oraz aby zminimalizować ryzyko nieosiągnięcia wskaźnika  zaproponowano zmianę daty jego osiągnięcia na koniec sierpnia 2026 r.</w:t>
            </w:r>
          </w:p>
          <w:p w14:paraId="7C5DA6FE" w14:textId="77777777" w:rsidR="00A4242B" w:rsidRPr="00E0193B" w:rsidRDefault="00A4242B" w:rsidP="00A4242B">
            <w:pPr>
              <w:spacing w:after="0" w:line="240" w:lineRule="auto"/>
              <w:jc w:val="left"/>
              <w:rPr>
                <w:rFonts w:eastAsia="Calibri"/>
              </w:rPr>
            </w:pPr>
            <w:r w:rsidRPr="00E0193B">
              <w:rPr>
                <w:rFonts w:eastAsia="Calibri"/>
              </w:rPr>
              <w:t>Proponowana wyżej koncepcja jest w pełni zgodna z założeniami RRF. Początek pandemii Covid-19 nie zniósł ani nie zawiesił obowiązków wynikających z podpisanych umów z producentami. Władze miast musiały zapłacić za zamówione tramwaje, co pozytywnie wpłynęło na kondycję ekonomiczną nie tylko producentów, ale także całej gospodarki. Jednocześnie władze miast musiały finansować koszty związane z walką z pandemią. Dokonana teraz refundacja poniesionych kosztów zakupu tramwajów dałaby zatem odbiorcom końcowym możliwość sfinansowania innych niezbędnych zadań w zakresie odbudowy i zwiększania odporności, w tym prawdopodobnie związanych również z dalszym rozwojem zrównoważonego transportu publicznego.</w:t>
            </w:r>
          </w:p>
          <w:p w14:paraId="2FDC5137" w14:textId="77777777" w:rsidR="00A4242B" w:rsidRPr="00E0193B" w:rsidRDefault="00A4242B" w:rsidP="00A4242B">
            <w:pPr>
              <w:spacing w:after="0" w:line="240" w:lineRule="auto"/>
              <w:jc w:val="left"/>
              <w:rPr>
                <w:rFonts w:eastAsia="Calibri"/>
              </w:rPr>
            </w:pPr>
          </w:p>
          <w:p w14:paraId="681DB404" w14:textId="1FF0651D" w:rsidR="00D94758" w:rsidRPr="00E0193B" w:rsidRDefault="00A4242B" w:rsidP="00ED5265">
            <w:pPr>
              <w:spacing w:after="0" w:line="240" w:lineRule="auto"/>
              <w:jc w:val="left"/>
              <w:rPr>
                <w:rFonts w:eastAsia="Calibri"/>
              </w:rPr>
            </w:pPr>
            <w:r w:rsidRPr="00E0193B">
              <w:rPr>
                <w:rFonts w:eastAsia="Calibri"/>
              </w:rPr>
              <w:t>Dodatkowo w opisie wskaźnika zaproponowano zmianę polegającą na usunięciu odwołania do Ministerstwa Transportu, ponieważ Ministerstwo nie dokonuje wyboru wykonawców (producentów taboru) i nie podpisuje z nimi umów na dostawę – to jest zadanie ostatecznych odbiorców wsparcia.</w:t>
            </w:r>
          </w:p>
        </w:tc>
      </w:tr>
      <w:tr w:rsidR="00D94758" w:rsidRPr="00E0193B" w14:paraId="2DC7C4D7" w14:textId="77777777" w:rsidTr="00D94758">
        <w:tc>
          <w:tcPr>
            <w:tcW w:w="1068" w:type="pct"/>
            <w:shd w:val="clear" w:color="auto" w:fill="FFFFFF"/>
          </w:tcPr>
          <w:p w14:paraId="67F841C5" w14:textId="77777777" w:rsidR="00D94758" w:rsidRPr="00E0193B" w:rsidRDefault="00D94758" w:rsidP="00D94758">
            <w:pPr>
              <w:spacing w:after="0" w:line="240" w:lineRule="auto"/>
              <w:jc w:val="left"/>
              <w:rPr>
                <w:rFonts w:eastAsia="Calibri"/>
              </w:rPr>
            </w:pPr>
            <w:r w:rsidRPr="00E0193B">
              <w:rPr>
                <w:rFonts w:eastAsia="Calibri"/>
              </w:rPr>
              <w:t>Szacowany koszt</w:t>
            </w:r>
          </w:p>
        </w:tc>
        <w:tc>
          <w:tcPr>
            <w:tcW w:w="3932" w:type="pct"/>
            <w:gridSpan w:val="2"/>
            <w:shd w:val="clear" w:color="auto" w:fill="FFFFFF"/>
          </w:tcPr>
          <w:p w14:paraId="3A0004DF" w14:textId="77777777" w:rsidR="00D94758" w:rsidRPr="00E0193B" w:rsidRDefault="00D94758" w:rsidP="00D94758">
            <w:pPr>
              <w:spacing w:after="0" w:line="240" w:lineRule="auto"/>
              <w:jc w:val="left"/>
              <w:rPr>
                <w:rFonts w:eastAsia="Calibri"/>
              </w:rPr>
            </w:pPr>
            <w:r w:rsidRPr="00E0193B">
              <w:rPr>
                <w:rFonts w:eastAsia="Calibri"/>
              </w:rPr>
              <w:t>Zmiana nie ma wpływu na szacowany koszt</w:t>
            </w:r>
          </w:p>
        </w:tc>
      </w:tr>
      <w:tr w:rsidR="00D94758" w:rsidRPr="00E0193B" w14:paraId="66DE484C" w14:textId="77777777" w:rsidTr="00D94758">
        <w:tc>
          <w:tcPr>
            <w:tcW w:w="1068" w:type="pct"/>
            <w:shd w:val="clear" w:color="auto" w:fill="FFFFFF"/>
          </w:tcPr>
          <w:p w14:paraId="63D7402C" w14:textId="77777777" w:rsidR="00D94758" w:rsidRPr="00E0193B" w:rsidRDefault="00D94758" w:rsidP="00D94758">
            <w:pPr>
              <w:spacing w:after="0" w:line="240" w:lineRule="auto"/>
              <w:jc w:val="left"/>
              <w:rPr>
                <w:rFonts w:eastAsia="Calibri"/>
              </w:rPr>
            </w:pPr>
            <w:r w:rsidRPr="00E0193B">
              <w:rPr>
                <w:rFonts w:eastAsia="Calibri"/>
              </w:rPr>
              <w:t xml:space="preserve">Cyfrowy i klimatyczny tagging </w:t>
            </w:r>
          </w:p>
        </w:tc>
        <w:tc>
          <w:tcPr>
            <w:tcW w:w="3932" w:type="pct"/>
            <w:gridSpan w:val="2"/>
            <w:shd w:val="clear" w:color="auto" w:fill="FFFFFF"/>
          </w:tcPr>
          <w:p w14:paraId="53C5D08B" w14:textId="77777777" w:rsidR="00D94758" w:rsidRPr="00E0193B" w:rsidRDefault="00D94758" w:rsidP="00D94758">
            <w:pPr>
              <w:spacing w:after="0" w:line="240" w:lineRule="auto"/>
              <w:jc w:val="left"/>
              <w:rPr>
                <w:rFonts w:eastAsia="Calibri"/>
              </w:rPr>
            </w:pPr>
            <w:r w:rsidRPr="00E0193B">
              <w:rPr>
                <w:rFonts w:eastAsia="Calibri"/>
              </w:rPr>
              <w:t>Zmiana nie ma wpływu na tagging klimatyczny i cyfrowy</w:t>
            </w:r>
            <w:r w:rsidRPr="00E0193B" w:rsidDel="007A5B4B">
              <w:rPr>
                <w:rFonts w:eastAsia="Calibri"/>
              </w:rPr>
              <w:t xml:space="preserve"> </w:t>
            </w:r>
          </w:p>
        </w:tc>
      </w:tr>
      <w:tr w:rsidR="00D94758" w:rsidRPr="00E0193B" w14:paraId="18BF4E66" w14:textId="77777777" w:rsidTr="00D94758">
        <w:tc>
          <w:tcPr>
            <w:tcW w:w="1068" w:type="pct"/>
            <w:tcBorders>
              <w:bottom w:val="single" w:sz="4" w:space="0" w:color="auto"/>
            </w:tcBorders>
            <w:shd w:val="clear" w:color="auto" w:fill="FFFFFF"/>
          </w:tcPr>
          <w:p w14:paraId="788889B6" w14:textId="77777777" w:rsidR="00D94758" w:rsidRPr="00E0193B" w:rsidRDefault="00D94758" w:rsidP="00D94758">
            <w:pPr>
              <w:spacing w:after="0" w:line="240" w:lineRule="auto"/>
              <w:jc w:val="left"/>
              <w:rPr>
                <w:rFonts w:eastAsia="Calibri"/>
              </w:rPr>
            </w:pPr>
            <w:r w:rsidRPr="00E0193B">
              <w:rPr>
                <w:rFonts w:eastAsia="Calibri"/>
              </w:rPr>
              <w:t xml:space="preserve">Zasada DNSH </w:t>
            </w:r>
          </w:p>
        </w:tc>
        <w:tc>
          <w:tcPr>
            <w:tcW w:w="3932" w:type="pct"/>
            <w:gridSpan w:val="2"/>
            <w:tcBorders>
              <w:bottom w:val="single" w:sz="4" w:space="0" w:color="auto"/>
            </w:tcBorders>
            <w:shd w:val="clear" w:color="auto" w:fill="FFFFFF"/>
          </w:tcPr>
          <w:p w14:paraId="2917FFDB" w14:textId="77777777" w:rsidR="00D94758" w:rsidRPr="00E0193B" w:rsidRDefault="00D94758" w:rsidP="00D94758">
            <w:pPr>
              <w:spacing w:after="0" w:line="240" w:lineRule="auto"/>
              <w:jc w:val="left"/>
              <w:rPr>
                <w:rFonts w:eastAsia="Calibri"/>
              </w:rPr>
            </w:pPr>
            <w:r w:rsidRPr="00E0193B">
              <w:rPr>
                <w:rFonts w:eastAsia="Calibri"/>
              </w:rPr>
              <w:t>Zmiana nie ma wpływu na DNSH</w:t>
            </w:r>
          </w:p>
        </w:tc>
      </w:tr>
      <w:tr w:rsidR="00D94758" w:rsidRPr="00E0193B" w14:paraId="2D3B73AB" w14:textId="77777777" w:rsidTr="00D94758">
        <w:tc>
          <w:tcPr>
            <w:tcW w:w="1068" w:type="pct"/>
            <w:tcBorders>
              <w:bottom w:val="single" w:sz="4" w:space="0" w:color="auto"/>
            </w:tcBorders>
            <w:shd w:val="clear" w:color="auto" w:fill="FFFFFF"/>
          </w:tcPr>
          <w:p w14:paraId="7E2F70B9" w14:textId="77777777" w:rsidR="00D94758" w:rsidRPr="00E0193B" w:rsidRDefault="00D94758" w:rsidP="00D94758">
            <w:pPr>
              <w:spacing w:after="0" w:line="240" w:lineRule="auto"/>
              <w:jc w:val="left"/>
              <w:rPr>
                <w:rFonts w:eastAsia="Calibri"/>
              </w:rPr>
            </w:pPr>
            <w:r w:rsidRPr="00E0193B">
              <w:rPr>
                <w:rFonts w:eastAsia="Calibri"/>
              </w:rPr>
              <w:t xml:space="preserve">Pomoc publiczna </w:t>
            </w:r>
          </w:p>
        </w:tc>
        <w:tc>
          <w:tcPr>
            <w:tcW w:w="3932" w:type="pct"/>
            <w:gridSpan w:val="2"/>
            <w:tcBorders>
              <w:bottom w:val="single" w:sz="4" w:space="0" w:color="auto"/>
            </w:tcBorders>
            <w:shd w:val="clear" w:color="auto" w:fill="FFFFFF"/>
          </w:tcPr>
          <w:p w14:paraId="7D0468F5" w14:textId="77777777" w:rsidR="00D94758" w:rsidRPr="00E0193B" w:rsidRDefault="00D94758" w:rsidP="00D94758">
            <w:pPr>
              <w:spacing w:after="0" w:line="240" w:lineRule="auto"/>
              <w:jc w:val="left"/>
              <w:rPr>
                <w:rFonts w:eastAsia="Calibri"/>
              </w:rPr>
            </w:pPr>
            <w:r w:rsidRPr="00E0193B">
              <w:rPr>
                <w:rFonts w:eastAsia="Calibri"/>
              </w:rPr>
              <w:t>Nie dotyczy.</w:t>
            </w:r>
          </w:p>
        </w:tc>
      </w:tr>
    </w:tbl>
    <w:p w14:paraId="5CD139EA" w14:textId="179B135C" w:rsidR="00D94758" w:rsidRPr="00E0193B" w:rsidRDefault="00D94758" w:rsidP="00D94758">
      <w:pPr>
        <w:spacing w:line="259" w:lineRule="auto"/>
        <w:jc w:val="left"/>
        <w:rPr>
          <w:rFonts w:eastAsia="Calibri"/>
          <w:b/>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3339"/>
        <w:gridCol w:w="3551"/>
      </w:tblGrid>
      <w:tr w:rsidR="00E71AA6" w:rsidRPr="00E0193B" w14:paraId="63587550" w14:textId="77777777" w:rsidTr="008C1B0D">
        <w:tc>
          <w:tcPr>
            <w:tcW w:w="1088" w:type="pct"/>
          </w:tcPr>
          <w:p w14:paraId="2471508A" w14:textId="77777777" w:rsidR="00E71AA6" w:rsidRPr="00E0193B" w:rsidRDefault="00E71AA6" w:rsidP="008C1B0D">
            <w:pPr>
              <w:spacing w:after="0" w:line="240" w:lineRule="auto"/>
              <w:jc w:val="left"/>
              <w:rPr>
                <w:rFonts w:eastAsia="Calibri"/>
                <w:b/>
              </w:rPr>
            </w:pPr>
            <w:r w:rsidRPr="00E0193B">
              <w:rPr>
                <w:rFonts w:eastAsia="Calibri"/>
                <w:b/>
                <w:bCs/>
              </w:rPr>
              <w:t>Numer reformy</w:t>
            </w:r>
          </w:p>
        </w:tc>
        <w:tc>
          <w:tcPr>
            <w:tcW w:w="3912" w:type="pct"/>
            <w:gridSpan w:val="2"/>
          </w:tcPr>
          <w:p w14:paraId="2A2B89F6" w14:textId="77777777" w:rsidR="00E71AA6" w:rsidRPr="00E0193B" w:rsidRDefault="00E71AA6" w:rsidP="008C1B0D">
            <w:pPr>
              <w:spacing w:after="0" w:line="240" w:lineRule="auto"/>
              <w:jc w:val="left"/>
              <w:rPr>
                <w:rFonts w:eastAsia="Calibri"/>
                <w:b/>
              </w:rPr>
            </w:pPr>
            <w:r w:rsidRPr="00E0193B">
              <w:rPr>
                <w:rFonts w:eastAsia="Calibri"/>
                <w:b/>
                <w:bCs/>
              </w:rPr>
              <w:t>E2.3.</w:t>
            </w:r>
          </w:p>
        </w:tc>
      </w:tr>
      <w:tr w:rsidR="00E71AA6" w:rsidRPr="00E0193B" w14:paraId="14333DFC" w14:textId="77777777" w:rsidTr="008C1B0D">
        <w:tc>
          <w:tcPr>
            <w:tcW w:w="1088" w:type="pct"/>
          </w:tcPr>
          <w:p w14:paraId="53995AD3" w14:textId="77777777" w:rsidR="00E71AA6" w:rsidRPr="00E0193B" w:rsidRDefault="00E71AA6" w:rsidP="008C1B0D">
            <w:pPr>
              <w:spacing w:after="0" w:line="240" w:lineRule="auto"/>
              <w:jc w:val="left"/>
              <w:rPr>
                <w:rFonts w:eastAsia="Calibri"/>
                <w:b/>
              </w:rPr>
            </w:pPr>
            <w:r w:rsidRPr="00E0193B">
              <w:rPr>
                <w:rFonts w:eastAsia="Calibri"/>
                <w:b/>
              </w:rPr>
              <w:t>Nazwa reformy</w:t>
            </w:r>
          </w:p>
        </w:tc>
        <w:tc>
          <w:tcPr>
            <w:tcW w:w="3912" w:type="pct"/>
            <w:gridSpan w:val="2"/>
          </w:tcPr>
          <w:p w14:paraId="3D3E258C" w14:textId="77777777" w:rsidR="00E71AA6" w:rsidRPr="00E0193B" w:rsidRDefault="00E71AA6" w:rsidP="008C1B0D">
            <w:pPr>
              <w:spacing w:after="0" w:line="240" w:lineRule="auto"/>
              <w:jc w:val="left"/>
              <w:rPr>
                <w:rFonts w:eastAsia="Calibri"/>
                <w:b/>
              </w:rPr>
            </w:pPr>
            <w:r w:rsidRPr="00E0193B">
              <w:rPr>
                <w:rFonts w:eastAsia="Calibri"/>
                <w:b/>
              </w:rPr>
              <w:t>Zwiększenie dostępności transportowej, bezpieczeństwa i cyfrowych rozwiązań</w:t>
            </w:r>
          </w:p>
        </w:tc>
      </w:tr>
      <w:tr w:rsidR="00E71AA6" w:rsidRPr="00E0193B" w14:paraId="6C6493D3" w14:textId="77777777" w:rsidTr="008C1B0D">
        <w:tc>
          <w:tcPr>
            <w:tcW w:w="1088" w:type="pct"/>
            <w:shd w:val="clear" w:color="auto" w:fill="auto"/>
          </w:tcPr>
          <w:p w14:paraId="0CDDA306" w14:textId="77777777" w:rsidR="00E71AA6" w:rsidRPr="00E0193B" w:rsidRDefault="00E71AA6" w:rsidP="008C1B0D">
            <w:pPr>
              <w:spacing w:after="0" w:line="240" w:lineRule="auto"/>
              <w:jc w:val="left"/>
              <w:rPr>
                <w:rFonts w:eastAsia="Calibri"/>
              </w:rPr>
            </w:pPr>
            <w:r w:rsidRPr="00E0193B">
              <w:rPr>
                <w:rFonts w:eastAsia="Calibri"/>
              </w:rPr>
              <w:t>Rodzaj wprowadzonej zmiany w odniesieniu do CID</w:t>
            </w:r>
          </w:p>
        </w:tc>
        <w:tc>
          <w:tcPr>
            <w:tcW w:w="3912" w:type="pct"/>
            <w:gridSpan w:val="2"/>
            <w:shd w:val="clear" w:color="auto" w:fill="auto"/>
          </w:tcPr>
          <w:p w14:paraId="2DC3D2AE" w14:textId="77777777" w:rsidR="00E71AA6" w:rsidRPr="00E0193B" w:rsidRDefault="00E71AA6" w:rsidP="008C1B0D">
            <w:pPr>
              <w:spacing w:after="0" w:line="240" w:lineRule="auto"/>
              <w:jc w:val="left"/>
              <w:rPr>
                <w:rFonts w:eastAsia="Calibri"/>
              </w:rPr>
            </w:pPr>
            <w:r w:rsidRPr="00E0193B">
              <w:rPr>
                <w:rFonts w:eastAsia="Calibri"/>
              </w:rPr>
              <w:t>Modyfikacja opisu reformy oraz kamienia milowego E6L</w:t>
            </w:r>
          </w:p>
          <w:p w14:paraId="4C762B36" w14:textId="77777777" w:rsidR="00E71AA6" w:rsidRPr="00E0193B" w:rsidRDefault="00E71AA6" w:rsidP="008C1B0D">
            <w:pPr>
              <w:spacing w:after="0" w:line="240" w:lineRule="auto"/>
              <w:jc w:val="left"/>
              <w:rPr>
                <w:rFonts w:eastAsia="Calibri"/>
              </w:rPr>
            </w:pPr>
          </w:p>
        </w:tc>
      </w:tr>
      <w:tr w:rsidR="00E71AA6" w:rsidRPr="00E0193B" w14:paraId="25DB6EE2" w14:textId="77777777" w:rsidTr="008C1B0D">
        <w:tc>
          <w:tcPr>
            <w:tcW w:w="1088" w:type="pct"/>
            <w:shd w:val="clear" w:color="auto" w:fill="auto"/>
          </w:tcPr>
          <w:p w14:paraId="6988045B" w14:textId="77777777" w:rsidR="00E71AA6" w:rsidRPr="00E0193B" w:rsidRDefault="00E71AA6" w:rsidP="008C1B0D">
            <w:pPr>
              <w:spacing w:after="0" w:line="240" w:lineRule="auto"/>
              <w:jc w:val="left"/>
              <w:rPr>
                <w:rFonts w:eastAsia="Calibri"/>
              </w:rPr>
            </w:pPr>
            <w:r w:rsidRPr="00E0193B">
              <w:rPr>
                <w:rFonts w:eastAsia="Calibri"/>
              </w:rPr>
              <w:t>Podstawa prawna zmiany</w:t>
            </w:r>
          </w:p>
        </w:tc>
        <w:tc>
          <w:tcPr>
            <w:tcW w:w="3912" w:type="pct"/>
            <w:gridSpan w:val="2"/>
            <w:shd w:val="clear" w:color="auto" w:fill="auto"/>
          </w:tcPr>
          <w:p w14:paraId="221BF6E5" w14:textId="77777777" w:rsidR="00E71AA6" w:rsidRPr="00E0193B" w:rsidRDefault="00E71AA6" w:rsidP="008C1B0D">
            <w:pPr>
              <w:spacing w:after="0" w:line="240" w:lineRule="auto"/>
              <w:jc w:val="left"/>
              <w:rPr>
                <w:rFonts w:eastAsia="Calibri"/>
              </w:rPr>
            </w:pPr>
            <w:r w:rsidRPr="00E0193B">
              <w:rPr>
                <w:rFonts w:eastAsia="Calibri"/>
              </w:rPr>
              <w:t>art. 21 rozporządzenia Parlamentu Europejskiego i Rady (UE) 2021/241 z dnia 12 lutego 2021 r. ustanawiające Instrument na rzecz Odbudowy i Zwiększania Odporności</w:t>
            </w:r>
            <w:r w:rsidRPr="00E0193B" w:rsidDel="00111BC5">
              <w:rPr>
                <w:rFonts w:eastAsia="Calibri"/>
              </w:rPr>
              <w:t xml:space="preserve"> </w:t>
            </w:r>
          </w:p>
        </w:tc>
      </w:tr>
      <w:tr w:rsidR="00E71AA6" w:rsidRPr="00E0193B" w14:paraId="386BCA73" w14:textId="77777777" w:rsidTr="008C1B0D">
        <w:tc>
          <w:tcPr>
            <w:tcW w:w="1088" w:type="pct"/>
            <w:shd w:val="clear" w:color="auto" w:fill="D9D9D9"/>
          </w:tcPr>
          <w:p w14:paraId="6E3996B6" w14:textId="77777777" w:rsidR="00E71AA6" w:rsidRPr="00E0193B" w:rsidRDefault="00E71AA6" w:rsidP="008C1B0D">
            <w:pPr>
              <w:spacing w:after="0" w:line="240" w:lineRule="auto"/>
              <w:jc w:val="left"/>
              <w:rPr>
                <w:rFonts w:eastAsia="Calibri"/>
                <w:highlight w:val="lightGray"/>
              </w:rPr>
            </w:pPr>
            <w:r w:rsidRPr="00E0193B">
              <w:rPr>
                <w:rFonts w:eastAsia="Calibri"/>
                <w:highlight w:val="lightGray"/>
              </w:rPr>
              <w:t>Modyfikowany element</w:t>
            </w:r>
          </w:p>
        </w:tc>
        <w:tc>
          <w:tcPr>
            <w:tcW w:w="1897" w:type="pct"/>
            <w:shd w:val="clear" w:color="auto" w:fill="D9D9D9"/>
          </w:tcPr>
          <w:p w14:paraId="3257B051" w14:textId="77777777" w:rsidR="00E71AA6" w:rsidRPr="00E0193B" w:rsidRDefault="00E71AA6" w:rsidP="008C1B0D">
            <w:pPr>
              <w:spacing w:after="0" w:line="240" w:lineRule="auto"/>
              <w:jc w:val="left"/>
              <w:rPr>
                <w:rFonts w:eastAsia="Calibri"/>
                <w:highlight w:val="lightGray"/>
              </w:rPr>
            </w:pPr>
            <w:r w:rsidRPr="00E0193B">
              <w:rPr>
                <w:rFonts w:eastAsia="Calibri"/>
                <w:highlight w:val="lightGray"/>
              </w:rPr>
              <w:t>Bieżąca wersja</w:t>
            </w:r>
          </w:p>
        </w:tc>
        <w:tc>
          <w:tcPr>
            <w:tcW w:w="2015" w:type="pct"/>
            <w:shd w:val="clear" w:color="auto" w:fill="D9D9D9"/>
          </w:tcPr>
          <w:p w14:paraId="6913D1FD" w14:textId="77777777" w:rsidR="00E71AA6" w:rsidRPr="00E0193B" w:rsidRDefault="00E71AA6" w:rsidP="008C1B0D">
            <w:pPr>
              <w:spacing w:after="0" w:line="240" w:lineRule="auto"/>
              <w:jc w:val="left"/>
              <w:rPr>
                <w:rFonts w:eastAsia="Calibri"/>
                <w:highlight w:val="lightGray"/>
              </w:rPr>
            </w:pPr>
            <w:r w:rsidRPr="00E0193B">
              <w:rPr>
                <w:rFonts w:eastAsia="Calibri"/>
                <w:highlight w:val="lightGray"/>
              </w:rPr>
              <w:t>Wersja zmieniona</w:t>
            </w:r>
          </w:p>
        </w:tc>
      </w:tr>
      <w:tr w:rsidR="00E71AA6" w:rsidRPr="00E0193B" w14:paraId="3B928473" w14:textId="77777777" w:rsidTr="008C1B0D">
        <w:tc>
          <w:tcPr>
            <w:tcW w:w="1088" w:type="pct"/>
          </w:tcPr>
          <w:p w14:paraId="1A427B11" w14:textId="77777777" w:rsidR="00E71AA6" w:rsidRPr="00E0193B" w:rsidRDefault="00E71AA6" w:rsidP="008C1B0D">
            <w:pPr>
              <w:spacing w:after="0" w:line="240" w:lineRule="auto"/>
              <w:jc w:val="left"/>
              <w:rPr>
                <w:rFonts w:eastAsia="Calibri"/>
              </w:rPr>
            </w:pPr>
            <w:r w:rsidRPr="00E0193B">
              <w:rPr>
                <w:rFonts w:eastAsia="Calibri"/>
              </w:rPr>
              <w:t>Opis komponentu oraz/lub działania (inwestycji/reformy)</w:t>
            </w:r>
          </w:p>
        </w:tc>
        <w:tc>
          <w:tcPr>
            <w:tcW w:w="1897" w:type="pct"/>
          </w:tcPr>
          <w:p w14:paraId="0377F420" w14:textId="77777777" w:rsidR="00E71AA6" w:rsidRPr="00E0193B" w:rsidRDefault="00E71AA6" w:rsidP="008C1B0D">
            <w:pPr>
              <w:autoSpaceDE w:val="0"/>
              <w:autoSpaceDN w:val="0"/>
              <w:adjustRightInd w:val="0"/>
              <w:spacing w:after="0" w:line="240" w:lineRule="auto"/>
              <w:jc w:val="left"/>
              <w:rPr>
                <w:rFonts w:eastAsia="Calibri"/>
                <w:color w:val="000000"/>
                <w:lang w:val="en-GB" w:eastAsia="en-GB"/>
              </w:rPr>
            </w:pPr>
            <w:r w:rsidRPr="00E0193B">
              <w:rPr>
                <w:rFonts w:eastAsia="Calibri"/>
                <w:color w:val="000000"/>
                <w:lang w:val="en-GB" w:eastAsia="en-GB"/>
              </w:rPr>
              <w:t xml:space="preserve">Opis reform: </w:t>
            </w:r>
          </w:p>
          <w:p w14:paraId="2BDD24E7" w14:textId="77777777" w:rsidR="00E71AA6" w:rsidRPr="00E0193B" w:rsidRDefault="00E71AA6" w:rsidP="008C1B0D">
            <w:pPr>
              <w:spacing w:after="0" w:line="240" w:lineRule="auto"/>
              <w:jc w:val="left"/>
              <w:rPr>
                <w:rFonts w:eastAsia="Calibri"/>
              </w:rPr>
            </w:pPr>
            <w:r w:rsidRPr="00E0193B">
              <w:rPr>
                <w:rFonts w:eastAsia="Calibri"/>
                <w:lang w:val="en-GB"/>
              </w:rPr>
              <w:t xml:space="preserve">(…)The reform shall also include relevant provisions to upgrade national, </w:t>
            </w:r>
            <w:r w:rsidRPr="00E0193B">
              <w:rPr>
                <w:rFonts w:eastAsia="Calibri"/>
                <w:color w:val="FF0000"/>
                <w:lang w:val="en-GB"/>
              </w:rPr>
              <w:t>international</w:t>
            </w:r>
            <w:r w:rsidRPr="00E0193B">
              <w:rPr>
                <w:rFonts w:eastAsia="Calibri"/>
                <w:lang w:val="en-GB"/>
              </w:rPr>
              <w:t xml:space="preserve"> and regional rolling stock with requirements for passengers with disabilities. </w:t>
            </w:r>
            <w:r w:rsidRPr="00E0193B">
              <w:rPr>
                <w:rFonts w:eastAsia="Calibri"/>
              </w:rPr>
              <w:t>The reform shall enter into force by 30 June 2024</w:t>
            </w:r>
          </w:p>
          <w:p w14:paraId="5DDD6B03" w14:textId="77777777" w:rsidR="00E71AA6" w:rsidRPr="00E0193B" w:rsidRDefault="00E71AA6" w:rsidP="008C1B0D">
            <w:pPr>
              <w:spacing w:after="0" w:line="240" w:lineRule="auto"/>
              <w:jc w:val="left"/>
              <w:rPr>
                <w:rFonts w:eastAsia="Calibri"/>
              </w:rPr>
            </w:pPr>
          </w:p>
          <w:p w14:paraId="125F3BAB" w14:textId="77777777" w:rsidR="00E71AA6" w:rsidRPr="00E0193B" w:rsidRDefault="00E71AA6" w:rsidP="008C1B0D">
            <w:pPr>
              <w:spacing w:after="0" w:line="240" w:lineRule="auto"/>
              <w:jc w:val="left"/>
              <w:rPr>
                <w:rFonts w:eastAsia="Calibri"/>
              </w:rPr>
            </w:pPr>
            <w:r w:rsidRPr="00E0193B">
              <w:rPr>
                <w:rFonts w:eastAsia="Calibri"/>
              </w:rPr>
              <w:t>E6L Obowiązek modernizacji krajowego, międzynarodowego i regionalnego taboru kolejowego z uwzględnieniem wymogów dotyczących pasażerów z niepełnosprawnościami</w:t>
            </w:r>
          </w:p>
          <w:p w14:paraId="6A80BFF9" w14:textId="77777777" w:rsidR="00E71AA6" w:rsidRPr="00E0193B" w:rsidRDefault="00E71AA6" w:rsidP="008C1B0D">
            <w:pPr>
              <w:spacing w:after="0" w:line="240" w:lineRule="auto"/>
              <w:jc w:val="left"/>
              <w:rPr>
                <w:rFonts w:eastAsia="Calibri"/>
              </w:rPr>
            </w:pPr>
          </w:p>
          <w:p w14:paraId="68519DC7" w14:textId="77777777" w:rsidR="00E71AA6" w:rsidRPr="00E0193B" w:rsidRDefault="00E71AA6" w:rsidP="008C1B0D">
            <w:pPr>
              <w:spacing w:after="0" w:line="240" w:lineRule="auto"/>
              <w:jc w:val="left"/>
              <w:rPr>
                <w:rFonts w:eastAsia="Calibri"/>
                <w:lang w:val="en-GB"/>
              </w:rPr>
            </w:pPr>
            <w:r w:rsidRPr="00E0193B">
              <w:rPr>
                <w:rFonts w:eastAsia="Calibri"/>
                <w:lang w:val="en-GB"/>
              </w:rPr>
              <w:t>E6L Obligation to upgrade national, international and regional rolling stock with requirements for passengers with disabilities</w:t>
            </w:r>
          </w:p>
          <w:p w14:paraId="1E1ED1D5" w14:textId="77777777" w:rsidR="00E71AA6" w:rsidRPr="00E0193B" w:rsidRDefault="00E71AA6" w:rsidP="008C1B0D">
            <w:pPr>
              <w:spacing w:after="0" w:line="240" w:lineRule="auto"/>
              <w:jc w:val="left"/>
              <w:rPr>
                <w:rFonts w:eastAsia="Calibri"/>
                <w:i/>
                <w:lang w:val="en-GB"/>
              </w:rPr>
            </w:pPr>
          </w:p>
          <w:p w14:paraId="1F64997E" w14:textId="77777777" w:rsidR="00E71AA6" w:rsidRPr="00E0193B" w:rsidRDefault="00E71AA6" w:rsidP="008C1B0D">
            <w:pPr>
              <w:spacing w:after="0" w:line="240" w:lineRule="auto"/>
              <w:ind w:right="25"/>
              <w:jc w:val="left"/>
              <w:rPr>
                <w:rFonts w:eastAsia="Calibri"/>
                <w:lang w:val="en-GB"/>
              </w:rPr>
            </w:pPr>
            <w:r w:rsidRPr="00E0193B">
              <w:rPr>
                <w:rFonts w:eastAsia="Calibri"/>
                <w:lang w:val="en-GB"/>
              </w:rPr>
              <w:t>Entry into force of the relevant provisions to adapt railways rolling stock to passengers’ rights requirements, adapting to Regulation 2021/782 art. 9 section 3  (where modernisation is justifiable and rational concerning expected exploitation life of the rolling stock) for regional,</w:t>
            </w:r>
            <w:r w:rsidRPr="00E0193B">
              <w:rPr>
                <w:rFonts w:eastAsia="Calibri"/>
                <w:color w:val="FF0000"/>
                <w:lang w:val="en-GB"/>
              </w:rPr>
              <w:t xml:space="preserve"> </w:t>
            </w:r>
            <w:r w:rsidRPr="00E0193B">
              <w:rPr>
                <w:rFonts w:eastAsia="Calibri"/>
                <w:lang w:val="en-GB"/>
              </w:rPr>
              <w:t xml:space="preserve"> national and international  rolling stock to be upgraded to passengers with disabilities and enhance passengers' rights.</w:t>
            </w:r>
          </w:p>
          <w:p w14:paraId="71614AB1" w14:textId="77777777" w:rsidR="00E71AA6" w:rsidRPr="00E0193B" w:rsidRDefault="00E71AA6" w:rsidP="008C1B0D">
            <w:pPr>
              <w:spacing w:after="0" w:line="240" w:lineRule="auto"/>
              <w:ind w:right="25"/>
              <w:jc w:val="left"/>
              <w:rPr>
                <w:rFonts w:eastAsia="Calibri"/>
                <w:lang w:val="en-GB"/>
              </w:rPr>
            </w:pPr>
            <w:r w:rsidRPr="00E0193B">
              <w:rPr>
                <w:rFonts w:eastAsia="Calibri"/>
                <w:lang w:val="en-GB"/>
              </w:rPr>
              <w:t xml:space="preserve">For regional rolling stock, the requirements shall be adopted by Q2 2024 and for </w:t>
            </w:r>
            <w:r w:rsidRPr="00E0193B">
              <w:rPr>
                <w:rFonts w:eastAsia="Calibri"/>
                <w:lang w:val="en-GB"/>
              </w:rPr>
              <w:lastRenderedPageBreak/>
              <w:t xml:space="preserve">international and long-distance rolling stock from Q2 2023. </w:t>
            </w:r>
          </w:p>
          <w:p w14:paraId="3C7B52ED" w14:textId="77777777" w:rsidR="00E71AA6" w:rsidRPr="00E0193B" w:rsidRDefault="00E71AA6" w:rsidP="008C1B0D">
            <w:pPr>
              <w:spacing w:after="0" w:line="240" w:lineRule="auto"/>
              <w:jc w:val="left"/>
              <w:rPr>
                <w:rFonts w:eastAsia="Calibri"/>
              </w:rPr>
            </w:pPr>
            <w:r w:rsidRPr="00E0193B">
              <w:rPr>
                <w:rFonts w:eastAsia="Calibri"/>
              </w:rPr>
              <w:t>Wejście w życie właściwych przepisów dotyczących dostosowania taboru kolejowego do wymogów w zakresie praw pasażerów, dostosowanie do art. 9 ust. 3 rozporządzenia 2021/782 (gdy modernizacja jest uzasadniona i racjonalna z punktu widzenia przewidywanego okresu eksploatacji taboru) w odniesieniu do regionalnego, krajowego i międzynarodowego taboru, który ma zostać zmodernizowany na potrzeby pasażerów z niepełnosprawnościami, oraz wzmocnienie praw pasażerów.</w:t>
            </w:r>
          </w:p>
          <w:p w14:paraId="622913DB" w14:textId="77777777" w:rsidR="00E71AA6" w:rsidRPr="00E0193B" w:rsidRDefault="00E71AA6" w:rsidP="008C1B0D">
            <w:pPr>
              <w:spacing w:after="0" w:line="240" w:lineRule="auto"/>
              <w:jc w:val="left"/>
              <w:rPr>
                <w:rFonts w:eastAsia="Calibri"/>
              </w:rPr>
            </w:pPr>
            <w:r w:rsidRPr="00E0193B">
              <w:rPr>
                <w:rFonts w:eastAsia="Calibri"/>
              </w:rPr>
              <w:t>W przypadku taboru regionalnego wymogi zostaną przyjęte do II kw. 2024 r., a w przypadku taboru międzynarodowego i dalekobieżnego od II kw. 2023 r</w:t>
            </w:r>
          </w:p>
        </w:tc>
        <w:tc>
          <w:tcPr>
            <w:tcW w:w="2015" w:type="pct"/>
          </w:tcPr>
          <w:p w14:paraId="5CEB9684" w14:textId="77777777" w:rsidR="00E71AA6" w:rsidRPr="00E0193B" w:rsidRDefault="00E71AA6" w:rsidP="008C1B0D">
            <w:pPr>
              <w:autoSpaceDE w:val="0"/>
              <w:autoSpaceDN w:val="0"/>
              <w:adjustRightInd w:val="0"/>
              <w:spacing w:after="0" w:line="240" w:lineRule="auto"/>
              <w:jc w:val="left"/>
              <w:rPr>
                <w:rFonts w:eastAsia="Calibri"/>
                <w:color w:val="000000"/>
                <w:lang w:val="en-GB" w:eastAsia="en-GB"/>
              </w:rPr>
            </w:pPr>
            <w:r w:rsidRPr="00E0193B">
              <w:rPr>
                <w:rFonts w:eastAsia="Calibri"/>
                <w:color w:val="000000"/>
                <w:lang w:val="en-GB" w:eastAsia="en-GB"/>
              </w:rPr>
              <w:lastRenderedPageBreak/>
              <w:t xml:space="preserve">Opis reform: </w:t>
            </w:r>
          </w:p>
          <w:p w14:paraId="54FA3D9D" w14:textId="77777777" w:rsidR="00E71AA6" w:rsidRPr="00E0193B" w:rsidRDefault="00E71AA6" w:rsidP="008C1B0D">
            <w:pPr>
              <w:spacing w:after="0" w:line="240" w:lineRule="auto"/>
              <w:jc w:val="left"/>
              <w:rPr>
                <w:rFonts w:eastAsia="Calibri"/>
              </w:rPr>
            </w:pPr>
            <w:r w:rsidRPr="00E0193B">
              <w:rPr>
                <w:rFonts w:eastAsia="Calibri"/>
                <w:lang w:val="en-GB"/>
              </w:rPr>
              <w:t xml:space="preserve"> (…) The reform shall also include relevant provisions to upgrade national, </w:t>
            </w:r>
            <w:r w:rsidRPr="00E0193B">
              <w:rPr>
                <w:rFonts w:eastAsia="Calibri"/>
                <w:strike/>
                <w:color w:val="FF0000"/>
                <w:lang w:val="en-GB"/>
              </w:rPr>
              <w:t>international</w:t>
            </w:r>
            <w:r w:rsidRPr="00E0193B">
              <w:rPr>
                <w:rFonts w:eastAsia="Calibri"/>
                <w:lang w:val="en-GB"/>
              </w:rPr>
              <w:t xml:space="preserve"> and regional rolling stock with requirements for passengers with disabilities. </w:t>
            </w:r>
            <w:r w:rsidRPr="00E0193B">
              <w:rPr>
                <w:rFonts w:eastAsia="Calibri"/>
              </w:rPr>
              <w:t>The reform shall enter into force by 30 June 2024</w:t>
            </w:r>
          </w:p>
          <w:p w14:paraId="1F1A8CF3" w14:textId="77777777" w:rsidR="00E71AA6" w:rsidRPr="00E0193B" w:rsidRDefault="00E71AA6" w:rsidP="008C1B0D">
            <w:pPr>
              <w:spacing w:after="0" w:line="240" w:lineRule="auto"/>
              <w:jc w:val="left"/>
              <w:rPr>
                <w:rFonts w:eastAsia="Calibri"/>
                <w:u w:val="single"/>
              </w:rPr>
            </w:pPr>
          </w:p>
          <w:p w14:paraId="589E02BE" w14:textId="77777777" w:rsidR="00E71AA6" w:rsidRPr="00E0193B" w:rsidRDefault="00E71AA6" w:rsidP="008C1B0D">
            <w:pPr>
              <w:spacing w:after="0" w:line="240" w:lineRule="auto"/>
              <w:jc w:val="left"/>
              <w:rPr>
                <w:rFonts w:eastAsia="Calibri"/>
                <w:i/>
              </w:rPr>
            </w:pPr>
          </w:p>
          <w:p w14:paraId="40DC2344" w14:textId="77777777" w:rsidR="00E71AA6" w:rsidRPr="00E0193B" w:rsidRDefault="00E71AA6" w:rsidP="008C1B0D">
            <w:pPr>
              <w:spacing w:after="0" w:line="240" w:lineRule="auto"/>
              <w:jc w:val="left"/>
              <w:rPr>
                <w:rFonts w:eastAsia="Calibri"/>
                <w:i/>
              </w:rPr>
            </w:pPr>
            <w:r w:rsidRPr="00E0193B">
              <w:rPr>
                <w:rFonts w:eastAsia="Calibri"/>
              </w:rPr>
              <w:t>E6L Obowiązek modernizacji krajowego</w:t>
            </w:r>
            <w:r w:rsidRPr="00E0193B">
              <w:rPr>
                <w:rFonts w:eastAsia="Calibri"/>
                <w:strike/>
                <w:color w:val="FF0000"/>
              </w:rPr>
              <w:t>, międzynarodowego</w:t>
            </w:r>
            <w:r w:rsidRPr="00E0193B">
              <w:rPr>
                <w:rFonts w:eastAsia="Calibri"/>
                <w:color w:val="FF0000"/>
              </w:rPr>
              <w:t xml:space="preserve"> </w:t>
            </w:r>
            <w:r w:rsidRPr="00E0193B">
              <w:rPr>
                <w:rFonts w:eastAsia="Calibri"/>
              </w:rPr>
              <w:t>i regionalnego taboru kolejowego z uwzględnieniem wymogów dotyczących pasażerów z niepełnosprawnościami</w:t>
            </w:r>
          </w:p>
          <w:p w14:paraId="5841C54A" w14:textId="77777777" w:rsidR="00E71AA6" w:rsidRPr="00E0193B" w:rsidRDefault="00E71AA6" w:rsidP="008C1B0D">
            <w:pPr>
              <w:spacing w:after="0" w:line="240" w:lineRule="auto"/>
              <w:jc w:val="left"/>
              <w:rPr>
                <w:rFonts w:eastAsia="Calibri"/>
              </w:rPr>
            </w:pPr>
          </w:p>
          <w:p w14:paraId="6E3A7CB3" w14:textId="77777777" w:rsidR="00E71AA6" w:rsidRPr="00E0193B" w:rsidRDefault="00E71AA6" w:rsidP="008C1B0D">
            <w:pPr>
              <w:spacing w:after="0" w:line="240" w:lineRule="auto"/>
              <w:jc w:val="left"/>
              <w:rPr>
                <w:rFonts w:eastAsia="Calibri"/>
                <w:lang w:val="en-GB"/>
              </w:rPr>
            </w:pPr>
            <w:r w:rsidRPr="00E0193B">
              <w:rPr>
                <w:rFonts w:eastAsia="Calibri"/>
                <w:lang w:val="en-GB"/>
              </w:rPr>
              <w:t xml:space="preserve">E6L Obligation to upgrade national, </w:t>
            </w:r>
            <w:r w:rsidRPr="00E0193B">
              <w:rPr>
                <w:rFonts w:eastAsia="Calibri"/>
                <w:strike/>
                <w:color w:val="FF0000"/>
                <w:lang w:val="en-GB"/>
              </w:rPr>
              <w:t>international</w:t>
            </w:r>
            <w:r w:rsidRPr="00E0193B">
              <w:rPr>
                <w:rFonts w:eastAsia="Calibri"/>
                <w:lang w:val="en-GB"/>
              </w:rPr>
              <w:t xml:space="preserve"> and regional rolling stock with requirements for passengers with disabilities</w:t>
            </w:r>
          </w:p>
          <w:p w14:paraId="54CED08B" w14:textId="77777777" w:rsidR="00E71AA6" w:rsidRPr="00E0193B" w:rsidRDefault="00E71AA6" w:rsidP="008C1B0D">
            <w:pPr>
              <w:spacing w:after="0" w:line="240" w:lineRule="auto"/>
              <w:jc w:val="left"/>
              <w:rPr>
                <w:rFonts w:eastAsia="Calibri"/>
                <w:i/>
                <w:lang w:val="en-GB"/>
              </w:rPr>
            </w:pPr>
          </w:p>
          <w:p w14:paraId="1D234588" w14:textId="77777777" w:rsidR="00E71AA6" w:rsidRPr="00E0193B" w:rsidRDefault="00E71AA6" w:rsidP="008C1B0D">
            <w:pPr>
              <w:spacing w:after="0" w:line="240" w:lineRule="auto"/>
              <w:ind w:right="25"/>
              <w:jc w:val="left"/>
              <w:rPr>
                <w:rFonts w:eastAsia="Calibri"/>
                <w:lang w:val="en-GB"/>
              </w:rPr>
            </w:pPr>
            <w:r w:rsidRPr="00E0193B">
              <w:rPr>
                <w:rFonts w:eastAsia="Calibri"/>
                <w:lang w:val="en-GB"/>
              </w:rPr>
              <w:t xml:space="preserve">Entry into force of the relevant provisions to adapt railways rolling stock to passengers’ rights requirements, adapting to Regulation 2021/782 art. 9 section 3  (where modernisation is justifiable and rational concerning expected exploitation life of the rolling stock) for regional </w:t>
            </w:r>
            <w:r w:rsidRPr="00E0193B">
              <w:rPr>
                <w:rFonts w:eastAsia="Calibri"/>
                <w:color w:val="FF0000"/>
                <w:lang w:val="en-GB"/>
              </w:rPr>
              <w:t xml:space="preserve">and </w:t>
            </w:r>
            <w:r w:rsidRPr="00E0193B">
              <w:rPr>
                <w:rFonts w:eastAsia="Calibri"/>
                <w:lang w:val="en-GB"/>
              </w:rPr>
              <w:t xml:space="preserve"> national</w:t>
            </w:r>
            <w:r w:rsidRPr="00E0193B">
              <w:rPr>
                <w:rFonts w:eastAsia="Calibri"/>
                <w:strike/>
                <w:color w:val="FF0000"/>
                <w:lang w:val="en-GB"/>
              </w:rPr>
              <w:t xml:space="preserve"> and international</w:t>
            </w:r>
            <w:r w:rsidRPr="00E0193B">
              <w:rPr>
                <w:rFonts w:eastAsia="Calibri"/>
                <w:lang w:val="en-GB"/>
              </w:rPr>
              <w:t xml:space="preserve">  rolling stock to be upgraded to passengers with disabilities and enhance passengers' rights.</w:t>
            </w:r>
          </w:p>
          <w:p w14:paraId="6D2F2E7F" w14:textId="77777777" w:rsidR="00E71AA6" w:rsidRPr="00E0193B" w:rsidRDefault="00E71AA6" w:rsidP="008C1B0D">
            <w:pPr>
              <w:spacing w:after="0" w:line="240" w:lineRule="auto"/>
              <w:jc w:val="left"/>
              <w:rPr>
                <w:rFonts w:eastAsia="Calibri"/>
                <w:lang w:val="en-GB"/>
              </w:rPr>
            </w:pPr>
          </w:p>
          <w:p w14:paraId="4617B1E7" w14:textId="77777777" w:rsidR="00E71AA6" w:rsidRPr="00E0193B" w:rsidRDefault="00E71AA6" w:rsidP="008C1B0D">
            <w:pPr>
              <w:spacing w:after="0" w:line="240" w:lineRule="auto"/>
              <w:jc w:val="left"/>
              <w:rPr>
                <w:rFonts w:eastAsia="Calibri"/>
                <w:lang w:val="en-GB"/>
              </w:rPr>
            </w:pPr>
            <w:r w:rsidRPr="00E0193B">
              <w:rPr>
                <w:rFonts w:eastAsia="Calibri"/>
                <w:lang w:val="en-GB"/>
              </w:rPr>
              <w:t xml:space="preserve">For regional rolling stock, the requirements shall be adopted by Q2 2024 and for </w:t>
            </w:r>
            <w:r w:rsidRPr="00E0193B">
              <w:rPr>
                <w:rFonts w:eastAsia="Calibri"/>
                <w:strike/>
                <w:color w:val="FF0000"/>
                <w:lang w:val="en-GB"/>
              </w:rPr>
              <w:lastRenderedPageBreak/>
              <w:t>international and</w:t>
            </w:r>
            <w:r w:rsidRPr="00E0193B">
              <w:rPr>
                <w:rFonts w:eastAsia="Calibri"/>
                <w:color w:val="FF0000"/>
                <w:lang w:val="en-GB"/>
              </w:rPr>
              <w:t xml:space="preserve"> </w:t>
            </w:r>
            <w:r w:rsidRPr="00E0193B">
              <w:rPr>
                <w:rFonts w:eastAsia="Calibri"/>
                <w:lang w:val="en-GB"/>
              </w:rPr>
              <w:t>long-distance rolling stock from Q2 2023.</w:t>
            </w:r>
          </w:p>
          <w:p w14:paraId="1610B6D3" w14:textId="77777777" w:rsidR="00E71AA6" w:rsidRPr="00E0193B" w:rsidRDefault="00E71AA6" w:rsidP="008C1B0D">
            <w:pPr>
              <w:spacing w:after="0" w:line="240" w:lineRule="auto"/>
              <w:jc w:val="left"/>
              <w:rPr>
                <w:rFonts w:eastAsia="Calibri"/>
                <w:lang w:val="en-GB"/>
              </w:rPr>
            </w:pPr>
          </w:p>
          <w:p w14:paraId="1A427035" w14:textId="77777777" w:rsidR="00E71AA6" w:rsidRPr="00E0193B" w:rsidRDefault="00E71AA6" w:rsidP="008C1B0D">
            <w:pPr>
              <w:spacing w:after="0" w:line="240" w:lineRule="auto"/>
              <w:jc w:val="left"/>
              <w:rPr>
                <w:rFonts w:eastAsia="Calibri"/>
              </w:rPr>
            </w:pPr>
            <w:r w:rsidRPr="00E0193B">
              <w:rPr>
                <w:rFonts w:eastAsia="Calibri"/>
              </w:rPr>
              <w:t>Wejście w życie właściwych przepisów dotyczących dostosowania taboru kolejowego do wymogów w zakresie praw pasażerów, dostosowanie do art. 9 ust. 3 rozporządzenia 2021/782 (gdy modernizacja jest uzasadniona i racjonalna z punktu widzenia przewidywanego okresu eksploatacji taboru) w odniesieniu do regionalnego</w:t>
            </w:r>
            <w:r w:rsidRPr="00E0193B">
              <w:rPr>
                <w:rFonts w:eastAsia="Calibri"/>
                <w:strike/>
                <w:color w:val="FF0000"/>
              </w:rPr>
              <w:t>,</w:t>
            </w:r>
            <w:r w:rsidRPr="00E0193B">
              <w:rPr>
                <w:rFonts w:eastAsia="Calibri"/>
                <w:color w:val="FF0000"/>
              </w:rPr>
              <w:t xml:space="preserve"> i</w:t>
            </w:r>
            <w:r w:rsidRPr="00E0193B">
              <w:rPr>
                <w:rFonts w:eastAsia="Calibri"/>
              </w:rPr>
              <w:t xml:space="preserve"> krajowego </w:t>
            </w:r>
            <w:r w:rsidRPr="00E0193B">
              <w:rPr>
                <w:rFonts w:eastAsia="Calibri"/>
                <w:strike/>
              </w:rPr>
              <w:t xml:space="preserve">i </w:t>
            </w:r>
            <w:r w:rsidRPr="00E0193B">
              <w:rPr>
                <w:rFonts w:eastAsia="Calibri"/>
                <w:strike/>
                <w:color w:val="FF0000"/>
              </w:rPr>
              <w:t>międzynarodowego</w:t>
            </w:r>
            <w:r w:rsidRPr="00E0193B">
              <w:rPr>
                <w:rFonts w:eastAsia="Calibri"/>
              </w:rPr>
              <w:t xml:space="preserve"> taboru, który ma zostać zmodernizowany na potrzeby pasażerów z niepełnosprawnościami, oraz wzmocnienie praw pasażerów.</w:t>
            </w:r>
          </w:p>
          <w:p w14:paraId="01D75389" w14:textId="77777777" w:rsidR="00E71AA6" w:rsidRPr="00E0193B" w:rsidRDefault="00E71AA6" w:rsidP="008C1B0D">
            <w:pPr>
              <w:spacing w:after="0" w:line="240" w:lineRule="auto"/>
              <w:jc w:val="left"/>
              <w:rPr>
                <w:rFonts w:eastAsia="Calibri"/>
              </w:rPr>
            </w:pPr>
          </w:p>
          <w:p w14:paraId="3CAC5DAD" w14:textId="77777777" w:rsidR="00E71AA6" w:rsidRPr="00E0193B" w:rsidRDefault="00E71AA6" w:rsidP="008C1B0D">
            <w:pPr>
              <w:spacing w:after="0" w:line="240" w:lineRule="auto"/>
              <w:jc w:val="left"/>
              <w:rPr>
                <w:rFonts w:eastAsia="Calibri"/>
              </w:rPr>
            </w:pPr>
            <w:r w:rsidRPr="00E0193B">
              <w:rPr>
                <w:rFonts w:eastAsia="Calibri"/>
              </w:rPr>
              <w:t xml:space="preserve">W przypadku taboru regionalnego wymogi zostaną przyjęte do II kw. 2024 r., a w przypadku taboru </w:t>
            </w:r>
            <w:r w:rsidRPr="00E0193B">
              <w:rPr>
                <w:rFonts w:eastAsia="Calibri"/>
                <w:strike/>
                <w:color w:val="FF0000"/>
              </w:rPr>
              <w:t>międzynarodowego i</w:t>
            </w:r>
            <w:r w:rsidRPr="00E0193B">
              <w:rPr>
                <w:rFonts w:eastAsia="Calibri"/>
                <w:color w:val="FF0000"/>
              </w:rPr>
              <w:t xml:space="preserve"> </w:t>
            </w:r>
            <w:r w:rsidRPr="00E0193B">
              <w:rPr>
                <w:rFonts w:eastAsia="Calibri"/>
              </w:rPr>
              <w:t>dalekobieżnego od II kw. 2023 r</w:t>
            </w:r>
          </w:p>
        </w:tc>
      </w:tr>
      <w:tr w:rsidR="00E71AA6" w:rsidRPr="00E0193B" w14:paraId="2766820D" w14:textId="77777777" w:rsidTr="008C1B0D">
        <w:tc>
          <w:tcPr>
            <w:tcW w:w="1088" w:type="pct"/>
          </w:tcPr>
          <w:p w14:paraId="7EF00F02" w14:textId="77777777" w:rsidR="00E71AA6" w:rsidRPr="00E0193B" w:rsidRDefault="00E71AA6" w:rsidP="008C1B0D">
            <w:pPr>
              <w:spacing w:after="0" w:line="240" w:lineRule="auto"/>
              <w:jc w:val="left"/>
              <w:rPr>
                <w:rFonts w:eastAsia="Calibri"/>
              </w:rPr>
            </w:pPr>
            <w:r w:rsidRPr="00E0193B">
              <w:rPr>
                <w:rFonts w:eastAsia="Calibri"/>
              </w:rPr>
              <w:lastRenderedPageBreak/>
              <w:t>Uzasadnienie</w:t>
            </w:r>
          </w:p>
        </w:tc>
        <w:tc>
          <w:tcPr>
            <w:tcW w:w="3912" w:type="pct"/>
            <w:gridSpan w:val="2"/>
          </w:tcPr>
          <w:p w14:paraId="5A7CBAC2" w14:textId="77777777" w:rsidR="00E71AA6" w:rsidRPr="00E0193B" w:rsidRDefault="00E71AA6" w:rsidP="008C1B0D">
            <w:pPr>
              <w:spacing w:after="120" w:line="240" w:lineRule="auto"/>
              <w:jc w:val="left"/>
              <w:rPr>
                <w:rFonts w:eastAsia="Calibri"/>
              </w:rPr>
            </w:pPr>
            <w:r w:rsidRPr="00E0193B">
              <w:rPr>
                <w:rFonts w:eastAsia="Calibri"/>
              </w:rPr>
              <w:t>Usunięcie zapisu mówiącego o taborze międzynarodowym jest uzasadnione z uwagi na brak możliwości ustawowego wpływania na standard świadczenia usług poza granicami Polski. Ustawa, której przyjęcie było wypełnieniem kamienia E6L nie odnosiła się do pociągów międzynarodowych, przy czym standardy w pociągach międzynarodowych, które podlegają polskim przepisom będą zachowane.</w:t>
            </w:r>
          </w:p>
          <w:p w14:paraId="7E158834" w14:textId="77777777" w:rsidR="00E71AA6" w:rsidRPr="00E0193B" w:rsidRDefault="00E71AA6" w:rsidP="008C1B0D">
            <w:pPr>
              <w:spacing w:after="120" w:line="240" w:lineRule="auto"/>
              <w:jc w:val="left"/>
              <w:rPr>
                <w:rFonts w:eastAsia="Calibri"/>
              </w:rPr>
            </w:pPr>
            <w:r w:rsidRPr="00E0193B">
              <w:rPr>
                <w:rFonts w:eastAsia="Calibri"/>
              </w:rPr>
              <w:t>W celu wypełnienia zobowiązań wynikających z reformy E6L, polskie prawo zostało zmienione. Zmiana ta dotyczy terminu wejścia w życie przepisów rozporządzenia UE 2021/752 w zakresie wymogów dla pasażerów z niepełnosprawnościami. Należy podkreślić, że zobowiązanie wobec KE zostało wypełnione. Wymogi dotyczące taboru będą miały również zastosowanie do transportu międzynarodowego. Usunięcie słowa "międzynarodowy" podyktowane jest jednak wyłącznie faktem, że ani ustawa Parlamentu, ani rozporządzenie UE nie mają zastosowania do taboru należącego do przewoźników z siedzibą w państwach trzecich (poza terytorium Unii Europejskiej).</w:t>
            </w:r>
          </w:p>
          <w:p w14:paraId="07CEE652" w14:textId="111EE6F7" w:rsidR="00E71AA6" w:rsidRPr="00E0193B" w:rsidRDefault="00E71AA6" w:rsidP="008C1B0D">
            <w:pPr>
              <w:spacing w:after="120" w:line="240" w:lineRule="auto"/>
              <w:jc w:val="left"/>
              <w:rPr>
                <w:rFonts w:eastAsia="Calibri"/>
              </w:rPr>
            </w:pPr>
            <w:r w:rsidRPr="00E0193B">
              <w:rPr>
                <w:rFonts w:eastAsia="Calibri"/>
              </w:rPr>
              <w:t>Oznacza to, że pociągi międzynarodowe składające się z wagonów należących do polskiego przewoźnika będą spełniały wymagania znowelizowanej ustawy. Pociągi należące do przewoźników mających siedzibę np. w Niemczech lub Czechach będą spełniały wymagania rozporządzenia unijnego, natomiast pojedyncze pociągi należące np. do ukraińskiego przewoźnika mogą nie spełniać tych wymagań, o ile są dopuszczone do eksploatacji na terytorium Unii Europejskiej na podstawie prawa unijnego.</w:t>
            </w:r>
          </w:p>
        </w:tc>
      </w:tr>
      <w:tr w:rsidR="00E71AA6" w:rsidRPr="00E0193B" w14:paraId="1B5C8AFE" w14:textId="77777777" w:rsidTr="008C1B0D">
        <w:tc>
          <w:tcPr>
            <w:tcW w:w="1088" w:type="pct"/>
          </w:tcPr>
          <w:p w14:paraId="2297F149" w14:textId="77777777" w:rsidR="00E71AA6" w:rsidRPr="00E0193B" w:rsidRDefault="00E71AA6" w:rsidP="008C1B0D">
            <w:pPr>
              <w:spacing w:after="0" w:line="240" w:lineRule="auto"/>
              <w:jc w:val="left"/>
              <w:rPr>
                <w:rFonts w:eastAsia="Calibri"/>
              </w:rPr>
            </w:pPr>
            <w:r w:rsidRPr="00E0193B">
              <w:rPr>
                <w:rFonts w:eastAsia="Calibri"/>
              </w:rPr>
              <w:t>Szacowany koszy</w:t>
            </w:r>
          </w:p>
        </w:tc>
        <w:tc>
          <w:tcPr>
            <w:tcW w:w="3912" w:type="pct"/>
            <w:gridSpan w:val="2"/>
          </w:tcPr>
          <w:p w14:paraId="3A1038B7" w14:textId="77777777" w:rsidR="00E71AA6" w:rsidRPr="00E0193B" w:rsidRDefault="00E71AA6" w:rsidP="008C1B0D">
            <w:pPr>
              <w:spacing w:after="0" w:line="240" w:lineRule="auto"/>
              <w:jc w:val="left"/>
              <w:rPr>
                <w:rFonts w:eastAsia="Calibri"/>
              </w:rPr>
            </w:pPr>
            <w:r w:rsidRPr="00E0193B">
              <w:rPr>
                <w:rFonts w:eastAsia="Calibri"/>
              </w:rPr>
              <w:t>Zmiana nie ma wpływu na szacowany koszt</w:t>
            </w:r>
            <w:r w:rsidRPr="00E0193B" w:rsidDel="00B85B09">
              <w:rPr>
                <w:rFonts w:eastAsia="Calibri"/>
              </w:rPr>
              <w:t xml:space="preserve"> </w:t>
            </w:r>
          </w:p>
        </w:tc>
      </w:tr>
      <w:tr w:rsidR="00E71AA6" w:rsidRPr="00E0193B" w14:paraId="2FCB8072" w14:textId="77777777" w:rsidTr="008C1B0D">
        <w:tc>
          <w:tcPr>
            <w:tcW w:w="1088" w:type="pct"/>
          </w:tcPr>
          <w:p w14:paraId="484CE2D4" w14:textId="77777777" w:rsidR="00E71AA6" w:rsidRPr="00E0193B" w:rsidRDefault="00E71AA6" w:rsidP="008C1B0D">
            <w:pPr>
              <w:spacing w:after="0" w:line="240" w:lineRule="auto"/>
              <w:jc w:val="left"/>
              <w:rPr>
                <w:rFonts w:eastAsia="Calibri"/>
              </w:rPr>
            </w:pPr>
            <w:r w:rsidRPr="00E0193B">
              <w:rPr>
                <w:rFonts w:eastAsia="Calibri"/>
              </w:rPr>
              <w:t>Klimatyczny i cyfrowy tagging</w:t>
            </w:r>
          </w:p>
        </w:tc>
        <w:tc>
          <w:tcPr>
            <w:tcW w:w="3912" w:type="pct"/>
            <w:gridSpan w:val="2"/>
          </w:tcPr>
          <w:p w14:paraId="48A6AD77" w14:textId="77777777" w:rsidR="00E71AA6" w:rsidRPr="00E0193B" w:rsidRDefault="00E71AA6" w:rsidP="008C1B0D">
            <w:pPr>
              <w:spacing w:after="120" w:line="240" w:lineRule="auto"/>
              <w:jc w:val="left"/>
              <w:rPr>
                <w:rFonts w:eastAsia="Calibri"/>
              </w:rPr>
            </w:pPr>
            <w:r w:rsidRPr="00E0193B">
              <w:rPr>
                <w:rFonts w:eastAsia="Calibri"/>
              </w:rPr>
              <w:t xml:space="preserve">Zmiana nie ma wpływu na  tagging klimatyczny i cyfrowy </w:t>
            </w:r>
          </w:p>
          <w:p w14:paraId="3D598EE3" w14:textId="77777777" w:rsidR="00E71AA6" w:rsidRPr="00E0193B" w:rsidRDefault="00E71AA6" w:rsidP="008C1B0D">
            <w:pPr>
              <w:spacing w:after="0" w:line="240" w:lineRule="auto"/>
              <w:jc w:val="left"/>
              <w:rPr>
                <w:rFonts w:eastAsia="Calibri"/>
              </w:rPr>
            </w:pPr>
          </w:p>
        </w:tc>
      </w:tr>
      <w:tr w:rsidR="00E71AA6" w:rsidRPr="00E0193B" w14:paraId="529831F9" w14:textId="77777777" w:rsidTr="008C1B0D">
        <w:tc>
          <w:tcPr>
            <w:tcW w:w="1088" w:type="pct"/>
          </w:tcPr>
          <w:p w14:paraId="2D0B510F" w14:textId="77777777" w:rsidR="00E71AA6" w:rsidRPr="00E0193B" w:rsidRDefault="00E71AA6" w:rsidP="008C1B0D">
            <w:pPr>
              <w:spacing w:after="0" w:line="240" w:lineRule="auto"/>
              <w:jc w:val="left"/>
              <w:rPr>
                <w:rFonts w:eastAsia="Calibri"/>
              </w:rPr>
            </w:pPr>
            <w:r w:rsidRPr="00E0193B">
              <w:rPr>
                <w:rFonts w:eastAsia="Calibri"/>
              </w:rPr>
              <w:t xml:space="preserve">Ocena DNSH </w:t>
            </w:r>
          </w:p>
        </w:tc>
        <w:tc>
          <w:tcPr>
            <w:tcW w:w="3912" w:type="pct"/>
            <w:gridSpan w:val="2"/>
          </w:tcPr>
          <w:p w14:paraId="26317668" w14:textId="77777777" w:rsidR="00E71AA6" w:rsidRPr="00E0193B" w:rsidRDefault="00E71AA6" w:rsidP="008C1B0D">
            <w:pPr>
              <w:spacing w:after="0" w:line="240" w:lineRule="auto"/>
              <w:jc w:val="left"/>
              <w:rPr>
                <w:rFonts w:eastAsia="Calibri"/>
              </w:rPr>
            </w:pPr>
            <w:r w:rsidRPr="00E0193B">
              <w:rPr>
                <w:rFonts w:eastAsia="Calibri"/>
              </w:rPr>
              <w:t>Zmiana nie ma wpływu na  DNSH</w:t>
            </w:r>
            <w:r w:rsidRPr="00E0193B" w:rsidDel="00B85B09">
              <w:rPr>
                <w:rFonts w:eastAsia="Calibri"/>
              </w:rPr>
              <w:t xml:space="preserve"> </w:t>
            </w:r>
          </w:p>
        </w:tc>
      </w:tr>
    </w:tbl>
    <w:p w14:paraId="33427DF9" w14:textId="77777777" w:rsidR="00E71AA6" w:rsidRPr="00E0193B" w:rsidRDefault="00E71AA6" w:rsidP="00D94758">
      <w:pPr>
        <w:spacing w:line="259" w:lineRule="auto"/>
        <w:jc w:val="left"/>
        <w:rPr>
          <w:rFonts w:eastAsia="Calibri"/>
          <w:b/>
          <w:u w:val="single"/>
        </w:rPr>
      </w:pPr>
    </w:p>
    <w:bookmarkEnd w:id="23"/>
    <w:p w14:paraId="5565ECFD" w14:textId="6099B4AA" w:rsidR="0049641B" w:rsidRPr="00E0193B" w:rsidRDefault="0049641B" w:rsidP="0049641B">
      <w:pPr>
        <w:spacing w:after="120" w:line="240" w:lineRule="auto"/>
        <w:jc w:val="left"/>
        <w:rPr>
          <w:rFonts w:eastAsia="Calibri"/>
          <w:b/>
          <w:bCs/>
        </w:rPr>
      </w:pPr>
      <w:r w:rsidRPr="00E0193B">
        <w:rPr>
          <w:rFonts w:eastAsia="Calibri"/>
          <w:b/>
          <w:bCs/>
        </w:rPr>
        <w:t>Komponent G REP</w:t>
      </w:r>
      <w:r w:rsidR="00AB5613" w:rsidRPr="00E0193B">
        <w:rPr>
          <w:rFonts w:eastAsia="Calibri"/>
          <w:b/>
          <w:bCs/>
        </w:rPr>
        <w:t>ower</w:t>
      </w:r>
      <w:r w:rsidRPr="00E0193B">
        <w:rPr>
          <w:rFonts w:eastAsia="Calibri"/>
          <w:b/>
          <w:bCs/>
        </w:rPr>
        <w:t>EU.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26"/>
        <w:gridCol w:w="3448"/>
        <w:gridCol w:w="3642"/>
      </w:tblGrid>
      <w:tr w:rsidR="0049641B" w:rsidRPr="00E0193B" w14:paraId="394423F7" w14:textId="77777777" w:rsidTr="008C1B0D">
        <w:tc>
          <w:tcPr>
            <w:tcW w:w="1068" w:type="pct"/>
            <w:shd w:val="clear" w:color="auto" w:fill="auto"/>
          </w:tcPr>
          <w:p w14:paraId="4241769C" w14:textId="77777777" w:rsidR="0049641B" w:rsidRPr="00E0193B" w:rsidRDefault="0049641B" w:rsidP="0049641B">
            <w:pPr>
              <w:spacing w:after="120" w:line="240" w:lineRule="auto"/>
              <w:jc w:val="left"/>
              <w:rPr>
                <w:rFonts w:eastAsia="Calibri"/>
                <w:b/>
                <w:bCs/>
              </w:rPr>
            </w:pPr>
            <w:bookmarkStart w:id="36" w:name="_Hlk163651549"/>
            <w:r w:rsidRPr="00E0193B">
              <w:rPr>
                <w:rFonts w:eastAsia="Calibri"/>
                <w:b/>
                <w:bCs/>
              </w:rPr>
              <w:t>Numer inwestycji</w:t>
            </w:r>
          </w:p>
        </w:tc>
        <w:tc>
          <w:tcPr>
            <w:tcW w:w="3932" w:type="pct"/>
            <w:gridSpan w:val="2"/>
            <w:shd w:val="clear" w:color="auto" w:fill="auto"/>
          </w:tcPr>
          <w:p w14:paraId="64700A33" w14:textId="77777777" w:rsidR="0049641B" w:rsidRPr="00E0193B" w:rsidRDefault="0049641B" w:rsidP="0049641B">
            <w:pPr>
              <w:spacing w:after="120"/>
              <w:ind w:left="118"/>
              <w:contextualSpacing/>
              <w:rPr>
                <w:b/>
                <w:bCs/>
              </w:rPr>
            </w:pPr>
            <w:r w:rsidRPr="00E0193B">
              <w:rPr>
                <w:b/>
                <w:bCs/>
              </w:rPr>
              <w:t>G3.1.4</w:t>
            </w:r>
          </w:p>
        </w:tc>
      </w:tr>
      <w:tr w:rsidR="0049641B" w:rsidRPr="00E0193B" w14:paraId="6194572B" w14:textId="77777777" w:rsidTr="008C1B0D">
        <w:tc>
          <w:tcPr>
            <w:tcW w:w="1068" w:type="pct"/>
            <w:shd w:val="clear" w:color="auto" w:fill="auto"/>
          </w:tcPr>
          <w:p w14:paraId="0624819E" w14:textId="77777777" w:rsidR="0049641B" w:rsidRPr="00E0193B" w:rsidRDefault="0049641B" w:rsidP="0049641B">
            <w:pPr>
              <w:spacing w:after="120"/>
              <w:contextualSpacing/>
              <w:rPr>
                <w:b/>
                <w:bCs/>
              </w:rPr>
            </w:pPr>
            <w:r w:rsidRPr="00E0193B">
              <w:rPr>
                <w:b/>
                <w:bCs/>
              </w:rPr>
              <w:t xml:space="preserve">Nazwa inwestycji </w:t>
            </w:r>
          </w:p>
        </w:tc>
        <w:tc>
          <w:tcPr>
            <w:tcW w:w="3932" w:type="pct"/>
            <w:gridSpan w:val="2"/>
            <w:shd w:val="clear" w:color="auto" w:fill="auto"/>
          </w:tcPr>
          <w:p w14:paraId="418D376E" w14:textId="77777777" w:rsidR="0049641B" w:rsidRPr="00E0193B" w:rsidRDefault="0049641B" w:rsidP="0049641B">
            <w:pPr>
              <w:spacing w:after="120"/>
              <w:contextualSpacing/>
              <w:rPr>
                <w:b/>
                <w:bCs/>
              </w:rPr>
            </w:pPr>
            <w:r w:rsidRPr="00E0193B">
              <w:rPr>
                <w:b/>
                <w:bCs/>
              </w:rPr>
              <w:t>Wsparcie na rzecz krajowego systemu energetycznego (Fundusz Wsparcia Energetyki).</w:t>
            </w:r>
          </w:p>
        </w:tc>
      </w:tr>
      <w:tr w:rsidR="0049641B" w:rsidRPr="00E0193B" w14:paraId="6A8098D6" w14:textId="77777777" w:rsidTr="008C1B0D">
        <w:trPr>
          <w:trHeight w:val="1212"/>
        </w:trPr>
        <w:tc>
          <w:tcPr>
            <w:tcW w:w="1068" w:type="pct"/>
            <w:shd w:val="clear" w:color="auto" w:fill="auto"/>
          </w:tcPr>
          <w:p w14:paraId="12E0EF28" w14:textId="77777777" w:rsidR="0049641B" w:rsidRPr="00E0193B" w:rsidRDefault="0049641B" w:rsidP="0049641B">
            <w:pPr>
              <w:spacing w:after="120"/>
              <w:ind w:left="67"/>
              <w:contextualSpacing/>
            </w:pPr>
            <w:r w:rsidRPr="00E0193B">
              <w:t>Rodzaj wprowadzonej zmiany w odniesieniu do CID</w:t>
            </w:r>
          </w:p>
        </w:tc>
        <w:tc>
          <w:tcPr>
            <w:tcW w:w="3932" w:type="pct"/>
            <w:gridSpan w:val="2"/>
            <w:shd w:val="clear" w:color="auto" w:fill="auto"/>
          </w:tcPr>
          <w:p w14:paraId="60BCD1B0" w14:textId="683A28C1" w:rsidR="006E7247" w:rsidRPr="00E0193B" w:rsidRDefault="006E7247"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rPr>
            </w:pPr>
            <w:r w:rsidRPr="00E0193B">
              <w:rPr>
                <w:rFonts w:eastAsia="Calibri"/>
              </w:rPr>
              <w:t>Zmniejszenie o 798 250 000 euro alokacji na inwestycję.</w:t>
            </w:r>
          </w:p>
          <w:p w14:paraId="5A437F89" w14:textId="11540E7F"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rPr>
            </w:pPr>
            <w:r w:rsidRPr="00E0193B">
              <w:rPr>
                <w:rFonts w:eastAsia="Calibri"/>
              </w:rPr>
              <w:t>Modyfikacja opisu inwestycji oraz opisu wskaźnika G15L.</w:t>
            </w:r>
          </w:p>
        </w:tc>
      </w:tr>
      <w:tr w:rsidR="0049641B" w:rsidRPr="00E0193B" w14:paraId="695A4964" w14:textId="77777777" w:rsidTr="008C1B0D">
        <w:tc>
          <w:tcPr>
            <w:tcW w:w="1068" w:type="pct"/>
            <w:shd w:val="clear" w:color="auto" w:fill="auto"/>
          </w:tcPr>
          <w:p w14:paraId="6274436D" w14:textId="77777777" w:rsidR="0049641B" w:rsidRPr="00E0193B" w:rsidRDefault="0049641B" w:rsidP="0049641B">
            <w:pPr>
              <w:spacing w:after="120"/>
              <w:contextualSpacing/>
            </w:pPr>
            <w:r w:rsidRPr="00E0193B">
              <w:t>Podstawa prawna zmiany</w:t>
            </w:r>
          </w:p>
        </w:tc>
        <w:tc>
          <w:tcPr>
            <w:tcW w:w="3932" w:type="pct"/>
            <w:gridSpan w:val="2"/>
            <w:shd w:val="clear" w:color="auto" w:fill="auto"/>
          </w:tcPr>
          <w:p w14:paraId="479812E2" w14:textId="77777777" w:rsidR="0049641B" w:rsidRDefault="0049641B" w:rsidP="0049641B">
            <w:pPr>
              <w:contextualSpacing/>
            </w:pPr>
            <w:r w:rsidRPr="00E0193B">
              <w:t xml:space="preserve">art. 21 rozporządzenia Parlamentu Europejskiego i Rady (UE) 2021/241 z dnia 12 lutego 2021r. ustanawiającego Instrument na rzecz Odbudowy </w:t>
            </w:r>
            <w:r w:rsidRPr="00E0193B">
              <w:br/>
              <w:t>i Zwiększania Odporności.</w:t>
            </w:r>
          </w:p>
          <w:p w14:paraId="214B85D7" w14:textId="30193CC6" w:rsidR="007E255E" w:rsidRPr="00E0193B" w:rsidRDefault="007E255E" w:rsidP="0049641B">
            <w:pPr>
              <w:contextualSpacing/>
            </w:pPr>
            <w:r>
              <w:t>Zmiana techniczna (clerical error)</w:t>
            </w:r>
          </w:p>
        </w:tc>
      </w:tr>
      <w:tr w:rsidR="0049641B" w:rsidRPr="00E0193B" w14:paraId="33EF9384" w14:textId="77777777" w:rsidTr="0049641B">
        <w:tc>
          <w:tcPr>
            <w:tcW w:w="1068" w:type="pct"/>
            <w:shd w:val="clear" w:color="auto" w:fill="D9D9D9"/>
          </w:tcPr>
          <w:p w14:paraId="47BE7BB0" w14:textId="77777777" w:rsidR="0049641B" w:rsidRPr="00E0193B" w:rsidRDefault="0049641B" w:rsidP="0049641B">
            <w:pPr>
              <w:spacing w:after="120" w:line="240" w:lineRule="auto"/>
              <w:jc w:val="left"/>
              <w:rPr>
                <w:rFonts w:eastAsia="Calibri"/>
              </w:rPr>
            </w:pPr>
            <w:r w:rsidRPr="00E0193B">
              <w:rPr>
                <w:rFonts w:eastAsia="Calibri"/>
              </w:rPr>
              <w:t>Modyfikowany element</w:t>
            </w:r>
          </w:p>
        </w:tc>
        <w:tc>
          <w:tcPr>
            <w:tcW w:w="1912" w:type="pct"/>
            <w:shd w:val="clear" w:color="auto" w:fill="D9D9D9"/>
          </w:tcPr>
          <w:p w14:paraId="719BDA2A" w14:textId="77777777" w:rsidR="0049641B" w:rsidRPr="00E0193B" w:rsidRDefault="0049641B" w:rsidP="0049641B">
            <w:pPr>
              <w:spacing w:after="120" w:line="240" w:lineRule="auto"/>
              <w:jc w:val="center"/>
              <w:rPr>
                <w:rFonts w:eastAsia="Calibri"/>
              </w:rPr>
            </w:pPr>
            <w:r w:rsidRPr="00E0193B">
              <w:rPr>
                <w:rFonts w:eastAsia="Calibri"/>
              </w:rPr>
              <w:t>Wersja aktualna</w:t>
            </w:r>
          </w:p>
        </w:tc>
        <w:tc>
          <w:tcPr>
            <w:tcW w:w="2020" w:type="pct"/>
            <w:shd w:val="clear" w:color="auto" w:fill="D9D9D9"/>
          </w:tcPr>
          <w:p w14:paraId="030D6530" w14:textId="77777777" w:rsidR="0049641B" w:rsidRPr="00E0193B" w:rsidRDefault="0049641B" w:rsidP="0049641B">
            <w:pPr>
              <w:spacing w:after="120" w:line="240" w:lineRule="auto"/>
              <w:jc w:val="center"/>
              <w:rPr>
                <w:rFonts w:eastAsia="Calibri"/>
              </w:rPr>
            </w:pPr>
            <w:r w:rsidRPr="00E0193B">
              <w:rPr>
                <w:rFonts w:eastAsia="Calibri"/>
              </w:rPr>
              <w:t>Wersja zmieniona</w:t>
            </w:r>
          </w:p>
        </w:tc>
      </w:tr>
      <w:tr w:rsidR="0049641B" w:rsidRPr="00E0193B" w14:paraId="1B0967E2" w14:textId="77777777" w:rsidTr="008C1B0D">
        <w:tc>
          <w:tcPr>
            <w:tcW w:w="1068" w:type="pct"/>
            <w:shd w:val="clear" w:color="auto" w:fill="auto"/>
          </w:tcPr>
          <w:p w14:paraId="08FB07D3" w14:textId="77777777" w:rsidR="0049641B" w:rsidRPr="00E0193B" w:rsidRDefault="0049641B" w:rsidP="0049641B">
            <w:pPr>
              <w:spacing w:after="120" w:line="240" w:lineRule="auto"/>
              <w:jc w:val="left"/>
              <w:rPr>
                <w:rFonts w:eastAsia="Calibri"/>
              </w:rPr>
            </w:pPr>
            <w:r w:rsidRPr="00E0193B">
              <w:rPr>
                <w:rFonts w:eastAsia="Calibri"/>
              </w:rPr>
              <w:t>Część opisowa inwestycji.</w:t>
            </w:r>
          </w:p>
        </w:tc>
        <w:tc>
          <w:tcPr>
            <w:tcW w:w="1912" w:type="pct"/>
            <w:shd w:val="clear" w:color="auto" w:fill="auto"/>
          </w:tcPr>
          <w:p w14:paraId="2167DE1B" w14:textId="77777777" w:rsidR="0049641B" w:rsidRPr="00E0193B" w:rsidRDefault="0049641B" w:rsidP="0049641B">
            <w:pPr>
              <w:spacing w:after="120" w:line="240" w:lineRule="auto"/>
              <w:rPr>
                <w:rFonts w:eastAsia="Calibri"/>
              </w:rPr>
            </w:pPr>
            <w:r w:rsidRPr="00E0193B">
              <w:rPr>
                <w:rFonts w:eastAsia="Calibri"/>
              </w:rPr>
              <w:t>Na podstawie inwestycji w ramach RRF celem Instrumentu na początkowym etapie jest wypłacenie finansowania w wysokości co najmniej 17 068 511 631 EUR.</w:t>
            </w:r>
          </w:p>
        </w:tc>
        <w:tc>
          <w:tcPr>
            <w:tcW w:w="2020" w:type="pct"/>
            <w:shd w:val="clear" w:color="auto" w:fill="auto"/>
          </w:tcPr>
          <w:p w14:paraId="28C06AFB" w14:textId="03873A28"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FF0000"/>
              </w:rPr>
            </w:pPr>
            <w:r w:rsidRPr="00E0193B">
              <w:rPr>
                <w:rFonts w:eastAsia="Calibri"/>
              </w:rPr>
              <w:t xml:space="preserve">Na podstawie inwestycji w ramach RRF celem Instrumentu na początkowym etapie jest wypłacenie finansowania w wysokości </w:t>
            </w:r>
            <w:r w:rsidRPr="00E0193B">
              <w:rPr>
                <w:rFonts w:eastAsia="Calibri"/>
                <w:color w:val="FF0000"/>
              </w:rPr>
              <w:t>stanowiącej równowartość środków zakontraktowanych w umowach z Ostatecznymi Odbiorcami Wsparcia.</w:t>
            </w:r>
          </w:p>
          <w:p w14:paraId="78D4E95C"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FF0000"/>
              </w:rPr>
            </w:pPr>
          </w:p>
        </w:tc>
      </w:tr>
      <w:tr w:rsidR="0049641B" w:rsidRPr="00935797" w14:paraId="35C510CA" w14:textId="77777777" w:rsidTr="008C1B0D">
        <w:tc>
          <w:tcPr>
            <w:tcW w:w="1068" w:type="pct"/>
            <w:shd w:val="clear" w:color="auto" w:fill="auto"/>
          </w:tcPr>
          <w:p w14:paraId="52E30D83" w14:textId="77777777" w:rsidR="0049641B" w:rsidRPr="00E0193B" w:rsidRDefault="0049641B" w:rsidP="0049641B">
            <w:pPr>
              <w:spacing w:after="120" w:line="240" w:lineRule="auto"/>
              <w:jc w:val="left"/>
              <w:rPr>
                <w:rFonts w:eastAsia="Calibri"/>
              </w:rPr>
            </w:pPr>
          </w:p>
        </w:tc>
        <w:tc>
          <w:tcPr>
            <w:tcW w:w="1912" w:type="pct"/>
            <w:shd w:val="clear" w:color="auto" w:fill="auto"/>
          </w:tcPr>
          <w:p w14:paraId="6B8A2E35" w14:textId="77777777" w:rsidR="0049641B" w:rsidRPr="00E0193B" w:rsidRDefault="0049641B" w:rsidP="0049641B">
            <w:pPr>
              <w:spacing w:after="120" w:line="240" w:lineRule="auto"/>
              <w:rPr>
                <w:rFonts w:eastAsia="Calibri"/>
                <w:lang w:val="en-GB"/>
              </w:rPr>
            </w:pPr>
            <w:r w:rsidRPr="00E0193B">
              <w:rPr>
                <w:rFonts w:eastAsia="Calibri"/>
                <w:lang w:val="en-GB"/>
              </w:rPr>
              <w:t>On the basis of the RRF investment, the Facility aims at initially providing at least EUR 17 068 511 631 of financing.</w:t>
            </w:r>
          </w:p>
        </w:tc>
        <w:tc>
          <w:tcPr>
            <w:tcW w:w="2020" w:type="pct"/>
            <w:shd w:val="clear" w:color="auto" w:fill="auto"/>
          </w:tcPr>
          <w:p w14:paraId="2F1B9C5E" w14:textId="75CEC940"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FF0000"/>
                <w:lang w:val="en-GB"/>
              </w:rPr>
            </w:pPr>
            <w:r w:rsidRPr="00E0193B">
              <w:rPr>
                <w:rFonts w:eastAsia="Calibri"/>
                <w:color w:val="FF0000"/>
                <w:lang w:val="en-GB"/>
              </w:rPr>
              <w:t>On the basis of the RRF investment, the purpose of the Instrument at the initial stage is to pay out financing in the amount equivalent to the funds contracted in the agreements with the Final Support Recipients.</w:t>
            </w:r>
          </w:p>
          <w:p w14:paraId="514A9864"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FF0000"/>
                <w:lang w:val="en-GB"/>
              </w:rPr>
            </w:pPr>
          </w:p>
        </w:tc>
      </w:tr>
      <w:tr w:rsidR="0049641B" w:rsidRPr="00E0193B" w14:paraId="332A4AEC" w14:textId="77777777" w:rsidTr="008C1B0D">
        <w:tc>
          <w:tcPr>
            <w:tcW w:w="1068" w:type="pct"/>
            <w:vMerge w:val="restart"/>
          </w:tcPr>
          <w:p w14:paraId="6421F4C4" w14:textId="77777777" w:rsidR="0049641B" w:rsidRPr="00E0193B" w:rsidRDefault="0049641B" w:rsidP="0049641B">
            <w:pPr>
              <w:spacing w:after="120" w:line="240" w:lineRule="auto"/>
              <w:jc w:val="left"/>
              <w:rPr>
                <w:rFonts w:eastAsia="Calibri"/>
              </w:rPr>
            </w:pPr>
            <w:r w:rsidRPr="00E0193B">
              <w:rPr>
                <w:rFonts w:eastAsia="Calibri"/>
              </w:rPr>
              <w:t>Opis kamienia milowego lub wskaźnika.</w:t>
            </w:r>
          </w:p>
        </w:tc>
        <w:tc>
          <w:tcPr>
            <w:tcW w:w="1912" w:type="pct"/>
          </w:tcPr>
          <w:p w14:paraId="05B7E5D0"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rPr>
            </w:pPr>
            <w:r w:rsidRPr="00E0193B">
              <w:rPr>
                <w:rFonts w:eastAsia="Calibri"/>
              </w:rPr>
              <w:t>G15L. Ministerstwo zakończyło inwestycję.</w:t>
            </w:r>
          </w:p>
          <w:p w14:paraId="7AF81189"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rPr>
            </w:pPr>
          </w:p>
          <w:p w14:paraId="19C59EB9"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rPr>
            </w:pPr>
            <w:r w:rsidRPr="00E0193B">
              <w:rPr>
                <w:rFonts w:eastAsia="Calibri"/>
              </w:rPr>
              <w:t>Opis każdego kamienia milowego i każdej wartości docelowej: Polska przekaże BGK kwotę 17 103 863 518 EUR na potrzeby Instrumentu.</w:t>
            </w:r>
          </w:p>
        </w:tc>
        <w:tc>
          <w:tcPr>
            <w:tcW w:w="2020" w:type="pct"/>
          </w:tcPr>
          <w:p w14:paraId="4D66CCB0"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rPr>
            </w:pPr>
            <w:r w:rsidRPr="00E0193B">
              <w:rPr>
                <w:rFonts w:eastAsia="Calibri"/>
              </w:rPr>
              <w:t>G15L. Ministerstwo zakończyło inwestycję.</w:t>
            </w:r>
          </w:p>
          <w:p w14:paraId="7BC75F97"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rPr>
            </w:pPr>
          </w:p>
          <w:p w14:paraId="2AAB1406" w14:textId="190B8959"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FF0000"/>
              </w:rPr>
            </w:pPr>
            <w:r w:rsidRPr="00E0193B">
              <w:rPr>
                <w:rFonts w:eastAsia="Calibri"/>
              </w:rPr>
              <w:t xml:space="preserve">Opis każdego kamienia milowego i każdej wartości docelowej: Polska przekaże BGK kwotę </w:t>
            </w:r>
            <w:r w:rsidRPr="00E0193B">
              <w:rPr>
                <w:rFonts w:eastAsia="Calibri"/>
                <w:color w:val="FF0000"/>
              </w:rPr>
              <w:t>środków finansowych stanowiąca równowartość środków zakontraktowanych w umowach z Ostatecznymi Odbiorcami Wsparcia.</w:t>
            </w:r>
          </w:p>
          <w:p w14:paraId="002C00E0"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FF0000"/>
              </w:rPr>
            </w:pPr>
          </w:p>
        </w:tc>
      </w:tr>
      <w:tr w:rsidR="0049641B" w:rsidRPr="00935797" w14:paraId="6115BCAB" w14:textId="77777777" w:rsidTr="008C1B0D">
        <w:tc>
          <w:tcPr>
            <w:tcW w:w="1068" w:type="pct"/>
            <w:vMerge/>
          </w:tcPr>
          <w:p w14:paraId="78890664" w14:textId="77777777" w:rsidR="0049641B" w:rsidRPr="00E0193B" w:rsidRDefault="0049641B" w:rsidP="0049641B">
            <w:pPr>
              <w:spacing w:after="120" w:line="240" w:lineRule="auto"/>
              <w:jc w:val="left"/>
              <w:rPr>
                <w:rFonts w:eastAsia="Calibri"/>
              </w:rPr>
            </w:pPr>
          </w:p>
        </w:tc>
        <w:tc>
          <w:tcPr>
            <w:tcW w:w="1912" w:type="pct"/>
          </w:tcPr>
          <w:p w14:paraId="3BC71D92"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lang w:val="en-US"/>
              </w:rPr>
            </w:pPr>
            <w:r w:rsidRPr="00E0193B">
              <w:rPr>
                <w:rFonts w:eastAsia="Calibri"/>
                <w:lang w:val="en-US"/>
              </w:rPr>
              <w:t>G15L. Ministry has completed the investment.</w:t>
            </w:r>
          </w:p>
          <w:p w14:paraId="60C62B9A"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lang w:val="en-US"/>
              </w:rPr>
            </w:pPr>
          </w:p>
          <w:p w14:paraId="2D838A50"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lang w:val="en-US"/>
              </w:rPr>
            </w:pPr>
            <w:r w:rsidRPr="00E0193B">
              <w:rPr>
                <w:rFonts w:eastAsia="Calibri"/>
                <w:lang w:val="en-US"/>
              </w:rPr>
              <w:t>Description of each milestone and target: Poland shall transfer EUR 17.103.863.518 to BGK for the Facility.</w:t>
            </w:r>
          </w:p>
          <w:p w14:paraId="2A5DF0F6"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lang w:val="en-US"/>
              </w:rPr>
            </w:pPr>
          </w:p>
        </w:tc>
        <w:tc>
          <w:tcPr>
            <w:tcW w:w="2020" w:type="pct"/>
          </w:tcPr>
          <w:p w14:paraId="70F1D54C"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lang w:val="en-US"/>
              </w:rPr>
            </w:pPr>
            <w:r w:rsidRPr="00E0193B">
              <w:rPr>
                <w:rFonts w:eastAsia="Calibri"/>
                <w:lang w:val="en-US"/>
              </w:rPr>
              <w:t>G15L. Ministry has completed the investment.</w:t>
            </w:r>
          </w:p>
          <w:p w14:paraId="0890ACD7"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lang w:val="en-US"/>
              </w:rPr>
            </w:pPr>
          </w:p>
          <w:p w14:paraId="31435AB2" w14:textId="6AA0E0CA"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FF0000"/>
                <w:lang w:val="en-US"/>
              </w:rPr>
            </w:pPr>
            <w:r w:rsidRPr="00E0193B">
              <w:rPr>
                <w:rFonts w:eastAsia="Calibri"/>
                <w:lang w:val="en-US"/>
              </w:rPr>
              <w:t xml:space="preserve">Description of each milestone and target: Poland </w:t>
            </w:r>
            <w:r w:rsidRPr="00E0193B">
              <w:rPr>
                <w:rFonts w:eastAsia="Calibri"/>
                <w:color w:val="FF0000"/>
                <w:lang w:val="en-US"/>
              </w:rPr>
              <w:t xml:space="preserve">will transfer to BGK the amount of funds equivalent to those contracted in agreements with the </w:t>
            </w:r>
            <w:r w:rsidR="00AB5613" w:rsidRPr="00E0193B">
              <w:rPr>
                <w:rFonts w:eastAsia="Calibri"/>
                <w:color w:val="FF0000"/>
                <w:lang w:val="en-US"/>
              </w:rPr>
              <w:t>Final Support</w:t>
            </w:r>
            <w:r w:rsidRPr="00E0193B">
              <w:rPr>
                <w:rFonts w:eastAsia="Calibri"/>
                <w:color w:val="FF0000"/>
                <w:lang w:val="en-US"/>
              </w:rPr>
              <w:t xml:space="preserve"> Recipients</w:t>
            </w:r>
            <w:r w:rsidRPr="00E0193B">
              <w:rPr>
                <w:rFonts w:eastAsia="Calibri"/>
                <w:color w:val="202124"/>
                <w:lang w:val="en-US"/>
              </w:rPr>
              <w:t>.</w:t>
            </w:r>
          </w:p>
          <w:p w14:paraId="7FFB270B"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FF0000"/>
                <w:lang w:val="en-US"/>
              </w:rPr>
            </w:pPr>
          </w:p>
        </w:tc>
      </w:tr>
      <w:tr w:rsidR="0049641B" w:rsidRPr="00E0193B" w14:paraId="40A33E8E" w14:textId="77777777" w:rsidTr="008C1B0D">
        <w:tc>
          <w:tcPr>
            <w:tcW w:w="1068" w:type="pct"/>
          </w:tcPr>
          <w:p w14:paraId="19F3C6B6" w14:textId="77777777" w:rsidR="0049641B" w:rsidRPr="00E0193B" w:rsidRDefault="0049641B" w:rsidP="0049641B">
            <w:pPr>
              <w:spacing w:after="120" w:line="240" w:lineRule="auto"/>
              <w:jc w:val="left"/>
              <w:rPr>
                <w:rFonts w:eastAsia="Calibri"/>
              </w:rPr>
            </w:pPr>
            <w:r w:rsidRPr="00E0193B">
              <w:rPr>
                <w:rFonts w:eastAsia="Calibri"/>
              </w:rPr>
              <w:t>Uzasadnienie</w:t>
            </w:r>
          </w:p>
        </w:tc>
        <w:tc>
          <w:tcPr>
            <w:tcW w:w="3932" w:type="pct"/>
            <w:gridSpan w:val="2"/>
          </w:tcPr>
          <w:p w14:paraId="2FC8A633" w14:textId="77777777" w:rsidR="00622139" w:rsidRDefault="00775988" w:rsidP="00775988">
            <w:pPr>
              <w:spacing w:after="120"/>
              <w:contextualSpacing/>
            </w:pPr>
            <w:r w:rsidRPr="00E0193B">
              <w:t>Proponowana zmiana wynika z dostosowania wysokości transferów przekazywanych do BGK w ramach instrumentu do wartości zakontraktowanych przez BGK środków.</w:t>
            </w:r>
            <w:r w:rsidR="0049641B" w:rsidRPr="00E0193B">
              <w:t xml:space="preserve"> Wartość zakontraktowanych środków finansowych w umowach z Ostatecznymi Odbiorcami Wsparcia </w:t>
            </w:r>
            <w:r w:rsidR="0049641B" w:rsidRPr="00E0193B">
              <w:lastRenderedPageBreak/>
              <w:t>może być niższa niż 100% wartości przyznanego finansowania. Powyższe uzasadnia propozycję, by wskaźnikiem stała się finalna wartość wszystkich podpisanych umów z OOW</w:t>
            </w:r>
            <w:r w:rsidR="008C47BE" w:rsidRPr="00E0193B">
              <w:t xml:space="preserve"> </w:t>
            </w:r>
            <w:r w:rsidR="0049641B" w:rsidRPr="00E0193B">
              <w:t>- podmiotami sektora prywatnego i gospodarstwami domowymi a także podmiotami sektora publicznego, które bezpośrednio ponoszą koszty transformacji energetycznej</w:t>
            </w:r>
            <w:r w:rsidR="007E255E">
              <w:t xml:space="preserve"> (zmiana techniczna (clerical error)</w:t>
            </w:r>
            <w:r w:rsidR="0049641B" w:rsidRPr="00E0193B">
              <w:t>.</w:t>
            </w:r>
            <w:r w:rsidR="007E255E">
              <w:t xml:space="preserve"> </w:t>
            </w:r>
          </w:p>
          <w:p w14:paraId="7107505F" w14:textId="3F9CBFEE" w:rsidR="0049641B" w:rsidRPr="00E0193B" w:rsidRDefault="007E255E" w:rsidP="00775988">
            <w:pPr>
              <w:spacing w:after="120"/>
              <w:contextualSpacing/>
            </w:pPr>
            <w:r>
              <w:t>Alokacja zostaje pom</w:t>
            </w:r>
            <w:r w:rsidR="00622139">
              <w:t>n</w:t>
            </w:r>
            <w:r>
              <w:t xml:space="preserve">ijeszona celem zabezpieczenia </w:t>
            </w:r>
            <w:r w:rsidR="00622139">
              <w:t>wystarczających środków dla realizacji inwestycji E1.1.1. przeniesionej z części grantowej KPO.</w:t>
            </w:r>
          </w:p>
        </w:tc>
      </w:tr>
      <w:tr w:rsidR="0049641B" w:rsidRPr="00E0193B" w14:paraId="4BA11D92" w14:textId="77777777" w:rsidTr="008C1B0D">
        <w:tc>
          <w:tcPr>
            <w:tcW w:w="1068" w:type="pct"/>
          </w:tcPr>
          <w:p w14:paraId="51A392BE" w14:textId="77777777" w:rsidR="0049641B" w:rsidRPr="00E0193B" w:rsidRDefault="0049641B" w:rsidP="0049641B">
            <w:pPr>
              <w:spacing w:after="120" w:line="240" w:lineRule="auto"/>
              <w:jc w:val="left"/>
              <w:rPr>
                <w:rFonts w:eastAsia="Calibri"/>
              </w:rPr>
            </w:pPr>
            <w:r w:rsidRPr="00E0193B">
              <w:rPr>
                <w:rFonts w:eastAsia="Calibri"/>
              </w:rPr>
              <w:lastRenderedPageBreak/>
              <w:t>Szacowany koszt</w:t>
            </w:r>
          </w:p>
        </w:tc>
        <w:tc>
          <w:tcPr>
            <w:tcW w:w="3932" w:type="pct"/>
            <w:gridSpan w:val="2"/>
          </w:tcPr>
          <w:p w14:paraId="29AF197A" w14:textId="47A82C2C" w:rsidR="006E7247" w:rsidRPr="00E0193B" w:rsidRDefault="006E7247" w:rsidP="0049641B">
            <w:pPr>
              <w:spacing w:after="0" w:line="240" w:lineRule="auto"/>
              <w:jc w:val="left"/>
            </w:pPr>
            <w:r w:rsidRPr="00E0193B">
              <w:t>Zmniejszenie o 798 250 000 euro alokacji na inwestycję</w:t>
            </w:r>
            <w:r w:rsidR="0088439A" w:rsidRPr="00E0193B">
              <w:t xml:space="preserve"> ( z 17 068 511 630 euro na 16 270 261 630 euro)</w:t>
            </w:r>
            <w:r w:rsidR="00CB563D" w:rsidRPr="00E0193B">
              <w:t>.</w:t>
            </w:r>
          </w:p>
          <w:p w14:paraId="0B4175F8" w14:textId="71D33457" w:rsidR="0049641B" w:rsidRPr="00E0193B" w:rsidRDefault="0049641B" w:rsidP="0049641B">
            <w:pPr>
              <w:spacing w:after="0" w:line="240" w:lineRule="auto"/>
              <w:jc w:val="left"/>
            </w:pPr>
            <w:r w:rsidRPr="00E0193B">
              <w:t xml:space="preserve">Finalna wartość </w:t>
            </w:r>
            <w:r w:rsidR="006E7247" w:rsidRPr="00E0193B">
              <w:t xml:space="preserve">inwestycji to wartość </w:t>
            </w:r>
            <w:r w:rsidRPr="00E0193B">
              <w:t>wszystkich podpisanych umów z Beneficjentami Końcowymi według stanu na dzień 31 sierpnia 2026r.</w:t>
            </w:r>
          </w:p>
          <w:p w14:paraId="4218C743" w14:textId="73C1E803" w:rsidR="0049641B" w:rsidRPr="00E0193B" w:rsidRDefault="0049641B" w:rsidP="00ED5265">
            <w:pPr>
              <w:spacing w:after="0" w:line="240" w:lineRule="auto"/>
              <w:jc w:val="left"/>
            </w:pPr>
            <w:r w:rsidRPr="00E0193B">
              <w:t>Zmiana może wpływać na wartość części pożyczkowej KPO.</w:t>
            </w:r>
          </w:p>
        </w:tc>
      </w:tr>
      <w:tr w:rsidR="0049641B" w:rsidRPr="00E0193B" w14:paraId="410B7800" w14:textId="77777777" w:rsidTr="008C1B0D">
        <w:tc>
          <w:tcPr>
            <w:tcW w:w="1068" w:type="pct"/>
          </w:tcPr>
          <w:p w14:paraId="7EF847C5" w14:textId="77777777" w:rsidR="0049641B" w:rsidRPr="00E0193B" w:rsidRDefault="0049641B" w:rsidP="0049641B">
            <w:pPr>
              <w:spacing w:after="120" w:line="240" w:lineRule="auto"/>
              <w:jc w:val="left"/>
              <w:rPr>
                <w:rFonts w:eastAsia="Calibri"/>
              </w:rPr>
            </w:pPr>
            <w:r w:rsidRPr="00E0193B">
              <w:rPr>
                <w:rFonts w:eastAsia="Calibri"/>
              </w:rPr>
              <w:t>Cyfrowy i klimatyczny tagging</w:t>
            </w:r>
          </w:p>
        </w:tc>
        <w:tc>
          <w:tcPr>
            <w:tcW w:w="3932" w:type="pct"/>
            <w:gridSpan w:val="2"/>
          </w:tcPr>
          <w:p w14:paraId="15E659B0" w14:textId="77777777" w:rsidR="0049641B" w:rsidRPr="00E0193B" w:rsidRDefault="0049641B" w:rsidP="0049641B">
            <w:pPr>
              <w:spacing w:after="120" w:line="240" w:lineRule="auto"/>
              <w:jc w:val="left"/>
              <w:rPr>
                <w:rFonts w:eastAsia="Calibri"/>
              </w:rPr>
            </w:pPr>
            <w:r w:rsidRPr="00E0193B">
              <w:rPr>
                <w:rFonts w:eastAsia="Calibri"/>
              </w:rPr>
              <w:t>Zmiana nie ma wpływu na tagging klimatyczny i cyfrowy.</w:t>
            </w:r>
          </w:p>
        </w:tc>
      </w:tr>
      <w:tr w:rsidR="0049641B" w:rsidRPr="00E0193B" w14:paraId="3A583FEC" w14:textId="77777777" w:rsidTr="008C1B0D">
        <w:tc>
          <w:tcPr>
            <w:tcW w:w="1068" w:type="pct"/>
            <w:tcBorders>
              <w:bottom w:val="single" w:sz="4" w:space="0" w:color="auto"/>
            </w:tcBorders>
          </w:tcPr>
          <w:p w14:paraId="70076147" w14:textId="77777777" w:rsidR="0049641B" w:rsidRPr="00E0193B" w:rsidRDefault="0049641B" w:rsidP="0049641B">
            <w:pPr>
              <w:spacing w:after="120" w:line="240" w:lineRule="auto"/>
              <w:jc w:val="left"/>
              <w:rPr>
                <w:rFonts w:eastAsia="Calibri"/>
              </w:rPr>
            </w:pPr>
            <w:r w:rsidRPr="00E0193B">
              <w:rPr>
                <w:rFonts w:eastAsia="Calibri"/>
              </w:rPr>
              <w:t xml:space="preserve">Zasada DNSH </w:t>
            </w:r>
          </w:p>
        </w:tc>
        <w:tc>
          <w:tcPr>
            <w:tcW w:w="3932" w:type="pct"/>
            <w:gridSpan w:val="2"/>
            <w:tcBorders>
              <w:bottom w:val="single" w:sz="4" w:space="0" w:color="auto"/>
            </w:tcBorders>
          </w:tcPr>
          <w:p w14:paraId="662BD35B" w14:textId="77777777" w:rsidR="0049641B" w:rsidRPr="00E0193B" w:rsidRDefault="0049641B" w:rsidP="0049641B">
            <w:pPr>
              <w:spacing w:after="120" w:line="240" w:lineRule="auto"/>
              <w:jc w:val="left"/>
              <w:rPr>
                <w:rFonts w:eastAsia="Calibri"/>
              </w:rPr>
            </w:pPr>
            <w:r w:rsidRPr="00E0193B">
              <w:rPr>
                <w:rFonts w:eastAsia="Calibri"/>
              </w:rPr>
              <w:t>Zmiana nie ma wpływu na DNSH.</w:t>
            </w:r>
          </w:p>
        </w:tc>
      </w:tr>
      <w:tr w:rsidR="0049641B" w:rsidRPr="00E0193B" w14:paraId="0600CAEE" w14:textId="77777777" w:rsidTr="008C1B0D">
        <w:tc>
          <w:tcPr>
            <w:tcW w:w="1068" w:type="pct"/>
            <w:tcBorders>
              <w:bottom w:val="single" w:sz="4" w:space="0" w:color="auto"/>
            </w:tcBorders>
          </w:tcPr>
          <w:p w14:paraId="66990FDB" w14:textId="77777777" w:rsidR="0049641B" w:rsidRPr="00E0193B" w:rsidRDefault="0049641B" w:rsidP="0049641B">
            <w:pPr>
              <w:spacing w:after="120" w:line="240" w:lineRule="auto"/>
              <w:jc w:val="left"/>
              <w:rPr>
                <w:rFonts w:eastAsia="Calibri"/>
              </w:rPr>
            </w:pPr>
            <w:r w:rsidRPr="00E0193B">
              <w:rPr>
                <w:rFonts w:eastAsia="Calibri"/>
              </w:rPr>
              <w:t xml:space="preserve">Pomoc publiczna </w:t>
            </w:r>
          </w:p>
        </w:tc>
        <w:tc>
          <w:tcPr>
            <w:tcW w:w="3932" w:type="pct"/>
            <w:gridSpan w:val="2"/>
            <w:tcBorders>
              <w:bottom w:val="single" w:sz="4" w:space="0" w:color="auto"/>
            </w:tcBorders>
          </w:tcPr>
          <w:p w14:paraId="19023D92" w14:textId="77777777" w:rsidR="0049641B" w:rsidRPr="00E0193B" w:rsidRDefault="0049641B" w:rsidP="0049641B">
            <w:pPr>
              <w:spacing w:after="120" w:line="240" w:lineRule="auto"/>
              <w:jc w:val="left"/>
              <w:rPr>
                <w:rFonts w:eastAsia="Calibri"/>
              </w:rPr>
            </w:pPr>
            <w:r w:rsidRPr="00E0193B">
              <w:rPr>
                <w:rFonts w:eastAsia="Calibri"/>
              </w:rPr>
              <w:t>Zmiana nie ma wpływu na pomoc publiczną.</w:t>
            </w:r>
          </w:p>
        </w:tc>
      </w:tr>
      <w:bookmarkEnd w:id="36"/>
    </w:tbl>
    <w:p w14:paraId="6775CB79" w14:textId="77777777" w:rsidR="0049641B" w:rsidRPr="00E0193B" w:rsidRDefault="0049641B" w:rsidP="0049641B">
      <w:pPr>
        <w:spacing w:after="120" w:line="240" w:lineRule="auto"/>
        <w:jc w:val="left"/>
        <w:rPr>
          <w:rFonts w:eastAsia="Calibri"/>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26"/>
        <w:gridCol w:w="3448"/>
        <w:gridCol w:w="3642"/>
      </w:tblGrid>
      <w:tr w:rsidR="0049641B" w:rsidRPr="00E0193B" w14:paraId="4825BA83" w14:textId="77777777" w:rsidTr="008C1B0D">
        <w:tc>
          <w:tcPr>
            <w:tcW w:w="1068" w:type="pct"/>
            <w:shd w:val="clear" w:color="auto" w:fill="auto"/>
          </w:tcPr>
          <w:p w14:paraId="2D0BD7F2" w14:textId="77777777" w:rsidR="0049641B" w:rsidRPr="00E0193B" w:rsidRDefault="0049641B" w:rsidP="0049641B">
            <w:pPr>
              <w:spacing w:after="120" w:line="240" w:lineRule="auto"/>
              <w:jc w:val="left"/>
              <w:rPr>
                <w:rFonts w:eastAsia="Calibri"/>
                <w:b/>
                <w:bCs/>
              </w:rPr>
            </w:pPr>
            <w:r w:rsidRPr="00E0193B">
              <w:rPr>
                <w:rFonts w:eastAsia="Calibri"/>
                <w:b/>
                <w:bCs/>
              </w:rPr>
              <w:t>Numer inwestycji</w:t>
            </w:r>
          </w:p>
        </w:tc>
        <w:tc>
          <w:tcPr>
            <w:tcW w:w="3932" w:type="pct"/>
            <w:gridSpan w:val="2"/>
            <w:shd w:val="clear" w:color="auto" w:fill="auto"/>
          </w:tcPr>
          <w:p w14:paraId="3A682379" w14:textId="6463C507" w:rsidR="0049641B" w:rsidRPr="00E0193B" w:rsidRDefault="0049641B" w:rsidP="0049641B">
            <w:pPr>
              <w:spacing w:after="120"/>
              <w:ind w:left="118"/>
              <w:contextualSpacing/>
              <w:rPr>
                <w:b/>
                <w:bCs/>
              </w:rPr>
            </w:pPr>
            <w:r w:rsidRPr="00E0193B">
              <w:rPr>
                <w:b/>
                <w:bCs/>
              </w:rPr>
              <w:t>G3.1.5</w:t>
            </w:r>
            <w:r w:rsidR="00D63482">
              <w:rPr>
                <w:b/>
                <w:bCs/>
              </w:rPr>
              <w:t>.</w:t>
            </w:r>
          </w:p>
        </w:tc>
      </w:tr>
      <w:tr w:rsidR="0049641B" w:rsidRPr="00E0193B" w14:paraId="74715E77" w14:textId="77777777" w:rsidTr="008C1B0D">
        <w:trPr>
          <w:trHeight w:val="676"/>
        </w:trPr>
        <w:tc>
          <w:tcPr>
            <w:tcW w:w="1068" w:type="pct"/>
            <w:shd w:val="clear" w:color="auto" w:fill="auto"/>
          </w:tcPr>
          <w:p w14:paraId="6A712075" w14:textId="77777777" w:rsidR="0049641B" w:rsidRPr="00E0193B" w:rsidRDefault="0049641B" w:rsidP="0049641B">
            <w:pPr>
              <w:spacing w:after="120"/>
              <w:contextualSpacing/>
              <w:rPr>
                <w:b/>
                <w:bCs/>
              </w:rPr>
            </w:pPr>
            <w:r w:rsidRPr="00E0193B">
              <w:rPr>
                <w:b/>
                <w:bCs/>
              </w:rPr>
              <w:t xml:space="preserve">Nazwa inwestycji </w:t>
            </w:r>
          </w:p>
        </w:tc>
        <w:tc>
          <w:tcPr>
            <w:tcW w:w="3932" w:type="pct"/>
            <w:gridSpan w:val="2"/>
            <w:shd w:val="clear" w:color="auto" w:fill="auto"/>
          </w:tcPr>
          <w:p w14:paraId="10F725CA" w14:textId="77777777" w:rsidR="0049641B" w:rsidRPr="00E0193B" w:rsidRDefault="0049641B" w:rsidP="0049641B">
            <w:pPr>
              <w:spacing w:after="240"/>
              <w:contextualSpacing/>
              <w:rPr>
                <w:b/>
                <w:bCs/>
              </w:rPr>
            </w:pPr>
            <w:r w:rsidRPr="00E0193B">
              <w:rPr>
                <w:b/>
                <w:bCs/>
              </w:rPr>
              <w:t>Budowa morskich farm wiatrowych (Fundusz na rzecz morskiej energetyki wiatrowej).</w:t>
            </w:r>
          </w:p>
        </w:tc>
      </w:tr>
      <w:tr w:rsidR="0049641B" w:rsidRPr="00E0193B" w14:paraId="52224DD1" w14:textId="77777777" w:rsidTr="008C1B0D">
        <w:trPr>
          <w:trHeight w:val="1212"/>
        </w:trPr>
        <w:tc>
          <w:tcPr>
            <w:tcW w:w="1068" w:type="pct"/>
            <w:shd w:val="clear" w:color="auto" w:fill="auto"/>
          </w:tcPr>
          <w:p w14:paraId="3C420240" w14:textId="77777777" w:rsidR="0049641B" w:rsidRPr="00E0193B" w:rsidRDefault="0049641B" w:rsidP="0049641B">
            <w:pPr>
              <w:spacing w:after="120"/>
              <w:ind w:left="67"/>
              <w:contextualSpacing/>
            </w:pPr>
            <w:r w:rsidRPr="00E0193B">
              <w:t>Rodzaj wprowadzonej zmiany w odniesieniu do CID</w:t>
            </w:r>
          </w:p>
        </w:tc>
        <w:tc>
          <w:tcPr>
            <w:tcW w:w="3932" w:type="pct"/>
            <w:gridSpan w:val="2"/>
            <w:shd w:val="clear" w:color="auto" w:fill="auto"/>
          </w:tcPr>
          <w:p w14:paraId="4B5D3760"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rPr>
            </w:pPr>
            <w:r w:rsidRPr="00E0193B">
              <w:rPr>
                <w:rFonts w:eastAsia="Calibri"/>
              </w:rPr>
              <w:t>Modyfikacja opisu inwestycji oraz opisu wskaźnika G19L.</w:t>
            </w:r>
          </w:p>
        </w:tc>
      </w:tr>
      <w:tr w:rsidR="0049641B" w:rsidRPr="00E0193B" w14:paraId="7924B5FD" w14:textId="77777777" w:rsidTr="008C1B0D">
        <w:tc>
          <w:tcPr>
            <w:tcW w:w="1068" w:type="pct"/>
            <w:shd w:val="clear" w:color="auto" w:fill="auto"/>
          </w:tcPr>
          <w:p w14:paraId="09103301" w14:textId="77777777" w:rsidR="0049641B" w:rsidRPr="00E0193B" w:rsidRDefault="0049641B" w:rsidP="0049641B">
            <w:pPr>
              <w:spacing w:after="120"/>
              <w:contextualSpacing/>
            </w:pPr>
            <w:r w:rsidRPr="00E0193B">
              <w:t>Podstawa prawna zmiany</w:t>
            </w:r>
          </w:p>
        </w:tc>
        <w:tc>
          <w:tcPr>
            <w:tcW w:w="3932" w:type="pct"/>
            <w:gridSpan w:val="2"/>
            <w:shd w:val="clear" w:color="auto" w:fill="auto"/>
          </w:tcPr>
          <w:p w14:paraId="4D816C4D" w14:textId="594BBED4" w:rsidR="0049641B" w:rsidRPr="00E0193B" w:rsidRDefault="00622139" w:rsidP="0049641B">
            <w:pPr>
              <w:contextualSpacing/>
            </w:pPr>
            <w:r>
              <w:t>Zmiana techniczna (clerical error)</w:t>
            </w:r>
          </w:p>
        </w:tc>
      </w:tr>
      <w:tr w:rsidR="0049641B" w:rsidRPr="00E0193B" w14:paraId="2C0D5084" w14:textId="77777777" w:rsidTr="0049641B">
        <w:tc>
          <w:tcPr>
            <w:tcW w:w="1068" w:type="pct"/>
            <w:shd w:val="clear" w:color="auto" w:fill="D9D9D9"/>
          </w:tcPr>
          <w:p w14:paraId="106699F5" w14:textId="77777777" w:rsidR="0049641B" w:rsidRPr="00E0193B" w:rsidRDefault="0049641B" w:rsidP="0049641B">
            <w:pPr>
              <w:spacing w:after="120" w:line="240" w:lineRule="auto"/>
              <w:jc w:val="left"/>
              <w:rPr>
                <w:rFonts w:eastAsia="Calibri"/>
              </w:rPr>
            </w:pPr>
            <w:r w:rsidRPr="00E0193B">
              <w:rPr>
                <w:rFonts w:eastAsia="Calibri"/>
              </w:rPr>
              <w:t>Modyfikowany element</w:t>
            </w:r>
          </w:p>
        </w:tc>
        <w:tc>
          <w:tcPr>
            <w:tcW w:w="1912" w:type="pct"/>
            <w:shd w:val="clear" w:color="auto" w:fill="D9D9D9"/>
          </w:tcPr>
          <w:p w14:paraId="4B2D06F9" w14:textId="77777777" w:rsidR="0049641B" w:rsidRPr="00E0193B" w:rsidRDefault="0049641B" w:rsidP="0049641B">
            <w:pPr>
              <w:spacing w:after="120" w:line="240" w:lineRule="auto"/>
              <w:jc w:val="center"/>
              <w:rPr>
                <w:rFonts w:eastAsia="Calibri"/>
              </w:rPr>
            </w:pPr>
            <w:r w:rsidRPr="00E0193B">
              <w:rPr>
                <w:rFonts w:eastAsia="Calibri"/>
              </w:rPr>
              <w:t>Wersja aktualna</w:t>
            </w:r>
          </w:p>
        </w:tc>
        <w:tc>
          <w:tcPr>
            <w:tcW w:w="2020" w:type="pct"/>
            <w:shd w:val="clear" w:color="auto" w:fill="D9D9D9"/>
          </w:tcPr>
          <w:p w14:paraId="1971566D" w14:textId="77777777" w:rsidR="0049641B" w:rsidRPr="00E0193B" w:rsidRDefault="0049641B" w:rsidP="0049641B">
            <w:pPr>
              <w:spacing w:after="120" w:line="240" w:lineRule="auto"/>
              <w:jc w:val="center"/>
              <w:rPr>
                <w:rFonts w:eastAsia="Calibri"/>
                <w:color w:val="002060"/>
              </w:rPr>
            </w:pPr>
            <w:r w:rsidRPr="00622139">
              <w:rPr>
                <w:rFonts w:eastAsia="Calibri"/>
              </w:rPr>
              <w:t>Wersja zmieniona</w:t>
            </w:r>
          </w:p>
        </w:tc>
      </w:tr>
      <w:tr w:rsidR="0049641B" w:rsidRPr="00E0193B" w14:paraId="2A17A3CF" w14:textId="77777777" w:rsidTr="008C1B0D">
        <w:tc>
          <w:tcPr>
            <w:tcW w:w="1068" w:type="pct"/>
            <w:vMerge w:val="restart"/>
            <w:shd w:val="clear" w:color="auto" w:fill="auto"/>
          </w:tcPr>
          <w:p w14:paraId="15D6A548" w14:textId="77777777" w:rsidR="0049641B" w:rsidRPr="00E0193B" w:rsidRDefault="0049641B" w:rsidP="0049641B">
            <w:pPr>
              <w:spacing w:after="120" w:line="240" w:lineRule="auto"/>
              <w:jc w:val="left"/>
              <w:rPr>
                <w:rFonts w:eastAsia="Calibri"/>
              </w:rPr>
            </w:pPr>
            <w:r w:rsidRPr="00E0193B">
              <w:rPr>
                <w:rFonts w:eastAsia="Calibri"/>
              </w:rPr>
              <w:t>Część opisowa inwestycji.</w:t>
            </w:r>
          </w:p>
        </w:tc>
        <w:tc>
          <w:tcPr>
            <w:tcW w:w="1912" w:type="pct"/>
            <w:shd w:val="clear" w:color="auto" w:fill="auto"/>
          </w:tcPr>
          <w:p w14:paraId="668F8003" w14:textId="77777777" w:rsidR="0049641B" w:rsidRPr="00E0193B" w:rsidRDefault="0049641B" w:rsidP="0049641B">
            <w:pPr>
              <w:spacing w:after="0" w:line="240" w:lineRule="auto"/>
              <w:rPr>
                <w:rFonts w:eastAsia="Calibri"/>
              </w:rPr>
            </w:pPr>
            <w:r w:rsidRPr="00E0193B">
              <w:rPr>
                <w:rFonts w:eastAsia="Calibri"/>
              </w:rPr>
              <w:t>Na podstawie inwestycji w ramach RRF celem Instrumentu na początkowym etapie jest wypłacenie finansowania w wysokości co najmniej 4 785 000 000 EUR.</w:t>
            </w:r>
          </w:p>
        </w:tc>
        <w:tc>
          <w:tcPr>
            <w:tcW w:w="2020" w:type="pct"/>
            <w:shd w:val="clear" w:color="auto" w:fill="auto"/>
          </w:tcPr>
          <w:p w14:paraId="2A2EF085" w14:textId="2BAC3693"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FF0000"/>
              </w:rPr>
            </w:pPr>
            <w:r w:rsidRPr="00E0193B">
              <w:rPr>
                <w:rFonts w:eastAsia="Calibri"/>
              </w:rPr>
              <w:t xml:space="preserve">Na podstawie inwestycji w ramach RRF celem Instrumentu na początkowym etapie jest wypłacenie finansowania w wysokości </w:t>
            </w:r>
            <w:r w:rsidRPr="00E0193B">
              <w:rPr>
                <w:rFonts w:eastAsia="Calibri"/>
                <w:color w:val="FF0000"/>
              </w:rPr>
              <w:t>stanowiącej równowartość środków zakontraktowanych w umowach z Ostatecznymi Odbiorcami Wsparcia.</w:t>
            </w:r>
          </w:p>
          <w:p w14:paraId="65CDFAB3" w14:textId="77777777" w:rsidR="0049641B" w:rsidRPr="00E0193B" w:rsidRDefault="0049641B" w:rsidP="0049641B">
            <w:pPr>
              <w:spacing w:after="0" w:line="240" w:lineRule="auto"/>
              <w:rPr>
                <w:rFonts w:eastAsia="Calibri"/>
                <w:color w:val="FF0000"/>
              </w:rPr>
            </w:pPr>
          </w:p>
        </w:tc>
      </w:tr>
      <w:tr w:rsidR="0049641B" w:rsidRPr="00E0193B" w14:paraId="377ED813" w14:textId="77777777" w:rsidTr="008C1B0D">
        <w:tc>
          <w:tcPr>
            <w:tcW w:w="1068" w:type="pct"/>
            <w:vMerge/>
            <w:shd w:val="clear" w:color="auto" w:fill="auto"/>
          </w:tcPr>
          <w:p w14:paraId="67F3FC8F" w14:textId="77777777" w:rsidR="0049641B" w:rsidRPr="00E0193B" w:rsidRDefault="0049641B" w:rsidP="0049641B">
            <w:pPr>
              <w:spacing w:after="120" w:line="240" w:lineRule="auto"/>
              <w:jc w:val="left"/>
              <w:rPr>
                <w:rFonts w:eastAsia="Calibri"/>
              </w:rPr>
            </w:pPr>
          </w:p>
        </w:tc>
        <w:tc>
          <w:tcPr>
            <w:tcW w:w="1912" w:type="pct"/>
            <w:shd w:val="clear" w:color="auto" w:fill="auto"/>
          </w:tcPr>
          <w:p w14:paraId="162CFB47" w14:textId="77777777" w:rsidR="0049641B" w:rsidRPr="00E0193B" w:rsidRDefault="0049641B" w:rsidP="0049641B">
            <w:pPr>
              <w:spacing w:after="0" w:line="240" w:lineRule="auto"/>
              <w:rPr>
                <w:rFonts w:eastAsia="Calibri"/>
              </w:rPr>
            </w:pPr>
            <w:r w:rsidRPr="00E0193B">
              <w:rPr>
                <w:rFonts w:eastAsia="Calibri"/>
              </w:rPr>
              <w:t>Wymogi dotyczące inwestycji w dziedzinie klimatu realizowanych przez partnera wykonawczego: 4 785 000 000 EUR z inwestycji RRF w Instrument przyczyni się do realizacji celów związanych ze zmianą klimatu zgodnie z załącznikiem VI do rozporządzenia w sprawie RRF.</w:t>
            </w:r>
          </w:p>
          <w:p w14:paraId="56B099E6" w14:textId="77777777" w:rsidR="0049641B" w:rsidRPr="00E0193B" w:rsidRDefault="0049641B" w:rsidP="0049641B">
            <w:pPr>
              <w:spacing w:after="0" w:line="240" w:lineRule="auto"/>
              <w:rPr>
                <w:rFonts w:eastAsia="Calibri"/>
              </w:rPr>
            </w:pPr>
          </w:p>
        </w:tc>
        <w:tc>
          <w:tcPr>
            <w:tcW w:w="2020" w:type="pct"/>
            <w:shd w:val="clear" w:color="auto" w:fill="auto"/>
          </w:tcPr>
          <w:p w14:paraId="500CF4DB" w14:textId="08B676B4"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rPr>
            </w:pPr>
            <w:r w:rsidRPr="00E0193B">
              <w:rPr>
                <w:rFonts w:eastAsia="Calibri"/>
              </w:rPr>
              <w:t xml:space="preserve">Wymogi dotyczące inwestycji w dziedzinie klimatu realizowanych przez partnera wykonawczego: </w:t>
            </w:r>
            <w:r w:rsidRPr="00E0193B">
              <w:rPr>
                <w:rFonts w:eastAsia="Calibri"/>
                <w:color w:val="FF0000"/>
              </w:rPr>
              <w:t xml:space="preserve">równowartość środków zakontraktowanych w umowach z Ostatecznymi Odbiorcami Wsparcia </w:t>
            </w:r>
            <w:r w:rsidRPr="00E0193B">
              <w:rPr>
                <w:rFonts w:eastAsia="Calibri"/>
              </w:rPr>
              <w:t>z inwestycji RRF w Instrument przyczyni się do realizacji celów związanych ze zmianą klimatu zgodnie z załącznikiem VI do rozporządzenia w sprawie RRF.</w:t>
            </w:r>
          </w:p>
          <w:p w14:paraId="1C1A4968"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rPr>
            </w:pPr>
          </w:p>
        </w:tc>
      </w:tr>
      <w:tr w:rsidR="0049641B" w:rsidRPr="00935797" w14:paraId="5C699CD9" w14:textId="77777777" w:rsidTr="008C1B0D">
        <w:tc>
          <w:tcPr>
            <w:tcW w:w="1068" w:type="pct"/>
            <w:vMerge w:val="restart"/>
            <w:shd w:val="clear" w:color="auto" w:fill="auto"/>
          </w:tcPr>
          <w:p w14:paraId="18341AB6" w14:textId="77777777" w:rsidR="0049641B" w:rsidRPr="00E0193B" w:rsidRDefault="0049641B" w:rsidP="0049641B">
            <w:pPr>
              <w:spacing w:after="120" w:line="240" w:lineRule="auto"/>
              <w:jc w:val="left"/>
              <w:rPr>
                <w:rFonts w:eastAsia="Calibri"/>
              </w:rPr>
            </w:pPr>
          </w:p>
        </w:tc>
        <w:tc>
          <w:tcPr>
            <w:tcW w:w="1912" w:type="pct"/>
            <w:shd w:val="clear" w:color="auto" w:fill="auto"/>
          </w:tcPr>
          <w:p w14:paraId="21F16860" w14:textId="77777777" w:rsidR="0049641B" w:rsidRPr="00E0193B" w:rsidRDefault="0049641B" w:rsidP="0049641B">
            <w:pPr>
              <w:spacing w:after="120" w:line="240" w:lineRule="auto"/>
              <w:rPr>
                <w:rFonts w:eastAsia="Calibri"/>
                <w:lang w:val="en-GB"/>
              </w:rPr>
            </w:pPr>
            <w:r w:rsidRPr="00E0193B">
              <w:rPr>
                <w:rFonts w:eastAsia="Calibri"/>
                <w:lang w:val="en-GB"/>
              </w:rPr>
              <w:t>On the basis of the RRF investment, the Facility aims at initially providing at least EUR 4 785 000 000 of financing.</w:t>
            </w:r>
          </w:p>
        </w:tc>
        <w:tc>
          <w:tcPr>
            <w:tcW w:w="2020" w:type="pct"/>
            <w:shd w:val="clear" w:color="auto" w:fill="auto"/>
          </w:tcPr>
          <w:p w14:paraId="453DDD74" w14:textId="5AF48DF0"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FF0000"/>
                <w:lang w:val="en-GB"/>
              </w:rPr>
            </w:pPr>
            <w:r w:rsidRPr="00E0193B">
              <w:rPr>
                <w:rFonts w:eastAsia="Calibri"/>
                <w:lang w:val="en-GB"/>
              </w:rPr>
              <w:t xml:space="preserve">On the basis of the RRF investment, </w:t>
            </w:r>
            <w:r w:rsidRPr="00E0193B">
              <w:rPr>
                <w:rFonts w:eastAsia="Calibri"/>
                <w:color w:val="FF0000"/>
                <w:lang w:val="en-GB"/>
              </w:rPr>
              <w:t>the purpose of the Instrument at the initial stage is to pay out financing in the amount equivalent to the funds contracted in the agreements with the Final Support Recipients.</w:t>
            </w:r>
          </w:p>
          <w:p w14:paraId="716575EB"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FF0000"/>
                <w:lang w:val="en-GB"/>
              </w:rPr>
            </w:pPr>
          </w:p>
        </w:tc>
      </w:tr>
      <w:tr w:rsidR="0049641B" w:rsidRPr="00935797" w14:paraId="04EAC81B" w14:textId="77777777" w:rsidTr="008C1B0D">
        <w:tc>
          <w:tcPr>
            <w:tcW w:w="1068" w:type="pct"/>
            <w:vMerge/>
            <w:shd w:val="clear" w:color="auto" w:fill="auto"/>
          </w:tcPr>
          <w:p w14:paraId="5AB32100" w14:textId="77777777" w:rsidR="0049641B" w:rsidRPr="00E0193B" w:rsidRDefault="0049641B" w:rsidP="0049641B">
            <w:pPr>
              <w:spacing w:after="120" w:line="240" w:lineRule="auto"/>
              <w:jc w:val="left"/>
              <w:rPr>
                <w:rFonts w:eastAsia="Calibri"/>
                <w:lang w:val="en-GB"/>
              </w:rPr>
            </w:pPr>
          </w:p>
        </w:tc>
        <w:tc>
          <w:tcPr>
            <w:tcW w:w="1912" w:type="pct"/>
            <w:shd w:val="clear" w:color="auto" w:fill="auto"/>
          </w:tcPr>
          <w:p w14:paraId="2505D39E" w14:textId="77777777" w:rsidR="0049641B" w:rsidRPr="00E0193B" w:rsidRDefault="0049641B" w:rsidP="0049641B">
            <w:pPr>
              <w:spacing w:after="0" w:line="240" w:lineRule="auto"/>
              <w:rPr>
                <w:rFonts w:eastAsia="Calibri"/>
                <w:lang w:val="en-GB"/>
              </w:rPr>
            </w:pPr>
            <w:r w:rsidRPr="00E0193B">
              <w:rPr>
                <w:rFonts w:eastAsia="Calibri"/>
                <w:lang w:val="en-GB"/>
              </w:rPr>
              <w:t>Requirements for climate investments carried out by the implementing partner: EUR 4 785 000 000 of the RRF investment into the Facility shall contribute to the climate change objectives in accordance with Annex VI to the RRF Regulation.</w:t>
            </w:r>
          </w:p>
          <w:p w14:paraId="6B942D56" w14:textId="77777777" w:rsidR="0049641B" w:rsidRPr="00E0193B" w:rsidRDefault="0049641B" w:rsidP="0049641B">
            <w:pPr>
              <w:spacing w:after="0" w:line="240" w:lineRule="auto"/>
              <w:rPr>
                <w:rFonts w:eastAsia="Calibri"/>
                <w:lang w:val="en-GB"/>
              </w:rPr>
            </w:pPr>
          </w:p>
        </w:tc>
        <w:tc>
          <w:tcPr>
            <w:tcW w:w="2020" w:type="pct"/>
            <w:shd w:val="clear" w:color="auto" w:fill="auto"/>
          </w:tcPr>
          <w:p w14:paraId="2E9C2D63" w14:textId="72F61304" w:rsidR="0049641B" w:rsidRPr="00E0193B" w:rsidRDefault="0049641B" w:rsidP="0049641B">
            <w:pPr>
              <w:spacing w:after="0" w:line="240" w:lineRule="auto"/>
              <w:rPr>
                <w:rFonts w:eastAsia="Calibri"/>
                <w:lang w:val="en-GB"/>
              </w:rPr>
            </w:pPr>
            <w:r w:rsidRPr="00E0193B">
              <w:rPr>
                <w:rFonts w:eastAsia="Calibri"/>
                <w:lang w:val="en-GB"/>
              </w:rPr>
              <w:t xml:space="preserve">Requirements for climate investments carried out by the implementing partner: </w:t>
            </w:r>
            <w:r w:rsidRPr="00E0193B">
              <w:rPr>
                <w:rFonts w:eastAsia="Calibri"/>
                <w:color w:val="FF0000"/>
                <w:lang w:val="en-GB"/>
              </w:rPr>
              <w:t>the equivalent of funds contracted in agreements with Final Support Recipients</w:t>
            </w:r>
            <w:r w:rsidR="00B10A9F" w:rsidRPr="00E0193B">
              <w:rPr>
                <w:rFonts w:eastAsia="Calibri"/>
                <w:color w:val="FF0000"/>
                <w:lang w:val="en-GB"/>
              </w:rPr>
              <w:t xml:space="preserve"> </w:t>
            </w:r>
            <w:r w:rsidRPr="00E0193B">
              <w:rPr>
                <w:rFonts w:eastAsia="Calibri"/>
                <w:lang w:val="en-GB"/>
              </w:rPr>
              <w:t>of the RRF investment into the Facility shall contribute to the climate change objectives in accordance with Annex VI to the RRF Regulation.</w:t>
            </w:r>
          </w:p>
          <w:p w14:paraId="3885ED3B"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lang w:val="en-GB"/>
              </w:rPr>
            </w:pPr>
          </w:p>
        </w:tc>
      </w:tr>
      <w:tr w:rsidR="0049641B" w:rsidRPr="00E0193B" w14:paraId="75BA2DCE" w14:textId="77777777" w:rsidTr="008C1B0D">
        <w:tc>
          <w:tcPr>
            <w:tcW w:w="1068" w:type="pct"/>
            <w:vMerge w:val="restart"/>
          </w:tcPr>
          <w:p w14:paraId="3E0B54DA" w14:textId="77777777" w:rsidR="0049641B" w:rsidRPr="00E0193B" w:rsidRDefault="0049641B" w:rsidP="0049641B">
            <w:pPr>
              <w:spacing w:after="120" w:line="240" w:lineRule="auto"/>
              <w:jc w:val="left"/>
              <w:rPr>
                <w:rFonts w:eastAsia="Calibri"/>
              </w:rPr>
            </w:pPr>
            <w:r w:rsidRPr="00E0193B">
              <w:rPr>
                <w:rFonts w:eastAsia="Calibri"/>
              </w:rPr>
              <w:t>Opis kamienia milowego lub wskaźnika.</w:t>
            </w:r>
          </w:p>
        </w:tc>
        <w:tc>
          <w:tcPr>
            <w:tcW w:w="1912" w:type="pct"/>
          </w:tcPr>
          <w:p w14:paraId="53C30D01"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rPr>
            </w:pPr>
            <w:r w:rsidRPr="00E0193B">
              <w:rPr>
                <w:rFonts w:eastAsia="Calibri"/>
              </w:rPr>
              <w:t>G19L. Ministerstwo zakończyło inwestycję.</w:t>
            </w:r>
          </w:p>
          <w:p w14:paraId="7CD6C915"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rPr>
            </w:pPr>
          </w:p>
          <w:p w14:paraId="56ED3625"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rPr>
            </w:pPr>
            <w:r w:rsidRPr="00E0193B">
              <w:rPr>
                <w:rFonts w:eastAsia="Calibri"/>
              </w:rPr>
              <w:t>Opis każdego kamienia milowego i każdej wartości docelowej: Polska przekaże BGK kwotę 4 785 000 000 EUR na potrzeby Instrumentu.</w:t>
            </w:r>
          </w:p>
        </w:tc>
        <w:tc>
          <w:tcPr>
            <w:tcW w:w="2020" w:type="pct"/>
          </w:tcPr>
          <w:p w14:paraId="65430BAC"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rPr>
            </w:pPr>
            <w:r w:rsidRPr="00E0193B">
              <w:rPr>
                <w:rFonts w:eastAsia="Calibri"/>
              </w:rPr>
              <w:t>G19L. Ministerstwo zakończyło inwestycję.</w:t>
            </w:r>
          </w:p>
          <w:p w14:paraId="5823A458"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rPr>
            </w:pPr>
          </w:p>
          <w:p w14:paraId="6A649C28" w14:textId="654470B2"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FF0000"/>
              </w:rPr>
            </w:pPr>
            <w:r w:rsidRPr="00E0193B">
              <w:rPr>
                <w:rFonts w:eastAsia="Calibri"/>
              </w:rPr>
              <w:t xml:space="preserve">Opis każdego kamienia milowego i każdej wartości docelowej: Polska przekaże BGK kwotę </w:t>
            </w:r>
            <w:r w:rsidRPr="00E0193B">
              <w:rPr>
                <w:rFonts w:eastAsia="Calibri"/>
                <w:color w:val="FF0000"/>
              </w:rPr>
              <w:t>środków finansowych stanowiąca równowartość środków zakontraktowanych w umowach z Ostatecznymi Odbiorcami Wsparcia.</w:t>
            </w:r>
          </w:p>
          <w:p w14:paraId="30C7A2B8"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rPr>
            </w:pPr>
          </w:p>
        </w:tc>
      </w:tr>
      <w:tr w:rsidR="0049641B" w:rsidRPr="00935797" w14:paraId="77EA6B51" w14:textId="77777777" w:rsidTr="008C1B0D">
        <w:tc>
          <w:tcPr>
            <w:tcW w:w="1068" w:type="pct"/>
            <w:vMerge/>
          </w:tcPr>
          <w:p w14:paraId="027C2430" w14:textId="77777777" w:rsidR="0049641B" w:rsidRPr="00E0193B" w:rsidRDefault="0049641B" w:rsidP="0049641B">
            <w:pPr>
              <w:spacing w:after="120" w:line="240" w:lineRule="auto"/>
              <w:jc w:val="left"/>
              <w:rPr>
                <w:rFonts w:eastAsia="Calibri"/>
              </w:rPr>
            </w:pPr>
          </w:p>
        </w:tc>
        <w:tc>
          <w:tcPr>
            <w:tcW w:w="1912" w:type="pct"/>
          </w:tcPr>
          <w:p w14:paraId="6F84EBB9"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lang w:val="en-US"/>
              </w:rPr>
            </w:pPr>
            <w:r w:rsidRPr="00E0193B">
              <w:rPr>
                <w:rFonts w:eastAsia="Calibri"/>
                <w:lang w:val="en-US"/>
              </w:rPr>
              <w:t>G19L. Ministry has completed the investment.</w:t>
            </w:r>
          </w:p>
          <w:p w14:paraId="59541171"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lang w:val="en-US"/>
              </w:rPr>
            </w:pPr>
          </w:p>
          <w:p w14:paraId="092E08ED"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lang w:val="en-US"/>
              </w:rPr>
            </w:pPr>
            <w:r w:rsidRPr="00E0193B">
              <w:rPr>
                <w:rFonts w:eastAsia="Calibri"/>
                <w:lang w:val="en-US"/>
              </w:rPr>
              <w:t>Description of each milestone and target:</w:t>
            </w:r>
            <w:r w:rsidRPr="00E0193B">
              <w:rPr>
                <w:rFonts w:eastAsia="Calibri"/>
                <w:lang w:val="en-GB"/>
              </w:rPr>
              <w:t xml:space="preserve"> </w:t>
            </w:r>
            <w:r w:rsidRPr="00E0193B">
              <w:rPr>
                <w:rFonts w:eastAsia="Calibri"/>
                <w:lang w:val="en-US"/>
              </w:rPr>
              <w:t>Poland shall transfer EUR 4 785 000 000 to BGK for the Facility.</w:t>
            </w:r>
          </w:p>
        </w:tc>
        <w:tc>
          <w:tcPr>
            <w:tcW w:w="2020" w:type="pct"/>
          </w:tcPr>
          <w:p w14:paraId="46191CA7"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lang w:val="en-US"/>
              </w:rPr>
            </w:pPr>
            <w:r w:rsidRPr="00E0193B">
              <w:rPr>
                <w:rFonts w:eastAsia="Calibri"/>
                <w:lang w:val="en-US"/>
              </w:rPr>
              <w:t>G19L. Ministry has completed the investment.</w:t>
            </w:r>
          </w:p>
          <w:p w14:paraId="4C6D011E"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lang w:val="en-US"/>
              </w:rPr>
            </w:pPr>
          </w:p>
          <w:p w14:paraId="0CD0BC8F" w14:textId="0DA43A6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FF0000"/>
                <w:lang w:val="en-US"/>
              </w:rPr>
            </w:pPr>
            <w:r w:rsidRPr="00E0193B">
              <w:rPr>
                <w:rFonts w:eastAsia="Calibri"/>
                <w:lang w:val="en-US"/>
              </w:rPr>
              <w:t xml:space="preserve">Description of each milestone and target: Poland </w:t>
            </w:r>
            <w:r w:rsidRPr="00E0193B">
              <w:rPr>
                <w:rFonts w:eastAsia="Calibri"/>
                <w:color w:val="FF0000"/>
                <w:lang w:val="en-US"/>
              </w:rPr>
              <w:t xml:space="preserve">will transfer to BGK the amount of funds equivalent to those contracted in agreements with the </w:t>
            </w:r>
            <w:r w:rsidR="00AB5613" w:rsidRPr="00E0193B">
              <w:rPr>
                <w:rFonts w:eastAsia="Calibri"/>
                <w:color w:val="FF0000"/>
                <w:lang w:val="en-US"/>
              </w:rPr>
              <w:t>Final Support</w:t>
            </w:r>
            <w:r w:rsidRPr="00E0193B">
              <w:rPr>
                <w:rFonts w:eastAsia="Calibri"/>
                <w:color w:val="FF0000"/>
                <w:lang w:val="en-US"/>
              </w:rPr>
              <w:t xml:space="preserve"> Recipients.</w:t>
            </w:r>
          </w:p>
          <w:p w14:paraId="3EDE7990" w14:textId="77777777" w:rsidR="0049641B" w:rsidRPr="00E0193B" w:rsidRDefault="0049641B" w:rsidP="00496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Calibri"/>
                <w:color w:val="202124"/>
                <w:lang w:val="en-US"/>
              </w:rPr>
            </w:pPr>
          </w:p>
        </w:tc>
      </w:tr>
      <w:tr w:rsidR="0049641B" w:rsidRPr="00E0193B" w14:paraId="5B4C5F76" w14:textId="77777777" w:rsidTr="008C1B0D">
        <w:tc>
          <w:tcPr>
            <w:tcW w:w="1068" w:type="pct"/>
          </w:tcPr>
          <w:p w14:paraId="7723F2BE" w14:textId="77777777" w:rsidR="0049641B" w:rsidRPr="00E0193B" w:rsidRDefault="0049641B" w:rsidP="0049641B">
            <w:pPr>
              <w:spacing w:after="120" w:line="240" w:lineRule="auto"/>
              <w:jc w:val="left"/>
              <w:rPr>
                <w:rFonts w:eastAsia="Calibri"/>
              </w:rPr>
            </w:pPr>
            <w:r w:rsidRPr="00E0193B">
              <w:rPr>
                <w:rFonts w:eastAsia="Calibri"/>
              </w:rPr>
              <w:t>Uzasadnienie</w:t>
            </w:r>
          </w:p>
        </w:tc>
        <w:tc>
          <w:tcPr>
            <w:tcW w:w="3932" w:type="pct"/>
            <w:gridSpan w:val="2"/>
          </w:tcPr>
          <w:p w14:paraId="392447A7" w14:textId="5D8D1779" w:rsidR="0049641B" w:rsidRPr="00E0193B" w:rsidRDefault="0049641B" w:rsidP="0049641B">
            <w:pPr>
              <w:spacing w:after="120"/>
              <w:contextualSpacing/>
            </w:pPr>
            <w:r w:rsidRPr="00E0193B">
              <w:t xml:space="preserve">Proponowana zmiana wynika z </w:t>
            </w:r>
            <w:r w:rsidR="00AB5613" w:rsidRPr="00E0193B">
              <w:t>dostosowania wysokości transferów przekazywanych do BGK w ramach instrumentu do wartości zakontraktowanych przez BGK środków.</w:t>
            </w:r>
            <w:r w:rsidRPr="00E0193B">
              <w:t xml:space="preserve"> Wartość zakontraktowanych środków finansowych w umowach z Ostatecznymi Odbiorcami Wsparcia może być niższa niż 100% wartości przyznanego finansowania, tj. kwoty 4 785 000 000 EUR. Powyższe uzasadnia propozycję, by wskaźnikiem stała się finalna wartość wszystkich podpisanych umów z OOW</w:t>
            </w:r>
            <w:r w:rsidR="001E35AA" w:rsidRPr="00E0193B">
              <w:t xml:space="preserve"> </w:t>
            </w:r>
            <w:r w:rsidRPr="00E0193B">
              <w:t>– podmiotami sektora prywatnego (prywatnymi przedsiębiorstwami produkującymi lub zamierzającymi produkować energię elektryczną z morskiej energii wiatrowej w morskich farmach wiatrowych) a także podmiotami sektora publicznego prowadzącymi podobną działalność.</w:t>
            </w:r>
          </w:p>
          <w:p w14:paraId="12C99B02" w14:textId="77777777" w:rsidR="0049641B" w:rsidRPr="00E0193B" w:rsidRDefault="0049641B" w:rsidP="0049641B">
            <w:pPr>
              <w:spacing w:after="0"/>
              <w:contextualSpacing/>
            </w:pPr>
          </w:p>
        </w:tc>
      </w:tr>
      <w:tr w:rsidR="0049641B" w:rsidRPr="00E0193B" w14:paraId="3E5015C7" w14:textId="77777777" w:rsidTr="008C1B0D">
        <w:tc>
          <w:tcPr>
            <w:tcW w:w="1068" w:type="pct"/>
          </w:tcPr>
          <w:p w14:paraId="1BF71380" w14:textId="77777777" w:rsidR="0049641B" w:rsidRPr="00E0193B" w:rsidRDefault="0049641B" w:rsidP="0049641B">
            <w:pPr>
              <w:spacing w:after="120" w:line="240" w:lineRule="auto"/>
              <w:jc w:val="left"/>
              <w:rPr>
                <w:rFonts w:eastAsia="Calibri"/>
              </w:rPr>
            </w:pPr>
            <w:r w:rsidRPr="00E0193B">
              <w:rPr>
                <w:rFonts w:eastAsia="Calibri"/>
              </w:rPr>
              <w:t>Szacowany koszt</w:t>
            </w:r>
          </w:p>
        </w:tc>
        <w:tc>
          <w:tcPr>
            <w:tcW w:w="3932" w:type="pct"/>
            <w:gridSpan w:val="2"/>
          </w:tcPr>
          <w:p w14:paraId="70B3E2F9" w14:textId="08CA5EBE" w:rsidR="0049641B" w:rsidRPr="00E0193B" w:rsidRDefault="0049641B" w:rsidP="0049641B">
            <w:pPr>
              <w:spacing w:after="0" w:line="240" w:lineRule="auto"/>
              <w:jc w:val="left"/>
            </w:pPr>
            <w:r w:rsidRPr="00E0193B">
              <w:t>Finalna wartość wszystkich podpisanych umów z Beneficjentami Końcowymi według stanu na dzień 31 sierpnia 2026r.</w:t>
            </w:r>
            <w:r w:rsidR="00B10A9F" w:rsidRPr="00E0193B">
              <w:rPr>
                <w:rFonts w:eastAsia="Calibri"/>
                <w:color w:val="FF0000"/>
              </w:rPr>
              <w:t xml:space="preserve"> </w:t>
            </w:r>
          </w:p>
          <w:p w14:paraId="4017639E" w14:textId="77777777" w:rsidR="0049641B" w:rsidRPr="00E0193B" w:rsidRDefault="0049641B" w:rsidP="0049641B">
            <w:pPr>
              <w:spacing w:after="0" w:line="240" w:lineRule="auto"/>
              <w:jc w:val="left"/>
            </w:pPr>
            <w:r w:rsidRPr="00E0193B">
              <w:t>Zmiana może wpływać na wartość części pożyczkowej KPO.</w:t>
            </w:r>
          </w:p>
          <w:p w14:paraId="75399D2F" w14:textId="77777777" w:rsidR="0049641B" w:rsidRPr="00E0193B" w:rsidRDefault="0049641B" w:rsidP="00ED5265">
            <w:pPr>
              <w:spacing w:after="0" w:line="240" w:lineRule="auto"/>
              <w:jc w:val="left"/>
            </w:pPr>
          </w:p>
        </w:tc>
      </w:tr>
      <w:tr w:rsidR="0049641B" w:rsidRPr="00E0193B" w14:paraId="5856C6EF" w14:textId="77777777" w:rsidTr="008C1B0D">
        <w:tc>
          <w:tcPr>
            <w:tcW w:w="1068" w:type="pct"/>
          </w:tcPr>
          <w:p w14:paraId="216036F5" w14:textId="77777777" w:rsidR="0049641B" w:rsidRPr="00E0193B" w:rsidRDefault="0049641B" w:rsidP="0049641B">
            <w:pPr>
              <w:spacing w:after="120" w:line="240" w:lineRule="auto"/>
              <w:jc w:val="left"/>
              <w:rPr>
                <w:rFonts w:eastAsia="Calibri"/>
              </w:rPr>
            </w:pPr>
            <w:r w:rsidRPr="00E0193B">
              <w:rPr>
                <w:rFonts w:eastAsia="Calibri"/>
              </w:rPr>
              <w:lastRenderedPageBreak/>
              <w:t>Cyfrowy i klimatyczny tagging</w:t>
            </w:r>
          </w:p>
        </w:tc>
        <w:tc>
          <w:tcPr>
            <w:tcW w:w="3932" w:type="pct"/>
            <w:gridSpan w:val="2"/>
          </w:tcPr>
          <w:p w14:paraId="0329094F" w14:textId="77777777" w:rsidR="0049641B" w:rsidRPr="00E0193B" w:rsidRDefault="0049641B" w:rsidP="0049641B">
            <w:pPr>
              <w:spacing w:after="120" w:line="240" w:lineRule="auto"/>
              <w:jc w:val="left"/>
              <w:rPr>
                <w:rFonts w:eastAsia="Calibri"/>
              </w:rPr>
            </w:pPr>
            <w:r w:rsidRPr="00E0193B">
              <w:rPr>
                <w:rFonts w:eastAsia="Calibri"/>
              </w:rPr>
              <w:t>Zmiana nie ma wpływu na tagging klimatyczny i cyfrowy</w:t>
            </w:r>
          </w:p>
        </w:tc>
      </w:tr>
      <w:tr w:rsidR="0049641B" w:rsidRPr="00E0193B" w14:paraId="58797178" w14:textId="77777777" w:rsidTr="008C1B0D">
        <w:tc>
          <w:tcPr>
            <w:tcW w:w="1068" w:type="pct"/>
            <w:tcBorders>
              <w:bottom w:val="single" w:sz="4" w:space="0" w:color="auto"/>
            </w:tcBorders>
          </w:tcPr>
          <w:p w14:paraId="141A9140" w14:textId="77777777" w:rsidR="0049641B" w:rsidRPr="00E0193B" w:rsidRDefault="0049641B" w:rsidP="0049641B">
            <w:pPr>
              <w:spacing w:after="120" w:line="240" w:lineRule="auto"/>
              <w:jc w:val="left"/>
              <w:rPr>
                <w:rFonts w:eastAsia="Calibri"/>
              </w:rPr>
            </w:pPr>
            <w:r w:rsidRPr="00E0193B">
              <w:rPr>
                <w:rFonts w:eastAsia="Calibri"/>
              </w:rPr>
              <w:t xml:space="preserve">Zasada DNSH </w:t>
            </w:r>
          </w:p>
        </w:tc>
        <w:tc>
          <w:tcPr>
            <w:tcW w:w="3932" w:type="pct"/>
            <w:gridSpan w:val="2"/>
            <w:tcBorders>
              <w:bottom w:val="single" w:sz="4" w:space="0" w:color="auto"/>
            </w:tcBorders>
          </w:tcPr>
          <w:p w14:paraId="5A43073C" w14:textId="77777777" w:rsidR="0049641B" w:rsidRPr="00E0193B" w:rsidRDefault="0049641B" w:rsidP="0049641B">
            <w:pPr>
              <w:spacing w:after="120" w:line="240" w:lineRule="auto"/>
              <w:jc w:val="left"/>
              <w:rPr>
                <w:rFonts w:eastAsia="Calibri"/>
              </w:rPr>
            </w:pPr>
            <w:r w:rsidRPr="00E0193B">
              <w:rPr>
                <w:rFonts w:eastAsia="Calibri"/>
              </w:rPr>
              <w:t>Zmiana nie ma wpływu na DNSH.</w:t>
            </w:r>
          </w:p>
        </w:tc>
      </w:tr>
      <w:tr w:rsidR="0049641B" w:rsidRPr="00E0193B" w14:paraId="62FA88EE" w14:textId="77777777" w:rsidTr="008C1B0D">
        <w:tc>
          <w:tcPr>
            <w:tcW w:w="1068" w:type="pct"/>
            <w:tcBorders>
              <w:bottom w:val="single" w:sz="4" w:space="0" w:color="auto"/>
            </w:tcBorders>
          </w:tcPr>
          <w:p w14:paraId="4602FF48" w14:textId="77777777" w:rsidR="0049641B" w:rsidRPr="00E0193B" w:rsidRDefault="0049641B" w:rsidP="0049641B">
            <w:pPr>
              <w:spacing w:after="120" w:line="240" w:lineRule="auto"/>
              <w:jc w:val="left"/>
              <w:rPr>
                <w:rFonts w:eastAsia="Calibri"/>
              </w:rPr>
            </w:pPr>
            <w:r w:rsidRPr="00E0193B">
              <w:rPr>
                <w:rFonts w:eastAsia="Calibri"/>
              </w:rPr>
              <w:t xml:space="preserve">Pomoc publiczna </w:t>
            </w:r>
          </w:p>
        </w:tc>
        <w:tc>
          <w:tcPr>
            <w:tcW w:w="3932" w:type="pct"/>
            <w:gridSpan w:val="2"/>
            <w:tcBorders>
              <w:bottom w:val="single" w:sz="4" w:space="0" w:color="auto"/>
            </w:tcBorders>
          </w:tcPr>
          <w:p w14:paraId="7C083C34" w14:textId="77777777" w:rsidR="0049641B" w:rsidRPr="00E0193B" w:rsidRDefault="0049641B" w:rsidP="0049641B">
            <w:pPr>
              <w:spacing w:after="120" w:line="240" w:lineRule="auto"/>
              <w:jc w:val="left"/>
              <w:rPr>
                <w:rFonts w:eastAsia="Calibri"/>
              </w:rPr>
            </w:pPr>
            <w:r w:rsidRPr="00E0193B">
              <w:rPr>
                <w:rFonts w:eastAsia="Calibri"/>
              </w:rPr>
              <w:t>Zmiana nie ma wpływu na pomoc publiczną.</w:t>
            </w:r>
          </w:p>
        </w:tc>
      </w:tr>
    </w:tbl>
    <w:p w14:paraId="4063FDFC" w14:textId="77777777" w:rsidR="0049641B" w:rsidRPr="00E0193B" w:rsidRDefault="0049641B" w:rsidP="0049641B">
      <w:pPr>
        <w:spacing w:after="0" w:line="240" w:lineRule="auto"/>
        <w:jc w:val="left"/>
        <w:rPr>
          <w:rFonts w:eastAsia="Calibri"/>
        </w:rPr>
      </w:pPr>
    </w:p>
    <w:p w14:paraId="071C00EB" w14:textId="710403EF" w:rsidR="000D648E" w:rsidRPr="00E0193B" w:rsidRDefault="000D648E">
      <w:pPr>
        <w:spacing w:line="259" w:lineRule="auto"/>
        <w:jc w:val="left"/>
        <w:rPr>
          <w:rFonts w:eastAsiaTheme="majorEastAsia"/>
        </w:rPr>
      </w:pPr>
    </w:p>
    <w:p w14:paraId="198C66B5" w14:textId="65DDFE6D" w:rsidR="00980B74" w:rsidRPr="00E0193B" w:rsidRDefault="004F7F5E" w:rsidP="004F7F5E">
      <w:pPr>
        <w:pStyle w:val="Nagwek1"/>
        <w:rPr>
          <w:sz w:val="24"/>
          <w:szCs w:val="24"/>
        </w:rPr>
      </w:pPr>
      <w:bookmarkStart w:id="37" w:name="_Toc165533732"/>
      <w:r w:rsidRPr="00E0193B">
        <w:rPr>
          <w:sz w:val="24"/>
          <w:szCs w:val="24"/>
        </w:rPr>
        <w:t xml:space="preserve">Część 3: </w:t>
      </w:r>
      <w:bookmarkEnd w:id="20"/>
      <w:bookmarkEnd w:id="21"/>
      <w:bookmarkEnd w:id="22"/>
      <w:r w:rsidRPr="00E0193B">
        <w:rPr>
          <w:sz w:val="24"/>
          <w:szCs w:val="24"/>
        </w:rPr>
        <w:t>Komplementarność i wdrażanie planu</w:t>
      </w:r>
      <w:bookmarkEnd w:id="37"/>
    </w:p>
    <w:p w14:paraId="30E7C5B5" w14:textId="596212AF" w:rsidR="00407C3E" w:rsidRPr="00E0193B" w:rsidRDefault="008A03B8" w:rsidP="008A03B8">
      <w:pPr>
        <w:pStyle w:val="Nagwek2"/>
      </w:pPr>
      <w:bookmarkStart w:id="38" w:name="_Toc165533733"/>
      <w:r w:rsidRPr="00E0193B">
        <w:t xml:space="preserve">1. </w:t>
      </w:r>
      <w:r w:rsidR="00407C3E" w:rsidRPr="00E0193B">
        <w:t>Spójność z innymi inicjatywami</w:t>
      </w:r>
      <w:bookmarkEnd w:id="38"/>
    </w:p>
    <w:p w14:paraId="5932E26B" w14:textId="41AA0D30" w:rsidR="14E115CC" w:rsidRPr="00E0193B" w:rsidRDefault="14E115CC">
      <w:r w:rsidRPr="00E0193B">
        <w:t>Charakter proponowanych zmian w stosunku do pierwotnego KPO</w:t>
      </w:r>
      <w:r w:rsidR="191DD37D" w:rsidRPr="00E0193B">
        <w:t xml:space="preserve"> oraz zmienionego Decyzją Wykonawczą Rady UE z dnia 8 grudnia 2023 r.</w:t>
      </w:r>
      <w:r w:rsidRPr="00E0193B">
        <w:t xml:space="preserve"> nie powoduje konieczności aktualizacji zawartych w powyższej sekcji</w:t>
      </w:r>
      <w:r w:rsidR="00D53A56" w:rsidRPr="00E0193B">
        <w:t xml:space="preserve"> informacji</w:t>
      </w:r>
      <w:r w:rsidRPr="00E0193B">
        <w:t>. Wcześniejsze wskazania w zakresie spójności z innymi in</w:t>
      </w:r>
      <w:r w:rsidR="6C12F2C3" w:rsidRPr="00E0193B">
        <w:t>i</w:t>
      </w:r>
      <w:r w:rsidRPr="00E0193B">
        <w:t xml:space="preserve">cjatywami pozostają bez zmian. Proponowane modyfikacje wynikają z tzw. obiektywnych okoliczności. Dotyczą one głównie zmiany </w:t>
      </w:r>
      <w:r w:rsidR="7B5FA236" w:rsidRPr="00E0193B">
        <w:t xml:space="preserve">przesunięcia </w:t>
      </w:r>
      <w:r w:rsidRPr="00E0193B">
        <w:t xml:space="preserve">terminu realizacji oraz </w:t>
      </w:r>
      <w:r w:rsidR="53F3AC05" w:rsidRPr="00E0193B">
        <w:t xml:space="preserve">zmiany opisu kamieni milowych oraz </w:t>
      </w:r>
      <w:r w:rsidRPr="00E0193B">
        <w:t>wskaźników</w:t>
      </w:r>
      <w:r w:rsidR="70E112BF" w:rsidRPr="00E0193B">
        <w:t xml:space="preserve"> czy też zmiany wartości </w:t>
      </w:r>
      <w:r w:rsidR="721642A5" w:rsidRPr="00E0193B">
        <w:t xml:space="preserve">docelowych </w:t>
      </w:r>
      <w:r w:rsidR="70E112BF" w:rsidRPr="00E0193B">
        <w:t>wskaźników</w:t>
      </w:r>
      <w:r w:rsidR="56141BBA" w:rsidRPr="00E0193B">
        <w:t>.</w:t>
      </w:r>
    </w:p>
    <w:p w14:paraId="246DB241" w14:textId="2FB60676" w:rsidR="14E115CC" w:rsidRPr="00E0193B" w:rsidRDefault="14E115CC" w:rsidP="008A03B8">
      <w:r w:rsidRPr="00E0193B">
        <w:t>W związku z powyższym, zmienione reformy i inwestycje zawarte w addendum nadal pozostają w zgodności oraz wpisują się w krajowe dokumenty strategiczne, w tym szczególności Strategię na rzecz Odpowiedzialnego Rozwoju do roku 2020 (z perspektywą do 2030 r.)</w:t>
      </w:r>
      <w:r w:rsidR="00CD13F1" w:rsidRPr="00E0193B">
        <w:t>;</w:t>
      </w:r>
      <w:r w:rsidRPr="00E0193B">
        <w:t xml:space="preserve"> </w:t>
      </w:r>
      <w:r w:rsidR="00CD13F1" w:rsidRPr="00E0193B">
        <w:t xml:space="preserve">Politykę energetyczną Polski do 2040 r.; Politykę ekologiczną państwa 2030; </w:t>
      </w:r>
      <w:r w:rsidRPr="00E0193B">
        <w:t>Krajową Strategię Rozwoju Regionalnego 2030</w:t>
      </w:r>
      <w:r w:rsidR="00CD13F1" w:rsidRPr="00E0193B">
        <w:t xml:space="preserve">; </w:t>
      </w:r>
      <w:r w:rsidRPr="00E0193B">
        <w:t xml:space="preserve"> Strategię Produktywności 2030</w:t>
      </w:r>
      <w:r w:rsidR="00CD13F1" w:rsidRPr="00E0193B">
        <w:t xml:space="preserve">; </w:t>
      </w:r>
      <w:r w:rsidRPr="00E0193B">
        <w:t>Strategię zrównoważonego rozwoju wsi</w:t>
      </w:r>
      <w:r w:rsidR="00CD13F1" w:rsidRPr="00E0193B">
        <w:t>,</w:t>
      </w:r>
      <w:r w:rsidRPr="00E0193B">
        <w:t xml:space="preserve"> rolnictwa i rybactwa 2030</w:t>
      </w:r>
      <w:r w:rsidR="00CD13F1" w:rsidRPr="00E0193B">
        <w:t xml:space="preserve">; </w:t>
      </w:r>
      <w:r w:rsidRPr="00E0193B">
        <w:t>Strategię Zrównoważonego Rozwoju Transportu do 2030 roku</w:t>
      </w:r>
      <w:r w:rsidR="00CD13F1" w:rsidRPr="00E0193B">
        <w:t xml:space="preserve">; </w:t>
      </w:r>
      <w:r w:rsidRPr="00E0193B">
        <w:t xml:space="preserve">Strategię Rozwoju Kapitału Ludzkiego 2030 oraz Strategię Rozwoju Kapitału Społecznego (współdziałanie, kultura, kreatywność) 2030. Zmienione działania w addendum KPO są również spójne i komplementarne z obszarami, które </w:t>
      </w:r>
      <w:r w:rsidR="5D684A6C" w:rsidRPr="00E0193B">
        <w:t xml:space="preserve">są </w:t>
      </w:r>
      <w:r w:rsidRPr="00E0193B">
        <w:t>wspierane w ramach polityki spójności w latach 2021-2027, opisanymi w Umowie Partnerstwa i programach</w:t>
      </w:r>
      <w:r w:rsidR="7D698F52" w:rsidRPr="00E0193B">
        <w:t>.</w:t>
      </w:r>
    </w:p>
    <w:p w14:paraId="4DC84F06" w14:textId="0C3427E0" w:rsidR="00407C3E" w:rsidRPr="00E0193B" w:rsidRDefault="00407C3E" w:rsidP="008A03B8">
      <w:pPr>
        <w:pStyle w:val="Nagwek2"/>
      </w:pPr>
      <w:bookmarkStart w:id="39" w:name="_Toc165533734"/>
      <w:r w:rsidRPr="00E0193B">
        <w:t>2. Komplementarność finansowania</w:t>
      </w:r>
      <w:bookmarkEnd w:id="39"/>
    </w:p>
    <w:p w14:paraId="00A08FA2" w14:textId="7D5AED3E" w:rsidR="00407C3E" w:rsidRPr="00E0193B" w:rsidRDefault="513B7288" w:rsidP="65AB2DE7">
      <w:r w:rsidRPr="00E0193B">
        <w:t xml:space="preserve">Charakter proponowanych zmian w stosunku do pierwotnego KPO </w:t>
      </w:r>
      <w:r w:rsidR="0C6B091F" w:rsidRPr="00E0193B">
        <w:t xml:space="preserve">oraz zmienionego Decyzją Wykonawczą Rady UE z dnia 8 grudnia 2023 r. </w:t>
      </w:r>
      <w:r w:rsidRPr="00E0193B">
        <w:t xml:space="preserve">nie powoduje konieczności aktualizacji </w:t>
      </w:r>
      <w:r w:rsidR="7C8884EC" w:rsidRPr="00E0193B">
        <w:t xml:space="preserve">większości zapisów </w:t>
      </w:r>
      <w:r w:rsidRPr="00E0193B">
        <w:t xml:space="preserve">zawartych w powyższej sekcji. Wcześniejsze wskazania w zakresie komplementarności finansowania pozostają bez zmian. Proponowane zmiany wynikają </w:t>
      </w:r>
      <w:r w:rsidR="79486A18" w:rsidRPr="00E0193B">
        <w:t xml:space="preserve">głównie </w:t>
      </w:r>
      <w:r w:rsidRPr="00E0193B">
        <w:t xml:space="preserve">z tzw. obiektywnych okoliczności. Dotyczą one głównie </w:t>
      </w:r>
      <w:r w:rsidR="4AB8B962" w:rsidRPr="00E0193B">
        <w:t xml:space="preserve">przesunięcia </w:t>
      </w:r>
      <w:r w:rsidRPr="00E0193B">
        <w:t xml:space="preserve">terminu realizacji oraz </w:t>
      </w:r>
      <w:r w:rsidR="509B1DA4" w:rsidRPr="00E0193B">
        <w:t xml:space="preserve">zmiany opisu kamieni milowych oraz </w:t>
      </w:r>
      <w:r w:rsidRPr="00E0193B">
        <w:t>wskaźników</w:t>
      </w:r>
      <w:r w:rsidR="36734F26" w:rsidRPr="00E0193B">
        <w:t xml:space="preserve"> czy też zmiany wartości </w:t>
      </w:r>
      <w:r w:rsidR="35B86D7D" w:rsidRPr="00E0193B">
        <w:t xml:space="preserve">docelowych </w:t>
      </w:r>
      <w:r w:rsidR="36734F26" w:rsidRPr="00E0193B">
        <w:t>wskaźników.</w:t>
      </w:r>
      <w:r w:rsidR="0A3EA1F0" w:rsidRPr="00E0193B">
        <w:t xml:space="preserve"> </w:t>
      </w:r>
      <w:r w:rsidR="6B77109E" w:rsidRPr="00E0193B">
        <w:t xml:space="preserve">Przewiduje się jedynie nowej subinwestycji A1.4.1.3 Unowocześnienie bazy dydaktycznej i demonstracyjnej na potrzeby edukacji w zakresie rolnictwa 4.0 o wartości 22,5 mln EUR. </w:t>
      </w:r>
      <w:r w:rsidR="2A272F18" w:rsidRPr="00E0193B">
        <w:t xml:space="preserve">Komplementarnie w ramach </w:t>
      </w:r>
      <w:r w:rsidR="0B22C4C5" w:rsidRPr="00E0193B">
        <w:t xml:space="preserve">Planu Strategicznego dla </w:t>
      </w:r>
      <w:r w:rsidR="2A272F18" w:rsidRPr="00E0193B">
        <w:t>Wspólnej Polityki Rolnej na lata 2023-2027 zapewniona zostanie możliwość wsparcia podnoszenia kwalifikacji doradców rolniczych, w szczególności w formie szkoleń, praktyk, mentoringu czy udziału w studiach podyplomowych.</w:t>
      </w:r>
    </w:p>
    <w:p w14:paraId="6FA508E9" w14:textId="6AC7E431" w:rsidR="00407C3E" w:rsidRPr="00E0193B" w:rsidRDefault="00407C3E" w:rsidP="65AB2DE7">
      <w:pPr>
        <w:pStyle w:val="Nagwek2"/>
      </w:pPr>
      <w:bookmarkStart w:id="40" w:name="_Toc165533735"/>
      <w:r w:rsidRPr="00E0193B">
        <w:t>3. Skuteczne wdrażanie</w:t>
      </w:r>
      <w:bookmarkEnd w:id="40"/>
    </w:p>
    <w:p w14:paraId="22F93A1B" w14:textId="7349CF06" w:rsidR="005A19D1" w:rsidRPr="00E0193B" w:rsidRDefault="005A19D1" w:rsidP="008A03B8">
      <w:pPr>
        <w:rPr>
          <w:rFonts w:eastAsiaTheme="majorEastAsia"/>
          <w:b/>
          <w:bCs/>
          <w:u w:val="single"/>
        </w:rPr>
      </w:pPr>
      <w:r w:rsidRPr="00E0193B">
        <w:rPr>
          <w:rFonts w:eastAsiaTheme="minorEastAsia"/>
        </w:rPr>
        <w:t>Wcześniejsze wskazania pozostają niezmienione</w:t>
      </w:r>
    </w:p>
    <w:p w14:paraId="14612B07" w14:textId="33C1EE28" w:rsidR="00407C3E" w:rsidRPr="00E0193B" w:rsidRDefault="00407C3E" w:rsidP="008A03B8">
      <w:pPr>
        <w:pStyle w:val="Nagwek2"/>
      </w:pPr>
      <w:bookmarkStart w:id="41" w:name="_Toc165533736"/>
      <w:r w:rsidRPr="00E0193B">
        <w:t>4. Proces konsultacji z zainteresowanymi stronami</w:t>
      </w:r>
      <w:bookmarkEnd w:id="41"/>
    </w:p>
    <w:p w14:paraId="4798645D" w14:textId="77777777" w:rsidR="000A3C2A" w:rsidRPr="00E0193B" w:rsidRDefault="000A3C2A" w:rsidP="000A3C2A">
      <w:r w:rsidRPr="00E0193B">
        <w:t>Proces konsultacji społecznych II rewizji Krajowego Planu Odbudowy i Zwiększania Odporności (KPO) został przeprowadzony w ramach prawnych określonych przez art. 14lb ust. 1-3 ustawy z dnia 6 grudnia 2006 r. o zasadach prowadzenia polityki rozwoju (Dz. U. z 2023 r. poz. 1259, 1273) oraz pkt 34 Rozporządzenia Parlamentu Europejskiego i Rady (UE) 2021/241 z dnia 12 lutego 2021 r. ustanawiającego Instrument na rzecz Odbudowy i Zwiększania Odporności.</w:t>
      </w:r>
    </w:p>
    <w:p w14:paraId="3C4F1981" w14:textId="77777777" w:rsidR="000A3C2A" w:rsidRPr="00E0193B" w:rsidRDefault="000A3C2A" w:rsidP="000A3C2A">
      <w:r w:rsidRPr="00E0193B">
        <w:t xml:space="preserve">Konsultacje społeczne rozpoczęły się 15 marca 2024 r., trwały 32 dni. Miały formę bezpośrednią i pośrednią.  </w:t>
      </w:r>
    </w:p>
    <w:p w14:paraId="41923BE9" w14:textId="77777777" w:rsidR="000A3C2A" w:rsidRPr="00E0193B" w:rsidRDefault="000A3C2A" w:rsidP="000A3C2A">
      <w:r w:rsidRPr="00E0193B">
        <w:t xml:space="preserve">W ramach konsultacji bezpośrednich 8 kwietnia 2024 r. odbyło się wysłuchanie publiczne z udziałem przedstawicieli resortów uczestniczących w rewizji KPO, w trakcie którego wszyscy zainteresowani mogli się wypowiedzieć na temat propozycji II rewizji KPO. Otrzymaliśmy 238 zgłoszeń od różnorodnych podmiotów z całego kraju – </w:t>
      </w:r>
      <w:r w:rsidRPr="00E0193B">
        <w:lastRenderedPageBreak/>
        <w:t xml:space="preserve">przedstawicieli administracji centralnej, samorządów terytorialnych, organizacji społecznych, uczelni wyższych, firm prywatnych i osób fizycznych. Spośród 238 podmiotów zgłoszonych do udziału, 63 osoby wyraziły chęć zaprezentowania swojego stanowiska i zostały zakwalifikowane jako mówcy wysłuchania. Więcej informacji na stronie: </w:t>
      </w:r>
      <w:hyperlink r:id="rId17">
        <w:r w:rsidRPr="00E0193B">
          <w:rPr>
            <w:rStyle w:val="Hipercze"/>
          </w:rPr>
          <w:t>https://www.gov.pl/web/planodbudowy/wysluchanie-publiczne</w:t>
        </w:r>
      </w:hyperlink>
      <w:r w:rsidRPr="00E0193B">
        <w:t>.</w:t>
      </w:r>
    </w:p>
    <w:p w14:paraId="22112F84" w14:textId="77777777" w:rsidR="000A3C2A" w:rsidRPr="00E0193B" w:rsidRDefault="000A3C2A" w:rsidP="000A3C2A">
      <w:r w:rsidRPr="00E0193B">
        <w:t>Projekt rewizji KPO został przekazany do Komisji Wspólnej Rządu i Samorządu Terytorialnego 18 marca 2024 r. i po przedyskutowaniu na 8 spotkaniach, uzyskał 11 kwietnia opinię pozytywną. Również 18 marca. Minister Funduszy i Polityki Regionalnej przekazał projekt zmian w KPO do Rady Dialogu Społecznego (RDS) oraz do Rady Działalności Pożytku Publicznego (RDPP), która w uchwale nr 179 z 23 kwietnia 2024 r. wydała pozytywną opinię do rewizji KPO.</w:t>
      </w:r>
    </w:p>
    <w:p w14:paraId="08589494" w14:textId="77777777" w:rsidR="000A3C2A" w:rsidRPr="00E0193B" w:rsidRDefault="000A3C2A" w:rsidP="000A3C2A">
      <w:r w:rsidRPr="00E0193B">
        <w:t>Konsultacje w formie pośredniej przeprowadzono z wykorzystaniem formularza on-line, który 15 marca 2024 r. opublikowano na stronach internetowych poświęconych KPO (na portalu gov.pl oraz portalu Funduszy Europejskich) wraz z zestawieniem zmian w części dot. reform i inwestycji w KPO. Uwagi zbierano do 15 kwietnia 2024 r. W tym czasie ponad 100 podmiotów wyraziło opinię na temat proponowanych zmian w KPO, z czego 318 uwag wpłynęło od samorządów (samorządy wojewódzkie, powiatowe, gminne, miasta), 300 od osób prywatnych, 163 od środowiska biznesowego, 73 od organizacji samorządowych, 34 od partnerów społecznych i 19 od środowiska naukowego.</w:t>
      </w:r>
    </w:p>
    <w:p w14:paraId="49489907" w14:textId="77777777" w:rsidR="000A3C2A" w:rsidRPr="00E0193B" w:rsidRDefault="000A3C2A" w:rsidP="000A3C2A">
      <w:r w:rsidRPr="00E0193B">
        <w:t xml:space="preserve">Łącznie zgłoszono 1129 uwag, z czego 234 o charakterze ogólnym, 443 do reform i 455 do inwestycji. Liczba przekazanych uwag świadczy o zainteresowaniu i zaangażowaniu w debatę na temat ukierunkowania zmian w KPO i jego lepszego dostosowania do aktualnej sytuacji. </w:t>
      </w:r>
    </w:p>
    <w:p w14:paraId="01238248" w14:textId="77777777" w:rsidR="000A3C2A" w:rsidRPr="00E0193B" w:rsidRDefault="000A3C2A" w:rsidP="000A3C2A">
      <w:r w:rsidRPr="00E0193B">
        <w:t xml:space="preserve">Zgłoszone uwagi miały zróżnicowany charakter. Część przyjęła formę ogólnych komentarzy, odnoszących się do całego dokumentu.  W większości przesłane zostały uwagi szczegółowe, w których wskazano propozycje zmiany lub wprowadzenia konkretnych zapisów. </w:t>
      </w:r>
    </w:p>
    <w:p w14:paraId="4A49A460" w14:textId="77777777" w:rsidR="000A3C2A" w:rsidRPr="00E0193B" w:rsidRDefault="000A3C2A" w:rsidP="000A3C2A">
      <w:pPr>
        <w:spacing w:after="0"/>
      </w:pPr>
      <w:r w:rsidRPr="00E0193B">
        <w:t>W podziale na komponenty rozkład uwag wyglądał następująco:</w:t>
      </w:r>
    </w:p>
    <w:p w14:paraId="0633D4C4" w14:textId="77777777" w:rsidR="000A3C2A" w:rsidRPr="00E0193B" w:rsidRDefault="000A3C2A" w:rsidP="00A1213F">
      <w:pPr>
        <w:numPr>
          <w:ilvl w:val="0"/>
          <w:numId w:val="28"/>
        </w:numPr>
        <w:spacing w:after="0"/>
      </w:pPr>
      <w:r w:rsidRPr="00E0193B">
        <w:t>komponent A „Odporność i konkurencyjność gospodarki”: 28 uwag do reform i 72 uwagi do inwestycji;</w:t>
      </w:r>
    </w:p>
    <w:p w14:paraId="0D7612A3" w14:textId="77777777" w:rsidR="000A3C2A" w:rsidRPr="00E0193B" w:rsidRDefault="000A3C2A" w:rsidP="00A1213F">
      <w:pPr>
        <w:numPr>
          <w:ilvl w:val="0"/>
          <w:numId w:val="28"/>
        </w:numPr>
        <w:spacing w:after="0"/>
      </w:pPr>
      <w:r w:rsidRPr="00E0193B">
        <w:t xml:space="preserve">komponent B „Zielona energia i zmniejszenie energochłonności”: 4 uwagi do reform </w:t>
      </w:r>
      <w:r w:rsidRPr="00E0193B">
        <w:br/>
        <w:t>i 113 uwag do inwestycji;</w:t>
      </w:r>
    </w:p>
    <w:p w14:paraId="05B5A9DF" w14:textId="77777777" w:rsidR="000A3C2A" w:rsidRPr="00E0193B" w:rsidRDefault="000A3C2A" w:rsidP="00A1213F">
      <w:pPr>
        <w:numPr>
          <w:ilvl w:val="0"/>
          <w:numId w:val="28"/>
        </w:numPr>
        <w:spacing w:after="0"/>
      </w:pPr>
      <w:r w:rsidRPr="00E0193B">
        <w:t>komponent C „Transformacja cyfrowa”: 17 uwag do reform i 47 uwag do inwestycji;</w:t>
      </w:r>
    </w:p>
    <w:p w14:paraId="25427B66" w14:textId="77777777" w:rsidR="000A3C2A" w:rsidRPr="00E0193B" w:rsidRDefault="000A3C2A" w:rsidP="00A1213F">
      <w:pPr>
        <w:numPr>
          <w:ilvl w:val="0"/>
          <w:numId w:val="28"/>
        </w:numPr>
        <w:spacing w:after="0"/>
      </w:pPr>
      <w:r w:rsidRPr="00E0193B">
        <w:t>komponent D „Efektywność, dostępność i jakość systemu ochronny zdrowia”: 17 uwag do reform i 65 uwag do inwestycji;</w:t>
      </w:r>
    </w:p>
    <w:p w14:paraId="0284B20E" w14:textId="77777777" w:rsidR="000A3C2A" w:rsidRPr="00E0193B" w:rsidRDefault="000A3C2A" w:rsidP="00A1213F">
      <w:pPr>
        <w:numPr>
          <w:ilvl w:val="0"/>
          <w:numId w:val="28"/>
        </w:numPr>
        <w:spacing w:after="0"/>
      </w:pPr>
      <w:r w:rsidRPr="00E0193B">
        <w:t>komponent E „Zielona, inteligentna mobilność”: 377 uwag do reform i 153 uwagi do inwestycji.</w:t>
      </w:r>
    </w:p>
    <w:p w14:paraId="37AF66D4" w14:textId="77777777" w:rsidR="000A3C2A" w:rsidRPr="00E0193B" w:rsidRDefault="000A3C2A" w:rsidP="000A3C2A">
      <w:r w:rsidRPr="00E0193B">
        <w:t>Zgłaszane postulaty dotyczyły m.in:</w:t>
      </w:r>
    </w:p>
    <w:p w14:paraId="5F089F25" w14:textId="77777777" w:rsidR="000A3C2A" w:rsidRPr="00E0193B" w:rsidRDefault="000A3C2A" w:rsidP="00A1213F">
      <w:pPr>
        <w:numPr>
          <w:ilvl w:val="0"/>
          <w:numId w:val="30"/>
        </w:numPr>
        <w:spacing w:after="0"/>
        <w:ind w:left="714" w:hanging="357"/>
      </w:pPr>
      <w:r w:rsidRPr="00E0193B">
        <w:t>wydłużenia terminu realizacji reform/inwestycji poza sierpień 2026 r.,</w:t>
      </w:r>
    </w:p>
    <w:p w14:paraId="68CE2DE6" w14:textId="77777777" w:rsidR="000A3C2A" w:rsidRPr="00E0193B" w:rsidRDefault="000A3C2A" w:rsidP="00A1213F">
      <w:pPr>
        <w:numPr>
          <w:ilvl w:val="0"/>
          <w:numId w:val="30"/>
        </w:numPr>
        <w:spacing w:after="0"/>
        <w:ind w:left="714" w:hanging="357"/>
      </w:pPr>
      <w:r w:rsidRPr="00E0193B">
        <w:t>zmniejszenia skali pożyczek dla jednostek samorządu terytorialnego,</w:t>
      </w:r>
    </w:p>
    <w:p w14:paraId="48C3BA21" w14:textId="77777777" w:rsidR="000A3C2A" w:rsidRPr="00E0193B" w:rsidRDefault="000A3C2A" w:rsidP="00A1213F">
      <w:pPr>
        <w:numPr>
          <w:ilvl w:val="0"/>
          <w:numId w:val="30"/>
        </w:numPr>
        <w:spacing w:after="0"/>
        <w:ind w:left="714" w:hanging="357"/>
      </w:pPr>
      <w:r w:rsidRPr="00E0193B">
        <w:t>wprowadzenia naborów dla jednostek samorządu terytorialnego w trybie niekonkurencyjnym,</w:t>
      </w:r>
    </w:p>
    <w:p w14:paraId="17C85B35" w14:textId="77777777" w:rsidR="000A3C2A" w:rsidRPr="00E0193B" w:rsidRDefault="000A3C2A" w:rsidP="00A1213F">
      <w:pPr>
        <w:numPr>
          <w:ilvl w:val="0"/>
          <w:numId w:val="30"/>
        </w:numPr>
        <w:spacing w:after="0"/>
        <w:ind w:left="714" w:hanging="357"/>
      </w:pPr>
      <w:r w:rsidRPr="00E0193B">
        <w:t>doprecyzowania definicji używanych w ramach reform/inwestycji,</w:t>
      </w:r>
    </w:p>
    <w:p w14:paraId="7C5FC436" w14:textId="77777777" w:rsidR="000A3C2A" w:rsidRPr="00E0193B" w:rsidRDefault="000A3C2A" w:rsidP="00A1213F">
      <w:pPr>
        <w:numPr>
          <w:ilvl w:val="0"/>
          <w:numId w:val="30"/>
        </w:numPr>
        <w:spacing w:after="0"/>
        <w:ind w:left="714" w:hanging="357"/>
      </w:pPr>
      <w:r w:rsidRPr="00E0193B">
        <w:t>umożliwienia finansowania projektów zakończonych, zrealizowanych w okresie kwalifikowalności wydatków,</w:t>
      </w:r>
    </w:p>
    <w:p w14:paraId="00F74228" w14:textId="77777777" w:rsidR="000A3C2A" w:rsidRPr="00E0193B" w:rsidRDefault="000A3C2A" w:rsidP="00A1213F">
      <w:pPr>
        <w:numPr>
          <w:ilvl w:val="0"/>
          <w:numId w:val="30"/>
        </w:numPr>
        <w:spacing w:after="0"/>
        <w:ind w:left="714" w:hanging="357"/>
      </w:pPr>
      <w:r w:rsidRPr="00E0193B">
        <w:t>rozszerzenia zakresu wsparcia w inwestycjach (A1.4.1, A2.4.1, A2.5.1, B1.1.2, B2.2.3, B1.2.1, C2.1.2, C2.2.1, D1.2.1, E1.1.2, E2.2.1),</w:t>
      </w:r>
    </w:p>
    <w:p w14:paraId="28B1B9CC" w14:textId="77777777" w:rsidR="000A3C2A" w:rsidRPr="00E0193B" w:rsidRDefault="000A3C2A" w:rsidP="00A1213F">
      <w:pPr>
        <w:numPr>
          <w:ilvl w:val="0"/>
          <w:numId w:val="30"/>
        </w:numPr>
        <w:spacing w:after="0"/>
        <w:ind w:left="714" w:hanging="357"/>
      </w:pPr>
      <w:r w:rsidRPr="00E0193B">
        <w:t>rozszerzenia katalogu odbiorców wsparcia (D1.1.1),</w:t>
      </w:r>
    </w:p>
    <w:p w14:paraId="4531829B" w14:textId="77777777" w:rsidR="000A3C2A" w:rsidRPr="00E0193B" w:rsidRDefault="000A3C2A" w:rsidP="00A1213F">
      <w:pPr>
        <w:numPr>
          <w:ilvl w:val="0"/>
          <w:numId w:val="30"/>
        </w:numPr>
        <w:spacing w:after="0"/>
        <w:ind w:left="714" w:hanging="357"/>
      </w:pPr>
      <w:r w:rsidRPr="00E0193B">
        <w:t>przywrócenia usuniętych inwestycji (A1.2.2),</w:t>
      </w:r>
    </w:p>
    <w:p w14:paraId="176C3BD5" w14:textId="77777777" w:rsidR="000A3C2A" w:rsidRPr="00E0193B" w:rsidRDefault="000A3C2A" w:rsidP="00A1213F">
      <w:pPr>
        <w:numPr>
          <w:ilvl w:val="0"/>
          <w:numId w:val="30"/>
        </w:numPr>
        <w:spacing w:after="0"/>
        <w:ind w:left="714" w:hanging="357"/>
      </w:pPr>
      <w:r w:rsidRPr="00E0193B">
        <w:t>zwiększenia alokacji w inwestycjach (A1.2.1, A1.4.1, A2.1.1 A2.2.1, B1.2.1, B1.1.2, E2.1.2),</w:t>
      </w:r>
    </w:p>
    <w:p w14:paraId="2E400923" w14:textId="77777777" w:rsidR="000A3C2A" w:rsidRPr="00E0193B" w:rsidRDefault="000A3C2A" w:rsidP="00A1213F">
      <w:pPr>
        <w:numPr>
          <w:ilvl w:val="0"/>
          <w:numId w:val="30"/>
        </w:numPr>
        <w:spacing w:after="0"/>
        <w:ind w:left="714" w:hanging="357"/>
      </w:pPr>
      <w:r w:rsidRPr="00E0193B">
        <w:t>dodania nowych elementów do KPO.</w:t>
      </w:r>
    </w:p>
    <w:p w14:paraId="69AB4460" w14:textId="77777777" w:rsidR="000A3C2A" w:rsidRPr="00E0193B" w:rsidRDefault="000A3C2A" w:rsidP="000A3C2A">
      <w:r w:rsidRPr="00E0193B">
        <w:t>Spośród wszystkich zebranych uwag i rekomendacji uwzględnione zostały m. in. te, które dotyczą:</w:t>
      </w:r>
    </w:p>
    <w:p w14:paraId="6A6B0DB6" w14:textId="77777777" w:rsidR="000A3C2A" w:rsidRPr="00E0193B" w:rsidRDefault="000A3C2A" w:rsidP="00A1213F">
      <w:pPr>
        <w:numPr>
          <w:ilvl w:val="0"/>
          <w:numId w:val="29"/>
        </w:numPr>
        <w:spacing w:after="0"/>
        <w:ind w:left="714" w:hanging="357"/>
      </w:pPr>
      <w:r w:rsidRPr="00E0193B">
        <w:lastRenderedPageBreak/>
        <w:t>opieki zdrowotnej – w zakresie modernizacji infrastruktury podmiotów medycznych, gdzie są uwzględnione wysokospecjalistyczne szpitale regionalne oraz centra wsparcia badań klinicznych także w małych ośrodkach;</w:t>
      </w:r>
    </w:p>
    <w:p w14:paraId="27F9DC1B" w14:textId="77777777" w:rsidR="000A3C2A" w:rsidRPr="00E0193B" w:rsidRDefault="000A3C2A" w:rsidP="00A1213F">
      <w:pPr>
        <w:numPr>
          <w:ilvl w:val="0"/>
          <w:numId w:val="29"/>
        </w:numPr>
        <w:spacing w:after="0"/>
        <w:ind w:left="714" w:hanging="357"/>
      </w:pPr>
      <w:r w:rsidRPr="00E0193B">
        <w:t>nowego rozwiązania dotyczącego finansowego wsparcia opiekunów osób starszych – wprowadzenie bonu senioralnego;</w:t>
      </w:r>
    </w:p>
    <w:p w14:paraId="377DBB3F" w14:textId="77777777" w:rsidR="000A3C2A" w:rsidRPr="00E0193B" w:rsidRDefault="000A3C2A" w:rsidP="00A1213F">
      <w:pPr>
        <w:numPr>
          <w:ilvl w:val="0"/>
          <w:numId w:val="29"/>
        </w:numPr>
        <w:spacing w:after="0"/>
        <w:ind w:left="714" w:hanging="357"/>
      </w:pPr>
      <w:r w:rsidRPr="00E0193B">
        <w:t>sektora rolnego – w zakresie zwiększenia wsparcia edukacji cyfrowej w tzw. rolnictwie 4.0;</w:t>
      </w:r>
    </w:p>
    <w:p w14:paraId="6D8525A4" w14:textId="77777777" w:rsidR="000A3C2A" w:rsidRPr="00E0193B" w:rsidRDefault="000A3C2A" w:rsidP="00A1213F">
      <w:pPr>
        <w:numPr>
          <w:ilvl w:val="0"/>
          <w:numId w:val="29"/>
        </w:numPr>
        <w:spacing w:after="0"/>
        <w:ind w:left="714" w:hanging="357"/>
      </w:pPr>
      <w:r w:rsidRPr="00E0193B">
        <w:t>wsparcia jednostek samorządu terytorialnego poprzez przeniesienie, z obszaru pożyczkowego do grantowego, finansowania w zakresie ośrodków świadczących opiekę długoterminową i geriatryczną w szpitalach powiatowych,</w:t>
      </w:r>
    </w:p>
    <w:p w14:paraId="280208E7" w14:textId="10DD13FE" w:rsidR="000A3C2A" w:rsidRPr="00E0193B" w:rsidRDefault="000A3C2A" w:rsidP="00A1213F">
      <w:pPr>
        <w:numPr>
          <w:ilvl w:val="0"/>
          <w:numId w:val="29"/>
        </w:numPr>
        <w:spacing w:after="0"/>
        <w:ind w:left="714" w:hanging="357"/>
      </w:pPr>
      <w:r w:rsidRPr="00E0193B">
        <w:t>włączenia finansowania laboratoriów mobilnych w inwestycji A2.4.1</w:t>
      </w:r>
      <w:r w:rsidR="00622139">
        <w:t>.</w:t>
      </w:r>
    </w:p>
    <w:p w14:paraId="675075A1" w14:textId="77777777" w:rsidR="000A3C2A" w:rsidRPr="00E0193B" w:rsidRDefault="000A3C2A" w:rsidP="000A3C2A"/>
    <w:p w14:paraId="6F8D6418" w14:textId="01FD5F75" w:rsidR="00407C3E" w:rsidRPr="00E0193B" w:rsidRDefault="00407C3E" w:rsidP="008A03B8">
      <w:pPr>
        <w:pStyle w:val="Nagwek2"/>
      </w:pPr>
      <w:bookmarkStart w:id="42" w:name="_Toc165533737"/>
      <w:r w:rsidRPr="00E0193B">
        <w:t>5. Kontrola i audyt</w:t>
      </w:r>
      <w:bookmarkEnd w:id="42"/>
    </w:p>
    <w:p w14:paraId="7043CA84" w14:textId="20F2A5F9" w:rsidR="005A19D1" w:rsidRPr="00E0193B" w:rsidRDefault="005A19D1" w:rsidP="008A03B8">
      <w:pPr>
        <w:rPr>
          <w:rFonts w:eastAsiaTheme="majorEastAsia"/>
          <w:b/>
          <w:bCs/>
          <w:u w:val="single"/>
        </w:rPr>
      </w:pPr>
      <w:r w:rsidRPr="00E0193B">
        <w:rPr>
          <w:rFonts w:eastAsiaTheme="minorEastAsia"/>
        </w:rPr>
        <w:t>Wcześniejsze wskazania pozostają niezmienione</w:t>
      </w:r>
    </w:p>
    <w:p w14:paraId="33F83845" w14:textId="7FCC5D53" w:rsidR="21818CCB" w:rsidRPr="00E0193B" w:rsidRDefault="00407C3E" w:rsidP="008A03B8">
      <w:pPr>
        <w:pStyle w:val="Nagwek2"/>
      </w:pPr>
      <w:bookmarkStart w:id="43" w:name="_Toc165533738"/>
      <w:r w:rsidRPr="00E0193B">
        <w:t>6. Komunikacja</w:t>
      </w:r>
      <w:bookmarkEnd w:id="43"/>
    </w:p>
    <w:p w14:paraId="30A056FA" w14:textId="26BDDC26" w:rsidR="00407C3E" w:rsidRPr="00E0193B" w:rsidRDefault="005A19D1" w:rsidP="00C30802">
      <w:pPr>
        <w:rPr>
          <w:rFonts w:eastAsiaTheme="minorEastAsia"/>
          <w:b/>
        </w:rPr>
      </w:pPr>
      <w:bookmarkStart w:id="44" w:name="_Toc49944567"/>
      <w:bookmarkStart w:id="45" w:name="_Toc61252499"/>
      <w:bookmarkStart w:id="46" w:name="_Toc103250215"/>
      <w:r w:rsidRPr="00E0193B">
        <w:rPr>
          <w:rFonts w:eastAsiaTheme="minorEastAsia"/>
        </w:rPr>
        <w:t>Wcześniejsze wskazania pozostają niezmienione</w:t>
      </w:r>
    </w:p>
    <w:p w14:paraId="0CE84680" w14:textId="69FF6E95" w:rsidR="00980B74" w:rsidRPr="00E0193B" w:rsidRDefault="004F7F5E" w:rsidP="004F7F5E">
      <w:pPr>
        <w:pStyle w:val="Nagwek1"/>
        <w:rPr>
          <w:sz w:val="24"/>
          <w:szCs w:val="24"/>
        </w:rPr>
      </w:pPr>
      <w:bookmarkStart w:id="47" w:name="_Toc165533739"/>
      <w:r w:rsidRPr="00E0193B">
        <w:rPr>
          <w:sz w:val="24"/>
          <w:szCs w:val="24"/>
        </w:rPr>
        <w:t xml:space="preserve">Część 4: </w:t>
      </w:r>
      <w:bookmarkEnd w:id="44"/>
      <w:bookmarkEnd w:id="45"/>
      <w:bookmarkEnd w:id="46"/>
      <w:r w:rsidRPr="00E0193B">
        <w:rPr>
          <w:sz w:val="24"/>
          <w:szCs w:val="24"/>
        </w:rPr>
        <w:t>Ogólna spójność i wpływ planu</w:t>
      </w:r>
      <w:bookmarkEnd w:id="47"/>
    </w:p>
    <w:p w14:paraId="3989631D" w14:textId="6B2D625D" w:rsidR="00407C3E" w:rsidRPr="00E0193B" w:rsidRDefault="00407C3E" w:rsidP="008A03B8">
      <w:pPr>
        <w:pStyle w:val="Nagwek2"/>
        <w:rPr>
          <w:rStyle w:val="Nagwek2Znak"/>
          <w:b/>
          <w:bCs/>
        </w:rPr>
      </w:pPr>
      <w:bookmarkStart w:id="48" w:name="_Toc165533740"/>
      <w:bookmarkStart w:id="49" w:name="_Toc49944568"/>
      <w:bookmarkStart w:id="50" w:name="_Toc61252500"/>
      <w:r w:rsidRPr="00E0193B">
        <w:rPr>
          <w:rStyle w:val="Nagwek2Znak"/>
          <w:b/>
          <w:bCs/>
        </w:rPr>
        <w:t>1. Spójność</w:t>
      </w:r>
      <w:bookmarkEnd w:id="48"/>
      <w:r w:rsidRPr="00E0193B">
        <w:rPr>
          <w:rStyle w:val="Nagwek2Znak"/>
          <w:b/>
          <w:bCs/>
        </w:rPr>
        <w:t xml:space="preserve"> </w:t>
      </w:r>
    </w:p>
    <w:p w14:paraId="51C26C1B" w14:textId="370403B7" w:rsidR="7AB34592" w:rsidRPr="00E0193B" w:rsidRDefault="7AB34592" w:rsidP="48C0DB3D">
      <w:r w:rsidRPr="00E0193B">
        <w:t>Charakter proponowanych zmian nie powoduje konieczności aktualizacji większości zapisów zawartych w powyższej sekcji</w:t>
      </w:r>
      <w:r w:rsidR="0B55A58D" w:rsidRPr="00E0193B">
        <w:t xml:space="preserve"> w stosunku do pierwotnego KPO</w:t>
      </w:r>
      <w:r w:rsidR="6C58BFCF" w:rsidRPr="00E0193B">
        <w:t xml:space="preserve"> </w:t>
      </w:r>
      <w:r w:rsidR="48C0DB3D" w:rsidRPr="00E0193B">
        <w:t xml:space="preserve">oraz zmienionego Decyzją Wykonawczą Rady UE z dnia 8 grudnia 2023 r. Wcześniejsze wskazania w zakresie spójności pozostają bez zmian. </w:t>
      </w:r>
    </w:p>
    <w:p w14:paraId="2EEA001F" w14:textId="5CAD1855" w:rsidR="0D549D83" w:rsidRPr="00E0193B" w:rsidRDefault="0D549D83" w:rsidP="008A03B8">
      <w:r w:rsidRPr="00E0193B">
        <w:t xml:space="preserve">Treść oraz struktura dokumentu z uwzględnieniem zmian są wewnętrznie spójne i logicznie powiązane. </w:t>
      </w:r>
      <w:r w:rsidR="6492A85E" w:rsidRPr="00E0193B">
        <w:t>Opisane w planie wzajemne powiązanie pomiędzy celem głównym, celami szczegółowymi KPO, komponentami i ich celami nie wymagają aktualizacji</w:t>
      </w:r>
      <w:r w:rsidR="550F45F9" w:rsidRPr="00E0193B">
        <w:t xml:space="preserve">. </w:t>
      </w:r>
    </w:p>
    <w:p w14:paraId="3E9EDB28" w14:textId="3F6F4EC7" w:rsidR="00407C3E" w:rsidRPr="00E0193B" w:rsidRDefault="00407C3E" w:rsidP="65AB2DE7">
      <w:pPr>
        <w:pStyle w:val="Nagwek2"/>
        <w:rPr>
          <w:rStyle w:val="Nagwek2Znak"/>
          <w:i/>
          <w:iCs/>
        </w:rPr>
      </w:pPr>
      <w:bookmarkStart w:id="51" w:name="_Toc165533741"/>
      <w:r w:rsidRPr="00E0193B">
        <w:rPr>
          <w:rStyle w:val="Nagwek2Znak"/>
          <w:b/>
          <w:bCs/>
        </w:rPr>
        <w:t>2. Równość płci i równe szanse dla wszystkich</w:t>
      </w:r>
      <w:bookmarkEnd w:id="51"/>
    </w:p>
    <w:p w14:paraId="1D4EC5A8" w14:textId="169B81D8" w:rsidR="1E404DC8" w:rsidRPr="00E0193B" w:rsidRDefault="03A91F6E" w:rsidP="00C30802">
      <w:r w:rsidRPr="00E0193B">
        <w:t xml:space="preserve">Zmiany w zakresie realizacji reform i inwestycji </w:t>
      </w:r>
      <w:r w:rsidR="00407F8F" w:rsidRPr="00E0193B">
        <w:t xml:space="preserve">utrzymują poszanowanie i nie wpływają negatywnie na </w:t>
      </w:r>
      <w:r w:rsidRPr="00E0193B">
        <w:t>zasady dotyczące</w:t>
      </w:r>
      <w:r w:rsidR="48B49B03" w:rsidRPr="00E0193B">
        <w:t>j</w:t>
      </w:r>
      <w:r w:rsidRPr="00E0193B">
        <w:t xml:space="preserve"> równości płci i zapewnienia równych szans dla wszystkich</w:t>
      </w:r>
      <w:r w:rsidR="4C0BF92C" w:rsidRPr="00E0193B">
        <w:t xml:space="preserve">, które są zasadami horyzontalnymi przyświecającymi wszystkim inicjatywom programowanym w ramach KPO. </w:t>
      </w:r>
    </w:p>
    <w:p w14:paraId="3E5F400D" w14:textId="40530E18" w:rsidR="1E404DC8" w:rsidRPr="00E0193B" w:rsidRDefault="37E57B79" w:rsidP="00C30802">
      <w:r w:rsidRPr="00E0193B">
        <w:t>Zachowane zostaje kryterium horyzontalne przy wyborze inwestycji, dotyczące zgodności z zasadą równości szans i niedyskryminacji oraz zasadą równości szans kobiet i mężczyzn</w:t>
      </w:r>
      <w:r w:rsidR="0495117E" w:rsidRPr="00E0193B">
        <w:t xml:space="preserve">. </w:t>
      </w:r>
      <w:r w:rsidR="00407F8F" w:rsidRPr="00E0193B">
        <w:t xml:space="preserve">Sprawdzane </w:t>
      </w:r>
      <w:r w:rsidR="0495117E" w:rsidRPr="00E0193B">
        <w:t xml:space="preserve">jest czy przedsięwzięcie nie ogranicza równego dostępu do zasobów (towarów, usług, infrastruktury) ze względu na płeć, pochodzenie rasowe lub etniczne, religię lub przekonania, niepełnosprawność, wiek lub orientację seksualną. </w:t>
      </w:r>
      <w:r w:rsidR="00407F8F" w:rsidRPr="00E0193B">
        <w:t>Kryterium uznaje się za spełnione, jeżeli przedsięwzięcie jest zgodne z zasadą równości szans i niedyskryminacji oraz zasadą równości szans kobiet i mężczyzn, a także zapewnia dostępność produktów przedsięwzięcia dla osób z niepełnosprawnościami.</w:t>
      </w:r>
    </w:p>
    <w:p w14:paraId="2BA0E395" w14:textId="10E967AB" w:rsidR="00102030" w:rsidRPr="00E0193B" w:rsidRDefault="00714A41" w:rsidP="00102030">
      <w:pPr>
        <w:pStyle w:val="Nagwek2"/>
        <w:rPr>
          <w:rStyle w:val="Nagwek2Znak"/>
          <w:b/>
          <w:bCs/>
        </w:rPr>
      </w:pPr>
      <w:bookmarkStart w:id="52" w:name="_Toc165533742"/>
      <w:r w:rsidRPr="00E0193B">
        <w:rPr>
          <w:rStyle w:val="Nagwek2Znak"/>
          <w:b/>
          <w:bCs/>
        </w:rPr>
        <w:t>3. Wzmocnienie odporności gospodarczej, społecznej i instytucjonalnej</w:t>
      </w:r>
      <w:bookmarkEnd w:id="52"/>
      <w:r w:rsidRPr="00E0193B">
        <w:rPr>
          <w:rStyle w:val="Nagwek2Znak"/>
          <w:b/>
          <w:bCs/>
        </w:rPr>
        <w:t xml:space="preserve"> </w:t>
      </w:r>
      <w:r w:rsidR="00102030" w:rsidRPr="00E0193B">
        <w:rPr>
          <w:rStyle w:val="Nagwek2Znak"/>
        </w:rPr>
        <w:t xml:space="preserve"> </w:t>
      </w:r>
    </w:p>
    <w:p w14:paraId="5647A471" w14:textId="77777777" w:rsidR="00102030" w:rsidRPr="00E0193B" w:rsidRDefault="00102030" w:rsidP="00102030">
      <w:pPr>
        <w:rPr>
          <w:rFonts w:eastAsia="Calibri"/>
          <w:lang w:eastAsia="en-GB"/>
        </w:rPr>
      </w:pPr>
      <w:r w:rsidRPr="00E0193B">
        <w:rPr>
          <w:rFonts w:eastAsia="Calibri"/>
          <w:lang w:eastAsia="en-GB"/>
        </w:rPr>
        <w:t>Ocena wpływu reform i inwestycji przewidzianych w Krajowym Programie Odbudowy i Zwiększania Odporności (KPO), w tym REPowerEU, w krótkim (t+2) i średnim (t+5) okresie dokonana została za pomocą modelu Ministerstwa Finansów służącego również do prognozowania scenariusza makroekonomicznego na potrzeby Wieloletniego Planu Finansowego Państwa oraz ustawy budżetowej. Jest to kwartalny model makroekonometryczny polskiej gospodarki. Oszacowano go na podstawie danych z próby z lat 1995-2023. Konstrukcja modelu oparta jest na równaniach stochastycznych typu ECM. Część długookresowa modelu oparta jest na teorii i wywodzi się z warunków optymalizacji uczestników rynku. Podstawy mikroekonomiczne równowagi długookresowej narzucają ograniczenia dynamiki modelu i aby ją wymusić, zbiegają się do stanu ustalonego. W krótkim okresie model jest sterowany popytem za pomocą elastyczności oszacowanych tak, aby odzwierciedlić historyczną ścieżkę zmiennych i sztywności w gospodarce. W modelu zidentyfikowano dwa sektory: sek</w:t>
      </w:r>
      <w:r w:rsidRPr="00E0193B">
        <w:rPr>
          <w:rFonts w:eastAsia="Calibri"/>
          <w:lang w:eastAsia="en-GB"/>
        </w:rPr>
        <w:lastRenderedPageBreak/>
        <w:t>tor rynkowy i sektor instytucji rządowych i samorządowych, oba sumujące się do gospodarki ogółem zgodnie z metodologią ESA2010. W ramach sektora rynkowego wyróżnia się dwa dodatkowe podsektory: gospodarstwa domowe i przedsiębiorstwa, ale tylko część rachunków instytucjonalnych jest włączona dla tych dwóch podsektorów. Wychodząc naprzeciw potrzebom Ministerstwa Finansów w zakresie sporządzania analiz polityki fiskalnej, model ma szczegółowy blok finansów publicznych. Długookresowe skutki (t+20) zostały zmierzone na podstawie szacunków PKB potencjalnego w analogiczny sposób jak w przypadku analizy z 2021 r.</w:t>
      </w:r>
    </w:p>
    <w:p w14:paraId="157C70AC" w14:textId="77777777" w:rsidR="00102030" w:rsidRPr="00E0193B" w:rsidRDefault="00102030" w:rsidP="00102030">
      <w:pPr>
        <w:rPr>
          <w:rFonts w:eastAsia="Calibri"/>
          <w:b/>
        </w:rPr>
      </w:pPr>
      <w:r w:rsidRPr="00E0193B">
        <w:rPr>
          <w:rFonts w:eastAsia="Calibri"/>
          <w:b/>
        </w:rPr>
        <w:t>Założenia</w:t>
      </w:r>
    </w:p>
    <w:p w14:paraId="61FB465B" w14:textId="77777777" w:rsidR="00102030" w:rsidRPr="00E0193B" w:rsidRDefault="00102030" w:rsidP="00102030">
      <w:pPr>
        <w:rPr>
          <w:rFonts w:eastAsia="Calibri"/>
          <w:lang w:eastAsia="en-GB"/>
        </w:rPr>
      </w:pPr>
      <w:r w:rsidRPr="00E0193B">
        <w:rPr>
          <w:rFonts w:eastAsia="Calibri"/>
          <w:lang w:eastAsia="en-GB"/>
        </w:rPr>
        <w:t xml:space="preserve">We wstępnym scenariuszu makroekonomicznym przygotowanym na potrzeby </w:t>
      </w:r>
      <w:r w:rsidRPr="00E0193B">
        <w:rPr>
          <w:rFonts w:eastAsia="Calibri"/>
          <w:i/>
          <w:lang w:eastAsia="en-GB"/>
        </w:rPr>
        <w:t>Wieloletniego Planu Finansowego Państwa na lata 2024-2027 (WPFP)</w:t>
      </w:r>
      <w:r w:rsidRPr="00E0193B">
        <w:rPr>
          <w:rFonts w:eastAsia="Calibri"/>
          <w:lang w:eastAsia="en-GB"/>
        </w:rPr>
        <w:t xml:space="preserve">, uwzględniono wykorzystanie środków z unijnego Instrumentu na Rzecz Odbudowy i Zwiększenia Odporności (RRF) w wysokości 34,5 mld euro (22,5 mld euro w ramach grantów i 12,0 mld euro w ramach części pożyczkowej) z uwzględnieniem REPowerEU, który podwyższa wskazane środki do 59,8 mld euro (2,7 mld euro w ramach grantów i 22,5 mld euro w ramach części pożyczkowej). </w:t>
      </w:r>
    </w:p>
    <w:p w14:paraId="7FC70305" w14:textId="77777777" w:rsidR="00102030" w:rsidRPr="00E0193B" w:rsidRDefault="00102030" w:rsidP="00102030">
      <w:pPr>
        <w:rPr>
          <w:rFonts w:eastAsia="MS Mincho"/>
          <w:lang w:eastAsia="pl-PL"/>
        </w:rPr>
      </w:pPr>
      <w:r w:rsidRPr="00E0193B">
        <w:rPr>
          <w:rFonts w:eastAsia="MS Mincho"/>
          <w:lang w:eastAsia="pl-PL"/>
        </w:rPr>
        <w:t xml:space="preserve">Scenariuszem bazowym do symulacji wpływu realizacji KPO złożonego z RRF i REPower EU jest </w:t>
      </w:r>
      <w:r w:rsidRPr="00E0193B">
        <w:rPr>
          <w:rFonts w:eastAsia="MS Mincho"/>
          <w:b/>
          <w:lang w:eastAsia="pl-PL"/>
        </w:rPr>
        <w:t>zmodyfikowany scenariusz makroekonomiczny z WPFP nie uwzględniający realizacji projektów z KPO</w:t>
      </w:r>
      <w:r w:rsidRPr="00E0193B">
        <w:rPr>
          <w:rFonts w:eastAsia="MS Mincho"/>
          <w:lang w:eastAsia="pl-PL"/>
        </w:rPr>
        <w:t xml:space="preserve">. Prezentowane wyniki dotyczą łącznego wpływu KPO złożonego z obydwu instrumentów. </w:t>
      </w:r>
    </w:p>
    <w:p w14:paraId="10CBE196" w14:textId="77777777" w:rsidR="00102030" w:rsidRPr="00E0193B" w:rsidRDefault="00102030" w:rsidP="00102030">
      <w:pPr>
        <w:rPr>
          <w:rFonts w:eastAsia="Calibri"/>
          <w:lang w:eastAsia="en-GB"/>
        </w:rPr>
      </w:pPr>
      <w:r w:rsidRPr="00E0193B">
        <w:t xml:space="preserve">Fundusze zostały zdezagregowane według wykorzystania oraz rozdysponowane po latach zgodnie z planem ich wykorzystania, </w:t>
      </w:r>
      <w:r w:rsidRPr="00E0193B">
        <w:rPr>
          <w:rFonts w:eastAsia="Calibri"/>
          <w:lang w:eastAsia="en-GB"/>
        </w:rPr>
        <w:t>jednak z</w:t>
      </w:r>
      <w:r w:rsidRPr="00E0193B">
        <w:t>e względu na przewidywania co do późniejszego wykorzystania część środków z KPO, planowane wydatki z części pożyczkowej na 2024 r. zostały równomiernie podzielone między lata 2025-2026.</w:t>
      </w:r>
    </w:p>
    <w:p w14:paraId="7899FA40" w14:textId="77777777" w:rsidR="00102030" w:rsidRPr="00E0193B" w:rsidRDefault="00102030" w:rsidP="00102030">
      <w:pPr>
        <w:rPr>
          <w:rFonts w:eastAsia="Calibri"/>
        </w:rPr>
      </w:pPr>
      <w:r w:rsidRPr="00E0193B">
        <w:rPr>
          <w:rFonts w:eastAsia="Calibri"/>
        </w:rPr>
        <w:t>Z punktu widzenia długookresowych wpływów KPO na potencjał gospodarki Polski istotne są również zmiany w populacji oraz sile roboczej. W symulacji efektów makroekonomicznych zaktualizowano założenia z poprzedniej symulacji w oparciu o prognozę demograficzną Eurostatu (EUROPOP2023), które nie prowadzą do fundamentalnych różnic – założono stopniowy spadek stopy umieralności oraz spadek stopy wyjścia z rynku pracy.</w:t>
      </w:r>
    </w:p>
    <w:p w14:paraId="46226362" w14:textId="77777777" w:rsidR="00102030" w:rsidRPr="00E0193B" w:rsidRDefault="00102030" w:rsidP="00102030">
      <w:pPr>
        <w:rPr>
          <w:rFonts w:eastAsia="Calibri"/>
          <w:b/>
        </w:rPr>
      </w:pPr>
      <w:r w:rsidRPr="00E0193B">
        <w:rPr>
          <w:rFonts w:eastAsia="Calibri"/>
          <w:b/>
        </w:rPr>
        <w:t>Wyniki</w:t>
      </w:r>
    </w:p>
    <w:p w14:paraId="304B8370" w14:textId="77777777" w:rsidR="00102030" w:rsidRPr="00E0193B" w:rsidRDefault="00102030" w:rsidP="00102030">
      <w:pPr>
        <w:rPr>
          <w:rFonts w:eastAsia="Calibri"/>
          <w:lang w:eastAsia="en-GB"/>
        </w:rPr>
      </w:pPr>
      <w:r w:rsidRPr="00E0193B">
        <w:rPr>
          <w:rFonts w:eastAsia="Calibri"/>
          <w:lang w:eastAsia="en-GB"/>
        </w:rPr>
        <w:t>W krótkim horyzoncie symulacji realizacja KPO złożonego z dwóch instrumentów spowoduje wzrost poziomu realnego PKB o 0,5% w roku 2024 (rok t+2 symulacji) w porównaniu do scenariusza bazowego. W pierwszych trzech latach wykorzystania funduszy tempo realnego wzrostu gospodarczego podniesie się średnio o 0,5 pkt. proc. w stosunku do scenariusza bazowego. W roku 2027 (t+5) poziom PKB będzie wyższy w porównaniu ze scenariuszem bazowym przedstawionym w WPFP o 0,9%. Realizacja KPO wpłynie również pozytywnie na rynek pracy. Szacuje się, że po dwóch latach w porównaniu do scenariusza bazowego stworzonych zostanie o 0,1% więcej miejsc pracy. Po pięciu latach wykorzystywania funduszy zgodnie z projektem KPO liczba utworzonych miejsc pracy wzrośnie o 0,2% względem scenariusza bazowego.</w:t>
      </w:r>
    </w:p>
    <w:p w14:paraId="5BFE3B8C" w14:textId="77777777" w:rsidR="00102030" w:rsidRPr="00E0193B" w:rsidRDefault="00102030" w:rsidP="00102030">
      <w:pPr>
        <w:spacing w:after="120"/>
        <w:ind w:left="992" w:hanging="992"/>
        <w:rPr>
          <w:rFonts w:eastAsia="Calibri"/>
        </w:rPr>
      </w:pPr>
      <w:r w:rsidRPr="00E0193B">
        <w:rPr>
          <w:rFonts w:eastAsia="Calibri"/>
        </w:rPr>
        <w:t>Tabela 1.</w:t>
      </w:r>
      <w:r w:rsidRPr="00E0193B">
        <w:rPr>
          <w:rFonts w:eastAsia="Calibri"/>
        </w:rPr>
        <w:tab/>
        <w:t>Porównanie scenariusza KPO względem scenariusza bazowego w krótkim i średnim okresie.</w:t>
      </w:r>
    </w:p>
    <w:tbl>
      <w:tblPr>
        <w:tblW w:w="0" w:type="auto"/>
        <w:jc w:val="center"/>
        <w:tblBorders>
          <w:top w:val="single" w:sz="12" w:space="0" w:color="000080"/>
          <w:bottom w:val="single" w:sz="12" w:space="0" w:color="000080"/>
        </w:tblBorders>
        <w:tblLayout w:type="fixed"/>
        <w:tblLook w:val="00A0" w:firstRow="1" w:lastRow="0" w:firstColumn="1" w:lastColumn="0" w:noHBand="0" w:noVBand="0"/>
      </w:tblPr>
      <w:tblGrid>
        <w:gridCol w:w="4820"/>
        <w:gridCol w:w="709"/>
        <w:gridCol w:w="709"/>
      </w:tblGrid>
      <w:tr w:rsidR="00102030" w:rsidRPr="00E0193B" w14:paraId="535D4DF3" w14:textId="77777777" w:rsidTr="00F71FE0">
        <w:trPr>
          <w:trHeight w:val="421"/>
          <w:tblHeader/>
          <w:jc w:val="center"/>
        </w:trPr>
        <w:tc>
          <w:tcPr>
            <w:tcW w:w="4820" w:type="dxa"/>
            <w:tcBorders>
              <w:top w:val="thinThickSmallGap" w:sz="24" w:space="0" w:color="7F7F7F"/>
              <w:left w:val="nil"/>
              <w:bottom w:val="thickThinSmallGap" w:sz="24" w:space="0" w:color="7F7F7F"/>
              <w:right w:val="nil"/>
            </w:tcBorders>
            <w:vAlign w:val="center"/>
          </w:tcPr>
          <w:p w14:paraId="433F5E39" w14:textId="77777777" w:rsidR="00102030" w:rsidRPr="00E0193B" w:rsidRDefault="00102030" w:rsidP="00F71FE0">
            <w:pPr>
              <w:spacing w:before="60" w:after="60"/>
              <w:rPr>
                <w:rFonts w:eastAsia="Calibri"/>
              </w:rPr>
            </w:pPr>
            <w:r w:rsidRPr="00E0193B">
              <w:rPr>
                <w:rFonts w:eastAsia="Calibri"/>
              </w:rPr>
              <w:t>Różnica względem scenariusza bazowego</w:t>
            </w:r>
          </w:p>
        </w:tc>
        <w:tc>
          <w:tcPr>
            <w:tcW w:w="709" w:type="dxa"/>
            <w:tcBorders>
              <w:top w:val="thinThickSmallGap" w:sz="24" w:space="0" w:color="7F7F7F"/>
              <w:left w:val="nil"/>
              <w:bottom w:val="thickThinSmallGap" w:sz="24" w:space="0" w:color="7F7F7F"/>
              <w:right w:val="nil"/>
            </w:tcBorders>
            <w:vAlign w:val="center"/>
            <w:hideMark/>
          </w:tcPr>
          <w:p w14:paraId="710E8DEA" w14:textId="77777777" w:rsidR="00102030" w:rsidRPr="00E0193B" w:rsidRDefault="00102030" w:rsidP="00F71FE0">
            <w:pPr>
              <w:spacing w:before="60" w:after="60"/>
              <w:rPr>
                <w:rFonts w:eastAsia="Calibri"/>
              </w:rPr>
            </w:pPr>
            <w:r w:rsidRPr="00E0193B">
              <w:rPr>
                <w:rFonts w:eastAsia="Calibri"/>
              </w:rPr>
              <w:t>t+2</w:t>
            </w:r>
          </w:p>
        </w:tc>
        <w:tc>
          <w:tcPr>
            <w:tcW w:w="709" w:type="dxa"/>
            <w:tcBorders>
              <w:top w:val="thinThickSmallGap" w:sz="24" w:space="0" w:color="7F7F7F"/>
              <w:left w:val="nil"/>
              <w:bottom w:val="thickThinSmallGap" w:sz="24" w:space="0" w:color="7F7F7F"/>
              <w:right w:val="nil"/>
            </w:tcBorders>
            <w:vAlign w:val="center"/>
            <w:hideMark/>
          </w:tcPr>
          <w:p w14:paraId="566748B6" w14:textId="77777777" w:rsidR="00102030" w:rsidRPr="00E0193B" w:rsidRDefault="00102030" w:rsidP="00F71FE0">
            <w:pPr>
              <w:spacing w:before="60" w:after="60"/>
              <w:rPr>
                <w:rFonts w:eastAsia="Calibri"/>
              </w:rPr>
            </w:pPr>
            <w:r w:rsidRPr="00E0193B">
              <w:rPr>
                <w:rFonts w:eastAsia="Calibri"/>
              </w:rPr>
              <w:t>t+5</w:t>
            </w:r>
          </w:p>
        </w:tc>
      </w:tr>
      <w:tr w:rsidR="00102030" w:rsidRPr="00E0193B" w14:paraId="3AD2EE3D" w14:textId="77777777" w:rsidTr="00F71FE0">
        <w:trPr>
          <w:trHeight w:val="297"/>
          <w:jc w:val="center"/>
        </w:trPr>
        <w:tc>
          <w:tcPr>
            <w:tcW w:w="4820" w:type="dxa"/>
            <w:tcBorders>
              <w:top w:val="thickThinSmallGap" w:sz="24" w:space="0" w:color="7F7F7F"/>
              <w:left w:val="nil"/>
              <w:bottom w:val="single" w:sz="2" w:space="0" w:color="808080"/>
              <w:right w:val="nil"/>
            </w:tcBorders>
            <w:vAlign w:val="center"/>
            <w:hideMark/>
          </w:tcPr>
          <w:p w14:paraId="3D844955" w14:textId="77777777" w:rsidR="00102030" w:rsidRPr="00E0193B" w:rsidRDefault="00102030" w:rsidP="00F71FE0">
            <w:pPr>
              <w:spacing w:before="60" w:after="60"/>
              <w:rPr>
                <w:rFonts w:eastAsia="Calibri"/>
              </w:rPr>
            </w:pPr>
            <w:r w:rsidRPr="00E0193B">
              <w:rPr>
                <w:rFonts w:eastAsia="Calibri"/>
              </w:rPr>
              <w:t>PKB (%)</w:t>
            </w:r>
          </w:p>
        </w:tc>
        <w:tc>
          <w:tcPr>
            <w:tcW w:w="709" w:type="dxa"/>
            <w:tcBorders>
              <w:top w:val="thickThinSmallGap" w:sz="24" w:space="0" w:color="7F7F7F"/>
              <w:left w:val="nil"/>
              <w:bottom w:val="single" w:sz="2" w:space="0" w:color="808080"/>
              <w:right w:val="nil"/>
            </w:tcBorders>
          </w:tcPr>
          <w:p w14:paraId="16FE047E" w14:textId="77777777" w:rsidR="00102030" w:rsidRPr="00E0193B" w:rsidRDefault="00102030" w:rsidP="00F71FE0">
            <w:pPr>
              <w:spacing w:before="60" w:after="60"/>
              <w:rPr>
                <w:rFonts w:eastAsia="Calibri"/>
              </w:rPr>
            </w:pPr>
            <w:r w:rsidRPr="00E0193B">
              <w:rPr>
                <w:rFonts w:eastAsia="Calibri"/>
              </w:rPr>
              <w:t>0,5</w:t>
            </w:r>
          </w:p>
        </w:tc>
        <w:tc>
          <w:tcPr>
            <w:tcW w:w="709" w:type="dxa"/>
            <w:tcBorders>
              <w:top w:val="thickThinSmallGap" w:sz="24" w:space="0" w:color="7F7F7F"/>
              <w:left w:val="nil"/>
              <w:bottom w:val="single" w:sz="2" w:space="0" w:color="808080"/>
              <w:right w:val="nil"/>
            </w:tcBorders>
          </w:tcPr>
          <w:p w14:paraId="29FF1B9C" w14:textId="77777777" w:rsidR="00102030" w:rsidRPr="00E0193B" w:rsidRDefault="00102030" w:rsidP="00F71FE0">
            <w:pPr>
              <w:spacing w:before="60" w:after="60"/>
              <w:rPr>
                <w:rFonts w:eastAsia="Calibri"/>
              </w:rPr>
            </w:pPr>
            <w:r w:rsidRPr="00E0193B">
              <w:rPr>
                <w:rFonts w:eastAsia="Calibri"/>
              </w:rPr>
              <w:t>0,9</w:t>
            </w:r>
          </w:p>
        </w:tc>
      </w:tr>
      <w:tr w:rsidR="00102030" w:rsidRPr="00E0193B" w14:paraId="5CA08D55" w14:textId="77777777" w:rsidTr="00F71FE0">
        <w:trPr>
          <w:trHeight w:val="323"/>
          <w:jc w:val="center"/>
        </w:trPr>
        <w:tc>
          <w:tcPr>
            <w:tcW w:w="4820" w:type="dxa"/>
            <w:tcBorders>
              <w:top w:val="single" w:sz="2" w:space="0" w:color="808080"/>
              <w:left w:val="nil"/>
              <w:bottom w:val="single" w:sz="2" w:space="0" w:color="808080"/>
              <w:right w:val="nil"/>
            </w:tcBorders>
            <w:vAlign w:val="center"/>
            <w:hideMark/>
          </w:tcPr>
          <w:p w14:paraId="490A6756" w14:textId="77777777" w:rsidR="00102030" w:rsidRPr="00E0193B" w:rsidRDefault="00102030" w:rsidP="00F71FE0">
            <w:pPr>
              <w:spacing w:before="60" w:after="60"/>
              <w:rPr>
                <w:rFonts w:eastAsia="Calibri"/>
              </w:rPr>
            </w:pPr>
            <w:r w:rsidRPr="00E0193B">
              <w:rPr>
                <w:rFonts w:eastAsia="Calibri"/>
              </w:rPr>
              <w:t>Zatrudnienie (%)</w:t>
            </w:r>
          </w:p>
        </w:tc>
        <w:tc>
          <w:tcPr>
            <w:tcW w:w="709" w:type="dxa"/>
            <w:tcBorders>
              <w:top w:val="single" w:sz="2" w:space="0" w:color="808080"/>
              <w:left w:val="nil"/>
              <w:bottom w:val="single" w:sz="2" w:space="0" w:color="808080"/>
              <w:right w:val="nil"/>
            </w:tcBorders>
          </w:tcPr>
          <w:p w14:paraId="2F2B2B87" w14:textId="77777777" w:rsidR="00102030" w:rsidRPr="00E0193B" w:rsidRDefault="00102030" w:rsidP="00F71FE0">
            <w:pPr>
              <w:spacing w:before="60" w:after="60"/>
              <w:rPr>
                <w:rFonts w:eastAsia="Calibri"/>
              </w:rPr>
            </w:pPr>
            <w:r w:rsidRPr="00E0193B">
              <w:rPr>
                <w:rFonts w:eastAsia="Calibri"/>
              </w:rPr>
              <w:t>0,1</w:t>
            </w:r>
          </w:p>
        </w:tc>
        <w:tc>
          <w:tcPr>
            <w:tcW w:w="709" w:type="dxa"/>
            <w:tcBorders>
              <w:top w:val="single" w:sz="2" w:space="0" w:color="808080"/>
              <w:left w:val="nil"/>
              <w:bottom w:val="single" w:sz="2" w:space="0" w:color="808080"/>
              <w:right w:val="nil"/>
            </w:tcBorders>
          </w:tcPr>
          <w:p w14:paraId="2631B95B" w14:textId="77777777" w:rsidR="00102030" w:rsidRPr="00E0193B" w:rsidRDefault="00102030" w:rsidP="00F71FE0">
            <w:pPr>
              <w:spacing w:before="60" w:after="60"/>
              <w:rPr>
                <w:rFonts w:eastAsia="Calibri"/>
              </w:rPr>
            </w:pPr>
            <w:r w:rsidRPr="00E0193B">
              <w:rPr>
                <w:rFonts w:eastAsia="Calibri"/>
              </w:rPr>
              <w:t>0,2</w:t>
            </w:r>
          </w:p>
        </w:tc>
      </w:tr>
      <w:tr w:rsidR="00102030" w:rsidRPr="00E0193B" w14:paraId="043E8968" w14:textId="77777777" w:rsidTr="00F71FE0">
        <w:trPr>
          <w:trHeight w:val="281"/>
          <w:jc w:val="center"/>
        </w:trPr>
        <w:tc>
          <w:tcPr>
            <w:tcW w:w="4820" w:type="dxa"/>
            <w:tcBorders>
              <w:top w:val="single" w:sz="2" w:space="0" w:color="808080"/>
              <w:left w:val="nil"/>
              <w:bottom w:val="single" w:sz="2" w:space="0" w:color="808080"/>
              <w:right w:val="nil"/>
            </w:tcBorders>
            <w:vAlign w:val="center"/>
          </w:tcPr>
          <w:p w14:paraId="165AD557" w14:textId="77777777" w:rsidR="00102030" w:rsidRPr="00E0193B" w:rsidRDefault="00102030" w:rsidP="00F71FE0">
            <w:pPr>
              <w:spacing w:before="60" w:after="60"/>
              <w:rPr>
                <w:rFonts w:eastAsia="Calibri"/>
              </w:rPr>
            </w:pPr>
            <w:r w:rsidRPr="00E0193B">
              <w:rPr>
                <w:rFonts w:eastAsia="Calibri"/>
              </w:rPr>
              <w:t>Wynik sektora (pkt. proc.)</w:t>
            </w:r>
          </w:p>
        </w:tc>
        <w:tc>
          <w:tcPr>
            <w:tcW w:w="709" w:type="dxa"/>
            <w:tcBorders>
              <w:top w:val="single" w:sz="2" w:space="0" w:color="808080"/>
              <w:left w:val="nil"/>
              <w:bottom w:val="single" w:sz="2" w:space="0" w:color="808080"/>
              <w:right w:val="nil"/>
            </w:tcBorders>
          </w:tcPr>
          <w:p w14:paraId="35B72DD1" w14:textId="77777777" w:rsidR="00102030" w:rsidRPr="00E0193B" w:rsidRDefault="00102030" w:rsidP="00F71FE0">
            <w:pPr>
              <w:spacing w:before="60" w:after="60"/>
              <w:rPr>
                <w:rFonts w:eastAsia="Calibri"/>
              </w:rPr>
            </w:pPr>
            <w:r w:rsidRPr="00E0193B">
              <w:rPr>
                <w:rFonts w:eastAsia="Calibri"/>
              </w:rPr>
              <w:t>-0,1</w:t>
            </w:r>
          </w:p>
        </w:tc>
        <w:tc>
          <w:tcPr>
            <w:tcW w:w="709" w:type="dxa"/>
            <w:tcBorders>
              <w:top w:val="single" w:sz="2" w:space="0" w:color="808080"/>
              <w:left w:val="nil"/>
              <w:bottom w:val="single" w:sz="2" w:space="0" w:color="808080"/>
              <w:right w:val="nil"/>
            </w:tcBorders>
          </w:tcPr>
          <w:p w14:paraId="4F658224" w14:textId="77777777" w:rsidR="00102030" w:rsidRPr="00E0193B" w:rsidRDefault="00102030" w:rsidP="00F71FE0">
            <w:pPr>
              <w:spacing w:before="60" w:after="60"/>
              <w:rPr>
                <w:rFonts w:eastAsia="Calibri"/>
              </w:rPr>
            </w:pPr>
            <w:r w:rsidRPr="00E0193B">
              <w:rPr>
                <w:rFonts w:eastAsia="Calibri"/>
              </w:rPr>
              <w:t>0,4</w:t>
            </w:r>
          </w:p>
        </w:tc>
      </w:tr>
    </w:tbl>
    <w:p w14:paraId="6E2A0497" w14:textId="77777777" w:rsidR="00102030" w:rsidRPr="00E0193B" w:rsidRDefault="00102030" w:rsidP="00102030">
      <w:pPr>
        <w:rPr>
          <w:rFonts w:eastAsia="Calibri"/>
        </w:rPr>
      </w:pPr>
      <w:r w:rsidRPr="00E0193B">
        <w:rPr>
          <w:rFonts w:eastAsia="Calibri"/>
        </w:rPr>
        <w:t>Źródło: obliczenia własne Ministerstwa Finansów.</w:t>
      </w:r>
    </w:p>
    <w:p w14:paraId="5CFEFC54" w14:textId="77777777" w:rsidR="00102030" w:rsidRPr="00E0193B" w:rsidRDefault="00102030" w:rsidP="00102030">
      <w:pPr>
        <w:rPr>
          <w:rFonts w:eastAsia="Calibri"/>
          <w:lang w:eastAsia="en-GB"/>
        </w:rPr>
      </w:pPr>
      <w:r w:rsidRPr="00E0193B">
        <w:rPr>
          <w:rFonts w:eastAsia="Calibri"/>
          <w:lang w:eastAsia="en-GB"/>
        </w:rPr>
        <w:t xml:space="preserve">Zgodnie z metodyką unijną (ESA2010) granty w ramach Instrumentu na rzecz Odbudowy i Zwiększania Odporności (RRF) będą miały neutralny wpływ na wynik sektora instytucji rządowych i samorządowych (sektor GG), analogicznie jak środki unijne, których beneficjentami są jednostki sektora GG. W przypadku długu przepływy z tytułu grantów mogą mieć przejściowy wpływ związany z niedopasowaniem czasowym kasowych wydatków i wpływów. Pożyczki w ramach Instrumentu, co do zasady będą finansować dodatkowe wydatki sektora instytucji rządowych i samorządowych, przez co będą mieć bezpośredni, negatywny wpływ na wynik i dług sektora. Jednocześnie </w:t>
      </w:r>
      <w:r w:rsidRPr="00E0193B">
        <w:rPr>
          <w:rFonts w:eastAsia="Calibri"/>
          <w:lang w:eastAsia="en-GB"/>
        </w:rPr>
        <w:lastRenderedPageBreak/>
        <w:t>w kierunku ograniczania deficytu i długu oddziaływać będą efekty związane z wyższym wzrostem gospodarczym opisanym powyżej.</w:t>
      </w:r>
    </w:p>
    <w:p w14:paraId="0717889B" w14:textId="628A7FEC" w:rsidR="00102030" w:rsidRPr="00E0193B" w:rsidRDefault="00102030" w:rsidP="00102030">
      <w:pPr>
        <w:rPr>
          <w:rFonts w:eastAsia="Calibri"/>
          <w:lang w:eastAsia="en-GB"/>
        </w:rPr>
      </w:pPr>
      <w:r w:rsidRPr="00E0193B">
        <w:rPr>
          <w:rFonts w:eastAsia="Calibri"/>
          <w:lang w:eastAsia="en-GB"/>
        </w:rPr>
        <w:t xml:space="preserve">Długookresowe efekty wykorzystania funduszy z Instrumentu na rzecz Odbudowy i Zwiększania Odporności oraz REPower EU związane głównie z reformami i inwestycjami w obszarze zielonej transformacji, transformacji cyfrowej i systemu ochrony zdrowia oszacowano na podstawie produktu potencjalnego Polski. W roku 2042, czyli po 20 latach od rozpoczęcia realizacji KPO, poziom realnego PKB Polski będzie o 1% wyższy niż w scenariuszu bazowym. Wpływ na zatrudnienie wygaśnie, jednak utrzyma się pozytywny wpływ na stopę bezrobocia rejestrowanego. </w:t>
      </w:r>
    </w:p>
    <w:p w14:paraId="2CE063DF" w14:textId="77777777" w:rsidR="00102030" w:rsidRPr="00E0193B" w:rsidRDefault="00102030" w:rsidP="00102030">
      <w:pPr>
        <w:rPr>
          <w:rFonts w:eastAsia="Calibri"/>
          <w:b/>
          <w:bCs/>
          <w:color w:val="7F7F7F"/>
        </w:rPr>
      </w:pPr>
      <w:r w:rsidRPr="00E0193B">
        <w:rPr>
          <w:rFonts w:eastAsia="Calibri"/>
        </w:rPr>
        <w:t>Tabela 3. Porównanie scenariusza KPO względem scenariusza bazowego w długim okresie</w:t>
      </w:r>
      <w:r w:rsidRPr="00E0193B">
        <w:rPr>
          <w:rFonts w:eastAsia="Calibri"/>
          <w:b/>
          <w:bCs/>
          <w:color w:val="7F7F7F"/>
        </w:rPr>
        <w:t>.</w:t>
      </w:r>
    </w:p>
    <w:tbl>
      <w:tblPr>
        <w:tblW w:w="0" w:type="auto"/>
        <w:jc w:val="center"/>
        <w:tblBorders>
          <w:top w:val="single" w:sz="12" w:space="0" w:color="000080"/>
          <w:bottom w:val="single" w:sz="12" w:space="0" w:color="000080"/>
        </w:tblBorders>
        <w:tblLayout w:type="fixed"/>
        <w:tblLook w:val="00A0" w:firstRow="1" w:lastRow="0" w:firstColumn="1" w:lastColumn="0" w:noHBand="0" w:noVBand="0"/>
      </w:tblPr>
      <w:tblGrid>
        <w:gridCol w:w="4962"/>
        <w:gridCol w:w="709"/>
      </w:tblGrid>
      <w:tr w:rsidR="00102030" w:rsidRPr="00E0193B" w14:paraId="0649D6A6" w14:textId="77777777" w:rsidTr="00F71FE0">
        <w:trPr>
          <w:trHeight w:val="421"/>
          <w:tblHeader/>
          <w:jc w:val="center"/>
        </w:trPr>
        <w:tc>
          <w:tcPr>
            <w:tcW w:w="4962" w:type="dxa"/>
            <w:tcBorders>
              <w:top w:val="thinThickSmallGap" w:sz="24" w:space="0" w:color="7F7F7F"/>
              <w:left w:val="nil"/>
              <w:bottom w:val="thickThinSmallGap" w:sz="24" w:space="0" w:color="7F7F7F"/>
              <w:right w:val="nil"/>
            </w:tcBorders>
            <w:vAlign w:val="center"/>
          </w:tcPr>
          <w:p w14:paraId="37643961" w14:textId="77777777" w:rsidR="00102030" w:rsidRPr="00E0193B" w:rsidRDefault="00102030" w:rsidP="00F71FE0">
            <w:pPr>
              <w:spacing w:before="60" w:after="60"/>
              <w:rPr>
                <w:rFonts w:eastAsia="Calibri"/>
              </w:rPr>
            </w:pPr>
            <w:r w:rsidRPr="00E0193B">
              <w:rPr>
                <w:rFonts w:eastAsia="Calibri"/>
              </w:rPr>
              <w:t xml:space="preserve">Różnica względem scenariusza bazowego </w:t>
            </w:r>
          </w:p>
        </w:tc>
        <w:tc>
          <w:tcPr>
            <w:tcW w:w="709" w:type="dxa"/>
            <w:tcBorders>
              <w:top w:val="thinThickSmallGap" w:sz="24" w:space="0" w:color="7F7F7F"/>
              <w:left w:val="nil"/>
              <w:bottom w:val="thickThinSmallGap" w:sz="24" w:space="0" w:color="7F7F7F"/>
              <w:right w:val="nil"/>
            </w:tcBorders>
            <w:vAlign w:val="center"/>
            <w:hideMark/>
          </w:tcPr>
          <w:p w14:paraId="1AFA1023" w14:textId="77777777" w:rsidR="00102030" w:rsidRPr="00E0193B" w:rsidRDefault="00102030" w:rsidP="00F71FE0">
            <w:pPr>
              <w:spacing w:before="60" w:after="60"/>
              <w:rPr>
                <w:rFonts w:eastAsia="Calibri"/>
              </w:rPr>
            </w:pPr>
            <w:r w:rsidRPr="00E0193B">
              <w:rPr>
                <w:rFonts w:eastAsia="Calibri"/>
              </w:rPr>
              <w:t>t+20</w:t>
            </w:r>
          </w:p>
        </w:tc>
      </w:tr>
      <w:tr w:rsidR="00102030" w:rsidRPr="00E0193B" w14:paraId="7418D5E9" w14:textId="77777777" w:rsidTr="00F71FE0">
        <w:trPr>
          <w:trHeight w:val="297"/>
          <w:jc w:val="center"/>
        </w:trPr>
        <w:tc>
          <w:tcPr>
            <w:tcW w:w="4962" w:type="dxa"/>
            <w:tcBorders>
              <w:top w:val="thickThinSmallGap" w:sz="24" w:space="0" w:color="7F7F7F"/>
              <w:left w:val="nil"/>
              <w:bottom w:val="single" w:sz="2" w:space="0" w:color="808080"/>
              <w:right w:val="nil"/>
            </w:tcBorders>
            <w:vAlign w:val="center"/>
            <w:hideMark/>
          </w:tcPr>
          <w:p w14:paraId="59BC602A" w14:textId="77777777" w:rsidR="00102030" w:rsidRPr="00E0193B" w:rsidRDefault="00102030" w:rsidP="00F71FE0">
            <w:pPr>
              <w:spacing w:before="60" w:after="60"/>
              <w:rPr>
                <w:rFonts w:eastAsia="Calibri"/>
              </w:rPr>
            </w:pPr>
            <w:r w:rsidRPr="00E0193B">
              <w:rPr>
                <w:rFonts w:eastAsia="Calibri"/>
              </w:rPr>
              <w:t>PKB (%)</w:t>
            </w:r>
          </w:p>
        </w:tc>
        <w:tc>
          <w:tcPr>
            <w:tcW w:w="709" w:type="dxa"/>
            <w:tcBorders>
              <w:top w:val="thickThinSmallGap" w:sz="24" w:space="0" w:color="7F7F7F"/>
              <w:left w:val="nil"/>
              <w:bottom w:val="single" w:sz="2" w:space="0" w:color="808080"/>
              <w:right w:val="nil"/>
            </w:tcBorders>
          </w:tcPr>
          <w:p w14:paraId="2AC21E80" w14:textId="77777777" w:rsidR="00102030" w:rsidRPr="00E0193B" w:rsidRDefault="00102030" w:rsidP="00F71FE0">
            <w:pPr>
              <w:spacing w:before="60" w:after="60"/>
              <w:rPr>
                <w:rFonts w:eastAsia="Calibri"/>
              </w:rPr>
            </w:pPr>
            <w:r w:rsidRPr="00E0193B">
              <w:rPr>
                <w:rFonts w:eastAsia="Calibri"/>
              </w:rPr>
              <w:t>1,0</w:t>
            </w:r>
          </w:p>
        </w:tc>
      </w:tr>
      <w:tr w:rsidR="00102030" w:rsidRPr="00E0193B" w14:paraId="6764B945" w14:textId="77777777" w:rsidTr="00F71FE0">
        <w:trPr>
          <w:trHeight w:val="393"/>
          <w:jc w:val="center"/>
        </w:trPr>
        <w:tc>
          <w:tcPr>
            <w:tcW w:w="4962" w:type="dxa"/>
            <w:tcBorders>
              <w:top w:val="single" w:sz="2" w:space="0" w:color="808080"/>
              <w:left w:val="nil"/>
              <w:bottom w:val="single" w:sz="2" w:space="0" w:color="808080"/>
              <w:right w:val="nil"/>
            </w:tcBorders>
            <w:vAlign w:val="center"/>
            <w:hideMark/>
          </w:tcPr>
          <w:p w14:paraId="77D33B6F" w14:textId="77777777" w:rsidR="00102030" w:rsidRPr="00E0193B" w:rsidRDefault="00102030" w:rsidP="00F71FE0">
            <w:pPr>
              <w:spacing w:before="60" w:after="60"/>
              <w:rPr>
                <w:rFonts w:eastAsia="Calibri"/>
              </w:rPr>
            </w:pPr>
            <w:r w:rsidRPr="00E0193B">
              <w:rPr>
                <w:rFonts w:eastAsia="Calibri"/>
              </w:rPr>
              <w:t>Zatrudnienie (%)</w:t>
            </w:r>
          </w:p>
        </w:tc>
        <w:tc>
          <w:tcPr>
            <w:tcW w:w="709" w:type="dxa"/>
            <w:tcBorders>
              <w:top w:val="single" w:sz="2" w:space="0" w:color="808080"/>
              <w:left w:val="nil"/>
              <w:bottom w:val="single" w:sz="2" w:space="0" w:color="808080"/>
              <w:right w:val="nil"/>
            </w:tcBorders>
          </w:tcPr>
          <w:p w14:paraId="7D9C11D3" w14:textId="77777777" w:rsidR="00102030" w:rsidRPr="00E0193B" w:rsidRDefault="00102030" w:rsidP="00F71FE0">
            <w:pPr>
              <w:spacing w:before="60" w:after="60"/>
              <w:rPr>
                <w:rFonts w:eastAsia="Calibri"/>
              </w:rPr>
            </w:pPr>
            <w:r w:rsidRPr="00E0193B">
              <w:rPr>
                <w:rFonts w:eastAsia="Calibri"/>
              </w:rPr>
              <w:t>0,0</w:t>
            </w:r>
          </w:p>
        </w:tc>
      </w:tr>
      <w:tr w:rsidR="00102030" w:rsidRPr="00E0193B" w14:paraId="2042067C" w14:textId="77777777" w:rsidTr="00F71FE0">
        <w:trPr>
          <w:trHeight w:val="281"/>
          <w:jc w:val="center"/>
        </w:trPr>
        <w:tc>
          <w:tcPr>
            <w:tcW w:w="4962" w:type="dxa"/>
            <w:tcBorders>
              <w:top w:val="single" w:sz="2" w:space="0" w:color="808080"/>
              <w:left w:val="nil"/>
              <w:bottom w:val="single" w:sz="2" w:space="0" w:color="808080"/>
              <w:right w:val="nil"/>
            </w:tcBorders>
            <w:vAlign w:val="center"/>
          </w:tcPr>
          <w:p w14:paraId="1E248261" w14:textId="77777777" w:rsidR="00102030" w:rsidRPr="00E0193B" w:rsidRDefault="00102030" w:rsidP="00F71FE0">
            <w:pPr>
              <w:spacing w:before="60" w:after="60"/>
              <w:rPr>
                <w:rFonts w:eastAsia="Calibri"/>
              </w:rPr>
            </w:pPr>
            <w:r w:rsidRPr="00E0193B">
              <w:rPr>
                <w:rFonts w:eastAsia="Calibri"/>
              </w:rPr>
              <w:t>Wynik sektora (pkt. proc.)</w:t>
            </w:r>
          </w:p>
        </w:tc>
        <w:tc>
          <w:tcPr>
            <w:tcW w:w="709" w:type="dxa"/>
            <w:tcBorders>
              <w:top w:val="single" w:sz="2" w:space="0" w:color="808080"/>
              <w:left w:val="nil"/>
              <w:bottom w:val="single" w:sz="2" w:space="0" w:color="808080"/>
              <w:right w:val="nil"/>
            </w:tcBorders>
          </w:tcPr>
          <w:p w14:paraId="79AA95CE" w14:textId="77777777" w:rsidR="00102030" w:rsidRPr="00E0193B" w:rsidRDefault="00102030" w:rsidP="00F71FE0">
            <w:pPr>
              <w:spacing w:before="60" w:after="60"/>
              <w:rPr>
                <w:rFonts w:eastAsia="Calibri"/>
              </w:rPr>
            </w:pPr>
            <w:r w:rsidRPr="00E0193B">
              <w:rPr>
                <w:rFonts w:eastAsia="Calibri"/>
              </w:rPr>
              <w:t>0,5</w:t>
            </w:r>
          </w:p>
        </w:tc>
      </w:tr>
    </w:tbl>
    <w:p w14:paraId="1FFF8643" w14:textId="77777777" w:rsidR="00102030" w:rsidRPr="00E0193B" w:rsidRDefault="00102030" w:rsidP="00102030">
      <w:pPr>
        <w:rPr>
          <w:rFonts w:eastAsia="Calibri"/>
        </w:rPr>
      </w:pPr>
      <w:r w:rsidRPr="00E0193B">
        <w:rPr>
          <w:rFonts w:eastAsia="Calibri"/>
        </w:rPr>
        <w:t>Źródło: obliczenia własne Ministerstwa Finansów.</w:t>
      </w:r>
    </w:p>
    <w:p w14:paraId="28CE6932" w14:textId="77777777" w:rsidR="00102030" w:rsidRPr="00E0193B" w:rsidRDefault="00102030" w:rsidP="00102030">
      <w:r w:rsidRPr="00E0193B">
        <w:t>Odnośnie wpływu realizacji Krajowego Planu Odbudowy wraz z REPowerEU na odporność w wymiarze społecznym i instytucjonalnym możliwe jest oszacowanie spodziewanych efektów realizacji inwestycji.</w:t>
      </w:r>
    </w:p>
    <w:p w14:paraId="11A66721" w14:textId="77777777" w:rsidR="00102030" w:rsidRPr="00E0193B" w:rsidRDefault="00102030" w:rsidP="00102030">
      <w:r w:rsidRPr="00E0193B">
        <w:t>W wymiarze społecznym podkreślenia wymaga opisany powyżej prognozowany pozytywny wpływ KPO, w tym REPowerEU, na zatrudnienie, kwalifikacje oraz rynek pracy. Do wzrostu odporności społecznej w obliczu zarówno zdefiniowanych dotychczas, jak i nieznanych obecnie wyzwań, przyczyniać się będą działania realizowane w odniesieniu zarówno do obszaru kształcenia i rynku pracy, ale również cyfryzacji, przygotowujące kadry na potrzeby nowoczesnej gospodarki oraz funkcjonowanie w sytuacjach kryzysowych.</w:t>
      </w:r>
    </w:p>
    <w:p w14:paraId="37CF06CD" w14:textId="77777777" w:rsidR="00102030" w:rsidRPr="00E0193B" w:rsidRDefault="00102030" w:rsidP="00102030">
      <w:r w:rsidRPr="00E0193B">
        <w:t>Ponadto, inwestycje w sektorze opieki zdrowotnej zapewnią dostrzegalną poprawę odporności, dostępności i skuteczności systemu opieki zdrowotnej. W połączeniu z inwestycjami związanymi z innymi obszarami KPO (w tym ze środowiskiem i klimatem – zieloną energią i zmniejszaniem energochłonności) – działania te powinny wpłynąć w sposób znaczący na wartość wskaźnika długości życia w zdrowiu, jednocześnie przyczyniając się do zmniejszenia jego zróżnicowania przestrzennego. Poprawa kondycji zdrowotnej społeczeństwa przekładać się powinna na wzrost uczestnictwa w rynku pracy przy zwiększonej produktywności pracowników, co z kolei prowadzić będzie do wzrostu zamożności społeczeństwa, a tym samym do poprawy jakości życia i odporności społeczeństwa w kontekście wyzwań rozwojowych.</w:t>
      </w:r>
    </w:p>
    <w:p w14:paraId="4586D05E" w14:textId="653ACA35" w:rsidR="00E71AA6" w:rsidRPr="00E0193B" w:rsidRDefault="00102030" w:rsidP="00E71AA6">
      <w:r w:rsidRPr="00E0193B">
        <w:t>Realizacja KPO wzmocni również odporność w wymiarze instytucjonalnym. Będzie ona się przejawiała wyższymi kompetencjami podmiotów zaangażowanych w realizację KPO, wynikającymi m.in. z większej świadomości potrzeby dobrego zaplanowania interwencji, lepszego powiązania reform i inwestycji, zapewnienia spójności interwencji realizowanych z różnych źródeł finansowania (mechanizmy unikania podwójnego finansowania), czy też stosowania zasad DNSH przy planowaniu i realizacji inwestycji (szkolenia dla administracji centralnej oraz regionalnej w tym zakresie realizowane w ramach Instrumentu Wsparcia Technicznego KE). Dodatkowo, realizacja działań zaplanowanych ze środków REPowerEU, wzmacniających kadry w instytucjach wdrażających KPO, wpłynie na zwiększenie świadomości społecznej w kontekście zmian klimatu, w tym w zakresie transformacji energetycznej, ochrony środowiska czy stosowania zasady DNSH.</w:t>
      </w:r>
    </w:p>
    <w:p w14:paraId="7B9F20FF" w14:textId="41FE60A5" w:rsidR="00714A41" w:rsidRPr="00E0193B" w:rsidRDefault="00714A41" w:rsidP="65AB2DE7">
      <w:pPr>
        <w:pStyle w:val="Nagwek2"/>
        <w:rPr>
          <w:rStyle w:val="Nagwek2Znak"/>
          <w:b/>
          <w:bCs/>
        </w:rPr>
      </w:pPr>
      <w:bookmarkStart w:id="53" w:name="_Toc165533743"/>
      <w:r w:rsidRPr="00E0193B">
        <w:rPr>
          <w:rStyle w:val="Nagwek2Znak"/>
          <w:b/>
          <w:bCs/>
        </w:rPr>
        <w:t>4. Porównanie z bazowym poziomem inwestycji</w:t>
      </w:r>
      <w:bookmarkEnd w:id="53"/>
    </w:p>
    <w:p w14:paraId="3CC83E21" w14:textId="77777777" w:rsidR="00584FD7" w:rsidRPr="00E0193B" w:rsidRDefault="00584FD7" w:rsidP="00584FD7">
      <w:pPr>
        <w:spacing w:line="259" w:lineRule="auto"/>
        <w:rPr>
          <w:rFonts w:eastAsia="Calibri"/>
        </w:rPr>
      </w:pPr>
      <w:r w:rsidRPr="00E0193B">
        <w:rPr>
          <w:rFonts w:eastAsia="Calibri"/>
        </w:rPr>
        <w:t>Realizacja Krajowego Planu Odbudowy przyczyni się do zwiększenia aktywności inwestycyjnej w polskiej gospodarce, szczególnie w obszarach zbieżnych z kategoriami wydatkowymi (COFOG</w:t>
      </w:r>
      <w:r w:rsidRPr="00E0193B">
        <w:rPr>
          <w:rFonts w:eastAsia="Calibri"/>
          <w:vertAlign w:val="superscript"/>
        </w:rPr>
        <w:footnoteReference w:id="7"/>
      </w:r>
      <w:r w:rsidRPr="00E0193B">
        <w:rPr>
          <w:rFonts w:eastAsia="Calibri"/>
        </w:rPr>
        <w:t>), w których realizowane będą projekty z KPO.</w:t>
      </w:r>
    </w:p>
    <w:p w14:paraId="69045EDD" w14:textId="77777777" w:rsidR="00584FD7" w:rsidRPr="00E0193B" w:rsidRDefault="00584FD7" w:rsidP="00584FD7">
      <w:pPr>
        <w:spacing w:line="259" w:lineRule="auto"/>
        <w:rPr>
          <w:rFonts w:eastAsia="Calibri"/>
        </w:rPr>
      </w:pPr>
      <w:r w:rsidRPr="00E0193B">
        <w:rPr>
          <w:rFonts w:eastAsia="Calibri"/>
        </w:rPr>
        <w:lastRenderedPageBreak/>
        <w:t xml:space="preserve">Porównanie danych nt. prognozowanych, nominalnych wydatków inwestycyjnych w latach 2023-2026 w tych kategoriach, z danymi za okres przedkryzysowy lat 2017-2019, potwierdza tę hipotezę. W ujęciu względnym, tj. w relacji do PKB, wartość wydatków inwestycyjnych w tych kategoriach wydatkowych będzie wyższa średnio o ok. 3,9 pkt. proc. rocznie względem lat 2017-2019 oraz o 1,3 pkt. proc. względem tego samego okresu tj. lat 2023-2026, ale w scenariuszu bez środków z KPO.   </w:t>
      </w:r>
    </w:p>
    <w:p w14:paraId="56CE7414" w14:textId="5FF2A450" w:rsidR="00E71AA6" w:rsidRPr="00E0193B" w:rsidRDefault="00E71AA6" w:rsidP="00E71AA6">
      <w:pPr>
        <w:rPr>
          <w:rFonts w:eastAsiaTheme="majorEastAsia"/>
        </w:rPr>
      </w:pPr>
    </w:p>
    <w:p w14:paraId="0084317B" w14:textId="6CB444EB" w:rsidR="00714A41" w:rsidRPr="00E0193B" w:rsidRDefault="00714A41" w:rsidP="008A03B8">
      <w:r w:rsidRPr="00E0193B">
        <w:t xml:space="preserve"> </w:t>
      </w:r>
    </w:p>
    <w:bookmarkEnd w:id="49"/>
    <w:bookmarkEnd w:id="50"/>
    <w:p w14:paraId="19D1E0D4" w14:textId="10B3F80A" w:rsidR="00E05238" w:rsidRPr="00E0193B" w:rsidRDefault="00E05238" w:rsidP="008A03B8"/>
    <w:sectPr w:rsidR="00E05238" w:rsidRPr="00E0193B" w:rsidSect="00802FAD">
      <w:footerReference w:type="default" r:id="rId18"/>
      <w:pgSz w:w="11906" w:h="16838" w:code="9"/>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3B9000" w14:textId="77777777" w:rsidR="000D3B5A" w:rsidRDefault="000D3B5A" w:rsidP="008A03B8">
      <w:r>
        <w:separator/>
      </w:r>
    </w:p>
  </w:endnote>
  <w:endnote w:type="continuationSeparator" w:id="0">
    <w:p w14:paraId="429645B0" w14:textId="77777777" w:rsidR="000D3B5A" w:rsidRDefault="000D3B5A" w:rsidP="008A03B8">
      <w:r>
        <w:continuationSeparator/>
      </w:r>
    </w:p>
  </w:endnote>
  <w:endnote w:type="continuationNotice" w:id="1">
    <w:p w14:paraId="7D82F4D5" w14:textId="77777777" w:rsidR="000D3B5A" w:rsidRDefault="000D3B5A" w:rsidP="008A03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Times">
    <w:panose1 w:val="02020603050405020304"/>
    <w:charset w:val="EE"/>
    <w:family w:val="roman"/>
    <w:pitch w:val="variable"/>
    <w:sig w:usb0="E0002EFF" w:usb1="C000785B" w:usb2="00000009" w:usb3="00000000" w:csb0="000001FF" w:csb1="00000000"/>
  </w:font>
  <w:font w:name="EU Albertina">
    <w:altName w:val="Cambria"/>
    <w:panose1 w:val="00000000000000000000"/>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Lato">
    <w:altName w:val="Arial"/>
    <w:charset w:val="00"/>
    <w:family w:val="swiss"/>
    <w:pitch w:val="variable"/>
    <w:sig w:usb0="00000001" w:usb1="5000ECFF" w:usb2="00000021" w:usb3="00000000" w:csb0="0000019F" w:csb1="00000000"/>
  </w:font>
  <w:font w:name="TimesNewRomanPSMT">
    <w:altName w:val="Times New Roman"/>
    <w:charset w:val="00"/>
    <w:family w:val="roman"/>
    <w:pitch w:val="default"/>
  </w:font>
  <w:font w:name="TimesNewRomanPS-BoldMT">
    <w:altName w:val="Times New Roman"/>
    <w:charset w:val="00"/>
    <w:family w:val="roman"/>
    <w:pitch w:val="default"/>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85922" w14:textId="619C7624" w:rsidR="00CD1048" w:rsidRPr="00286088" w:rsidRDefault="00CD1048" w:rsidP="00C30802">
    <w:pPr>
      <w:pStyle w:val="Stopka"/>
      <w:jc w:val="center"/>
      <w:rPr>
        <w:rFonts w:ascii="Arial" w:hAnsi="Arial" w:cs="Arial"/>
      </w:rPr>
    </w:pPr>
    <w:r w:rsidRPr="00286088">
      <w:fldChar w:fldCharType="begin"/>
    </w:r>
    <w:r w:rsidRPr="00286088">
      <w:instrText xml:space="preserve"> PAGE  \* MERGEFORMAT </w:instrText>
    </w:r>
    <w:r w:rsidRPr="00286088">
      <w:fldChar w:fldCharType="separate"/>
    </w:r>
    <w:r w:rsidR="00697BB9">
      <w:rPr>
        <w:noProof/>
      </w:rPr>
      <w:t>6</w:t>
    </w:r>
    <w:r w:rsidRPr="0028608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A5C363" w14:textId="77777777" w:rsidR="000D3B5A" w:rsidRDefault="000D3B5A" w:rsidP="008A03B8">
      <w:r>
        <w:separator/>
      </w:r>
    </w:p>
  </w:footnote>
  <w:footnote w:type="continuationSeparator" w:id="0">
    <w:p w14:paraId="425D3503" w14:textId="77777777" w:rsidR="000D3B5A" w:rsidRDefault="000D3B5A" w:rsidP="008A03B8">
      <w:r>
        <w:continuationSeparator/>
      </w:r>
    </w:p>
  </w:footnote>
  <w:footnote w:type="continuationNotice" w:id="1">
    <w:p w14:paraId="5CC54A57" w14:textId="77777777" w:rsidR="000D3B5A" w:rsidRDefault="000D3B5A" w:rsidP="008A03B8"/>
  </w:footnote>
  <w:footnote w:id="2">
    <w:p w14:paraId="3B5FEB5D" w14:textId="12EEEA83" w:rsidR="1D361CDC" w:rsidRDefault="1D361CDC" w:rsidP="1D361CDC">
      <w:pPr>
        <w:pStyle w:val="Tekstprzypisudolnego"/>
      </w:pPr>
      <w:r>
        <w:footnoteRef/>
      </w:r>
      <w:r>
        <w:t xml:space="preserve"> Wg wstępnych danych GUS. Dane ostateczne zostaną opublikowane 23.04.2</w:t>
      </w:r>
      <w:r w:rsidR="006E4C86">
        <w:t>024</w:t>
      </w:r>
      <w:r>
        <w:t xml:space="preserve"> r.</w:t>
      </w:r>
    </w:p>
  </w:footnote>
  <w:footnote w:id="3">
    <w:p w14:paraId="18D469C6" w14:textId="77777777" w:rsidR="004A349F" w:rsidRDefault="004A349F" w:rsidP="004A349F">
      <w:pPr>
        <w:pStyle w:val="Tekstprzypisudolnego"/>
      </w:pPr>
      <w:r>
        <w:rPr>
          <w:rStyle w:val="Odwoanieprzypisudolnego"/>
          <w:rFonts w:eastAsiaTheme="minorEastAsia"/>
        </w:rPr>
        <w:footnoteRef/>
      </w:r>
      <w:r>
        <w:t xml:space="preserve"> </w:t>
      </w:r>
      <w:hyperlink r:id="rId1" w:history="1">
        <w:r>
          <w:rPr>
            <w:rStyle w:val="Hipercze"/>
            <w:rFonts w:eastAsia="Calibri"/>
          </w:rPr>
          <w:t>https://stat.gov.pl/download/gfx/portalinformacyjny/pl/defaultaktualnosci/5498/1/141/1/sytuacja_2_01_2024.pdf</w:t>
        </w:r>
      </w:hyperlink>
      <w:r>
        <w:t xml:space="preserve"> </w:t>
      </w:r>
    </w:p>
  </w:footnote>
  <w:footnote w:id="4">
    <w:p w14:paraId="08040FDA" w14:textId="77777777" w:rsidR="00B161F5" w:rsidRPr="00550679" w:rsidRDefault="00B161F5" w:rsidP="00B161F5">
      <w:pPr>
        <w:pStyle w:val="Tekstprzypisudolnego"/>
        <w:jc w:val="left"/>
      </w:pPr>
      <w:r>
        <w:rPr>
          <w:rStyle w:val="Odwoanieprzypisudolnego"/>
        </w:rPr>
        <w:footnoteRef/>
      </w:r>
      <w:r w:rsidRPr="00550679">
        <w:t xml:space="preserve"> </w:t>
      </w:r>
      <w:hyperlink r:id="rId2" w:history="1">
        <w:r w:rsidRPr="00550679">
          <w:rPr>
            <w:rStyle w:val="Hipercze"/>
          </w:rPr>
          <w:t>https://stat.gov.pl/obszary-tematyczne/ceny-handel/wskazniki-cen/wskazniki-cen-towarow-i-uslug-konsumpcyjnych-w-styczniu-2024-roku-dane-wstepne,2,147.html</w:t>
        </w:r>
      </w:hyperlink>
      <w:r w:rsidRPr="00550679">
        <w:t xml:space="preserve"> </w:t>
      </w:r>
    </w:p>
  </w:footnote>
  <w:footnote w:id="5">
    <w:p w14:paraId="1EE0C95B" w14:textId="77777777" w:rsidR="00B161F5" w:rsidRPr="00B8497C" w:rsidRDefault="00B161F5" w:rsidP="00B161F5">
      <w:pPr>
        <w:pStyle w:val="Tekstprzypisudolnego"/>
      </w:pPr>
      <w:r>
        <w:rPr>
          <w:rStyle w:val="Odwoanieprzypisudolnego"/>
        </w:rPr>
        <w:footnoteRef/>
      </w:r>
      <w:r w:rsidRPr="00B8497C">
        <w:t xml:space="preserve"> </w:t>
      </w:r>
      <w:hyperlink r:id="rId3" w:history="1">
        <w:r w:rsidRPr="00B8497C">
          <w:rPr>
            <w:rStyle w:val="Hipercze"/>
          </w:rPr>
          <w:t>https://www.wnp.pl/finanse/komisja-europejska-ma-nowe-prognozy-dla-polskiej-gospodarki,805124.html</w:t>
        </w:r>
      </w:hyperlink>
      <w:r w:rsidRPr="00B8497C">
        <w:t xml:space="preserve"> </w:t>
      </w:r>
    </w:p>
  </w:footnote>
  <w:footnote w:id="6">
    <w:p w14:paraId="30997383" w14:textId="77777777" w:rsidR="00B161F5" w:rsidRPr="00B8497C" w:rsidRDefault="00B161F5" w:rsidP="00B161F5">
      <w:pPr>
        <w:pStyle w:val="Tekstprzypisudolnego"/>
      </w:pPr>
      <w:r>
        <w:rPr>
          <w:rStyle w:val="Odwoanieprzypisudolnego"/>
        </w:rPr>
        <w:footnoteRef/>
      </w:r>
      <w:r w:rsidRPr="00B8497C">
        <w:t xml:space="preserve"> </w:t>
      </w:r>
      <w:hyperlink r:id="rId4" w:history="1">
        <w:r w:rsidRPr="00B8497C">
          <w:rPr>
            <w:rStyle w:val="Hipercze"/>
          </w:rPr>
          <w:t>https://poland.representation.ec.europa.eu/news/prognoza-gospodarcza-zima-2023-2023-02-13_pl</w:t>
        </w:r>
      </w:hyperlink>
      <w:r w:rsidRPr="00B8497C">
        <w:t xml:space="preserve"> </w:t>
      </w:r>
    </w:p>
  </w:footnote>
  <w:footnote w:id="7">
    <w:p w14:paraId="67B82D2F" w14:textId="77777777" w:rsidR="00584FD7" w:rsidRDefault="00584FD7" w:rsidP="00584FD7">
      <w:pPr>
        <w:pStyle w:val="Tekstprzypisudolnego"/>
      </w:pPr>
      <w:r>
        <w:rPr>
          <w:rStyle w:val="Odwoanieprzypisudolnego"/>
        </w:rPr>
        <w:footnoteRef/>
      </w:r>
      <w:r>
        <w:t xml:space="preserve"> Klasyfikacja wydatków sektora instytucji rządowych i samorządowych wg funkcji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10612"/>
    <w:multiLevelType w:val="hybridMultilevel"/>
    <w:tmpl w:val="1E167AE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049F774A"/>
    <w:multiLevelType w:val="hybridMultilevel"/>
    <w:tmpl w:val="63728D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836EAA"/>
    <w:multiLevelType w:val="hybridMultilevel"/>
    <w:tmpl w:val="8D50C3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D4C5C57"/>
    <w:multiLevelType w:val="hybridMultilevel"/>
    <w:tmpl w:val="362E02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08D27BE"/>
    <w:multiLevelType w:val="hybridMultilevel"/>
    <w:tmpl w:val="3C6A36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3E4330B"/>
    <w:multiLevelType w:val="multilevel"/>
    <w:tmpl w:val="875C4416"/>
    <w:name w:val="List Dash 3"/>
    <w:lvl w:ilvl="0">
      <w:start w:val="1"/>
      <w:numFmt w:val="decimal"/>
      <w:pStyle w:val="ListNumber1"/>
      <w:lvlText w:val="(%1)"/>
      <w:lvlJc w:val="left"/>
      <w:pPr>
        <w:tabs>
          <w:tab w:val="num" w:pos="1560"/>
        </w:tabs>
        <w:ind w:left="1560" w:hanging="709"/>
      </w:pPr>
    </w:lvl>
    <w:lvl w:ilvl="1">
      <w:start w:val="1"/>
      <w:numFmt w:val="lowerLetter"/>
      <w:pStyle w:val="ListNumber1Level2"/>
      <w:lvlText w:val="(%2)"/>
      <w:lvlJc w:val="left"/>
      <w:pPr>
        <w:tabs>
          <w:tab w:val="num" w:pos="2268"/>
        </w:tabs>
        <w:ind w:left="2268" w:hanging="708"/>
      </w:p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 w15:restartNumberingAfterBreak="0">
    <w:nsid w:val="14CB6A64"/>
    <w:multiLevelType w:val="hybridMultilevel"/>
    <w:tmpl w:val="457AB2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59F2B72"/>
    <w:multiLevelType w:val="hybridMultilevel"/>
    <w:tmpl w:val="D58277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72361F9"/>
    <w:multiLevelType w:val="hybridMultilevel"/>
    <w:tmpl w:val="74F07F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2845761"/>
    <w:multiLevelType w:val="hybridMultilevel"/>
    <w:tmpl w:val="F1643A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2E44180"/>
    <w:multiLevelType w:val="multilevel"/>
    <w:tmpl w:val="DDA23156"/>
    <w:name w:val="NumPar"/>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6123555"/>
    <w:multiLevelType w:val="hybridMultilevel"/>
    <w:tmpl w:val="6B60A8A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8F56C62"/>
    <w:multiLevelType w:val="hybridMultilevel"/>
    <w:tmpl w:val="5DA0244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29B300D8"/>
    <w:multiLevelType w:val="hybridMultilevel"/>
    <w:tmpl w:val="D95664C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29E023C9"/>
    <w:multiLevelType w:val="hybridMultilevel"/>
    <w:tmpl w:val="1BEC6D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0D925F7"/>
    <w:multiLevelType w:val="hybridMultilevel"/>
    <w:tmpl w:val="5C1E7CFC"/>
    <w:lvl w:ilvl="0" w:tplc="04150001">
      <w:start w:val="1"/>
      <w:numFmt w:val="bullet"/>
      <w:lvlText w:val=""/>
      <w:lvlJc w:val="left"/>
      <w:pPr>
        <w:ind w:left="774" w:hanging="360"/>
      </w:pPr>
      <w:rPr>
        <w:rFonts w:ascii="Symbol" w:hAnsi="Symbol" w:hint="default"/>
      </w:rPr>
    </w:lvl>
    <w:lvl w:ilvl="1" w:tplc="04150003">
      <w:start w:val="1"/>
      <w:numFmt w:val="bullet"/>
      <w:lvlText w:val="o"/>
      <w:lvlJc w:val="left"/>
      <w:pPr>
        <w:ind w:left="1494" w:hanging="360"/>
      </w:pPr>
      <w:rPr>
        <w:rFonts w:ascii="Courier New" w:hAnsi="Courier New" w:cs="Courier New" w:hint="default"/>
      </w:rPr>
    </w:lvl>
    <w:lvl w:ilvl="2" w:tplc="04150005">
      <w:start w:val="1"/>
      <w:numFmt w:val="bullet"/>
      <w:lvlText w:val=""/>
      <w:lvlJc w:val="left"/>
      <w:pPr>
        <w:ind w:left="2214" w:hanging="360"/>
      </w:pPr>
      <w:rPr>
        <w:rFonts w:ascii="Wingdings" w:hAnsi="Wingdings" w:hint="default"/>
      </w:rPr>
    </w:lvl>
    <w:lvl w:ilvl="3" w:tplc="04150001">
      <w:start w:val="1"/>
      <w:numFmt w:val="bullet"/>
      <w:lvlText w:val=""/>
      <w:lvlJc w:val="left"/>
      <w:pPr>
        <w:ind w:left="2934" w:hanging="360"/>
      </w:pPr>
      <w:rPr>
        <w:rFonts w:ascii="Symbol" w:hAnsi="Symbol" w:hint="default"/>
      </w:rPr>
    </w:lvl>
    <w:lvl w:ilvl="4" w:tplc="04150003">
      <w:start w:val="1"/>
      <w:numFmt w:val="bullet"/>
      <w:lvlText w:val="o"/>
      <w:lvlJc w:val="left"/>
      <w:pPr>
        <w:ind w:left="3654" w:hanging="360"/>
      </w:pPr>
      <w:rPr>
        <w:rFonts w:ascii="Courier New" w:hAnsi="Courier New" w:cs="Courier New" w:hint="default"/>
      </w:rPr>
    </w:lvl>
    <w:lvl w:ilvl="5" w:tplc="04150005">
      <w:start w:val="1"/>
      <w:numFmt w:val="bullet"/>
      <w:lvlText w:val=""/>
      <w:lvlJc w:val="left"/>
      <w:pPr>
        <w:ind w:left="4374" w:hanging="360"/>
      </w:pPr>
      <w:rPr>
        <w:rFonts w:ascii="Wingdings" w:hAnsi="Wingdings" w:hint="default"/>
      </w:rPr>
    </w:lvl>
    <w:lvl w:ilvl="6" w:tplc="04150001">
      <w:start w:val="1"/>
      <w:numFmt w:val="bullet"/>
      <w:lvlText w:val=""/>
      <w:lvlJc w:val="left"/>
      <w:pPr>
        <w:ind w:left="5094" w:hanging="360"/>
      </w:pPr>
      <w:rPr>
        <w:rFonts w:ascii="Symbol" w:hAnsi="Symbol" w:hint="default"/>
      </w:rPr>
    </w:lvl>
    <w:lvl w:ilvl="7" w:tplc="04150003">
      <w:start w:val="1"/>
      <w:numFmt w:val="bullet"/>
      <w:lvlText w:val="o"/>
      <w:lvlJc w:val="left"/>
      <w:pPr>
        <w:ind w:left="5814" w:hanging="360"/>
      </w:pPr>
      <w:rPr>
        <w:rFonts w:ascii="Courier New" w:hAnsi="Courier New" w:cs="Courier New" w:hint="default"/>
      </w:rPr>
    </w:lvl>
    <w:lvl w:ilvl="8" w:tplc="04150005">
      <w:start w:val="1"/>
      <w:numFmt w:val="bullet"/>
      <w:lvlText w:val=""/>
      <w:lvlJc w:val="left"/>
      <w:pPr>
        <w:ind w:left="6534" w:hanging="360"/>
      </w:pPr>
      <w:rPr>
        <w:rFonts w:ascii="Wingdings" w:hAnsi="Wingdings" w:hint="default"/>
      </w:rPr>
    </w:lvl>
  </w:abstractNum>
  <w:abstractNum w:abstractNumId="16" w15:restartNumberingAfterBreak="0">
    <w:nsid w:val="335A3A28"/>
    <w:multiLevelType w:val="hybridMultilevel"/>
    <w:tmpl w:val="BCDCF7E8"/>
    <w:lvl w:ilvl="0" w:tplc="68EA53A8">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5C51702"/>
    <w:multiLevelType w:val="multilevel"/>
    <w:tmpl w:val="DD326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4A6248"/>
    <w:multiLevelType w:val="hybridMultilevel"/>
    <w:tmpl w:val="8F58B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F914EF"/>
    <w:multiLevelType w:val="hybridMultilevel"/>
    <w:tmpl w:val="868ACE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9CC16CF"/>
    <w:multiLevelType w:val="hybridMultilevel"/>
    <w:tmpl w:val="03DAFDBC"/>
    <w:lvl w:ilvl="0" w:tplc="37E234A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B8D4D6C"/>
    <w:multiLevelType w:val="hybridMultilevel"/>
    <w:tmpl w:val="D1B8210C"/>
    <w:lvl w:ilvl="0" w:tplc="C60C6996">
      <w:start w:val="1"/>
      <w:numFmt w:val="lowerRoman"/>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3D4A78A2"/>
    <w:multiLevelType w:val="hybridMultilevel"/>
    <w:tmpl w:val="43C091E8"/>
    <w:lvl w:ilvl="0" w:tplc="04150001">
      <w:start w:val="1"/>
      <w:numFmt w:val="bullet"/>
      <w:lvlText w:val=""/>
      <w:lvlJc w:val="left"/>
      <w:pPr>
        <w:ind w:left="780" w:hanging="360"/>
      </w:pPr>
      <w:rPr>
        <w:rFonts w:ascii="Symbol" w:hAnsi="Symbol" w:hint="default"/>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23" w15:restartNumberingAfterBreak="0">
    <w:nsid w:val="42684184"/>
    <w:multiLevelType w:val="hybridMultilevel"/>
    <w:tmpl w:val="9A5413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8800F08"/>
    <w:multiLevelType w:val="hybridMultilevel"/>
    <w:tmpl w:val="D7321110"/>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5" w15:restartNumberingAfterBreak="0">
    <w:nsid w:val="4C5D4DB7"/>
    <w:multiLevelType w:val="hybridMultilevel"/>
    <w:tmpl w:val="4BB606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DD17EEE"/>
    <w:multiLevelType w:val="hybridMultilevel"/>
    <w:tmpl w:val="76D069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EAF6511"/>
    <w:multiLevelType w:val="hybridMultilevel"/>
    <w:tmpl w:val="850C9AD0"/>
    <w:lvl w:ilvl="0" w:tplc="C60C6996">
      <w:start w:val="1"/>
      <w:numFmt w:val="lowerRoman"/>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50993ECD"/>
    <w:multiLevelType w:val="hybridMultilevel"/>
    <w:tmpl w:val="4F4681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7826E86"/>
    <w:multiLevelType w:val="multilevel"/>
    <w:tmpl w:val="D5720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9101C6"/>
    <w:multiLevelType w:val="hybridMultilevel"/>
    <w:tmpl w:val="8CE46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8F73B10"/>
    <w:multiLevelType w:val="hybridMultilevel"/>
    <w:tmpl w:val="23DAA4A2"/>
    <w:lvl w:ilvl="0" w:tplc="FAC4F6A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 w15:restartNumberingAfterBreak="0">
    <w:nsid w:val="5ACE4EB4"/>
    <w:multiLevelType w:val="hybridMultilevel"/>
    <w:tmpl w:val="2FB0E4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DE97185"/>
    <w:multiLevelType w:val="multilevel"/>
    <w:tmpl w:val="C2A0F3F6"/>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6053273A"/>
    <w:multiLevelType w:val="hybridMultilevel"/>
    <w:tmpl w:val="3CF63B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1084A8B"/>
    <w:multiLevelType w:val="hybridMultilevel"/>
    <w:tmpl w:val="09CAF454"/>
    <w:lvl w:ilvl="0" w:tplc="1172B854">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36" w15:restartNumberingAfterBreak="0">
    <w:nsid w:val="61333249"/>
    <w:multiLevelType w:val="hybridMultilevel"/>
    <w:tmpl w:val="89D2BD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7307725"/>
    <w:multiLevelType w:val="hybridMultilevel"/>
    <w:tmpl w:val="D41A9B4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15:restartNumberingAfterBreak="0">
    <w:nsid w:val="686C4AB3"/>
    <w:multiLevelType w:val="hybridMultilevel"/>
    <w:tmpl w:val="40C2C170"/>
    <w:lvl w:ilvl="0" w:tplc="DB6EC12C">
      <w:start w:val="10"/>
      <w:numFmt w:val="bullet"/>
      <w:lvlText w:val="-"/>
      <w:lvlJc w:val="left"/>
      <w:pPr>
        <w:ind w:left="361" w:hanging="360"/>
      </w:pPr>
      <w:rPr>
        <w:rFonts w:ascii="Times New Roman" w:eastAsia="Times New Roman" w:hAnsi="Times New Roman" w:cs="Times New Roman" w:hint="default"/>
      </w:rPr>
    </w:lvl>
    <w:lvl w:ilvl="1" w:tplc="04150003" w:tentative="1">
      <w:start w:val="1"/>
      <w:numFmt w:val="bullet"/>
      <w:lvlText w:val="o"/>
      <w:lvlJc w:val="left"/>
      <w:pPr>
        <w:ind w:left="1081" w:hanging="360"/>
      </w:pPr>
      <w:rPr>
        <w:rFonts w:ascii="Courier New" w:hAnsi="Courier New" w:cs="Courier New" w:hint="default"/>
      </w:rPr>
    </w:lvl>
    <w:lvl w:ilvl="2" w:tplc="04150005" w:tentative="1">
      <w:start w:val="1"/>
      <w:numFmt w:val="bullet"/>
      <w:lvlText w:val=""/>
      <w:lvlJc w:val="left"/>
      <w:pPr>
        <w:ind w:left="1801" w:hanging="360"/>
      </w:pPr>
      <w:rPr>
        <w:rFonts w:ascii="Wingdings" w:hAnsi="Wingdings" w:hint="default"/>
      </w:rPr>
    </w:lvl>
    <w:lvl w:ilvl="3" w:tplc="04150001" w:tentative="1">
      <w:start w:val="1"/>
      <w:numFmt w:val="bullet"/>
      <w:lvlText w:val=""/>
      <w:lvlJc w:val="left"/>
      <w:pPr>
        <w:ind w:left="2521" w:hanging="360"/>
      </w:pPr>
      <w:rPr>
        <w:rFonts w:ascii="Symbol" w:hAnsi="Symbol" w:hint="default"/>
      </w:rPr>
    </w:lvl>
    <w:lvl w:ilvl="4" w:tplc="04150003" w:tentative="1">
      <w:start w:val="1"/>
      <w:numFmt w:val="bullet"/>
      <w:lvlText w:val="o"/>
      <w:lvlJc w:val="left"/>
      <w:pPr>
        <w:ind w:left="3241" w:hanging="360"/>
      </w:pPr>
      <w:rPr>
        <w:rFonts w:ascii="Courier New" w:hAnsi="Courier New" w:cs="Courier New" w:hint="default"/>
      </w:rPr>
    </w:lvl>
    <w:lvl w:ilvl="5" w:tplc="04150005" w:tentative="1">
      <w:start w:val="1"/>
      <w:numFmt w:val="bullet"/>
      <w:lvlText w:val=""/>
      <w:lvlJc w:val="left"/>
      <w:pPr>
        <w:ind w:left="3961" w:hanging="360"/>
      </w:pPr>
      <w:rPr>
        <w:rFonts w:ascii="Wingdings" w:hAnsi="Wingdings" w:hint="default"/>
      </w:rPr>
    </w:lvl>
    <w:lvl w:ilvl="6" w:tplc="04150001" w:tentative="1">
      <w:start w:val="1"/>
      <w:numFmt w:val="bullet"/>
      <w:lvlText w:val=""/>
      <w:lvlJc w:val="left"/>
      <w:pPr>
        <w:ind w:left="4681" w:hanging="360"/>
      </w:pPr>
      <w:rPr>
        <w:rFonts w:ascii="Symbol" w:hAnsi="Symbol" w:hint="default"/>
      </w:rPr>
    </w:lvl>
    <w:lvl w:ilvl="7" w:tplc="04150003" w:tentative="1">
      <w:start w:val="1"/>
      <w:numFmt w:val="bullet"/>
      <w:lvlText w:val="o"/>
      <w:lvlJc w:val="left"/>
      <w:pPr>
        <w:ind w:left="5401" w:hanging="360"/>
      </w:pPr>
      <w:rPr>
        <w:rFonts w:ascii="Courier New" w:hAnsi="Courier New" w:cs="Courier New" w:hint="default"/>
      </w:rPr>
    </w:lvl>
    <w:lvl w:ilvl="8" w:tplc="04150005" w:tentative="1">
      <w:start w:val="1"/>
      <w:numFmt w:val="bullet"/>
      <w:lvlText w:val=""/>
      <w:lvlJc w:val="left"/>
      <w:pPr>
        <w:ind w:left="6121" w:hanging="360"/>
      </w:pPr>
      <w:rPr>
        <w:rFonts w:ascii="Wingdings" w:hAnsi="Wingdings" w:hint="default"/>
      </w:rPr>
    </w:lvl>
  </w:abstractNum>
  <w:abstractNum w:abstractNumId="39" w15:restartNumberingAfterBreak="0">
    <w:nsid w:val="68E31F51"/>
    <w:multiLevelType w:val="hybridMultilevel"/>
    <w:tmpl w:val="567640F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B393C09"/>
    <w:multiLevelType w:val="hybridMultilevel"/>
    <w:tmpl w:val="B5528D1C"/>
    <w:lvl w:ilvl="0" w:tplc="1540AD2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12B9D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A54972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6621FD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96B1B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2B4D56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C2292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1A453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C86386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BDA59E8"/>
    <w:multiLevelType w:val="hybridMultilevel"/>
    <w:tmpl w:val="A7E2FC6C"/>
    <w:lvl w:ilvl="0" w:tplc="DB6EC12C">
      <w:start w:val="10"/>
      <w:numFmt w:val="bullet"/>
      <w:lvlText w:val="-"/>
      <w:lvlJc w:val="left"/>
      <w:pPr>
        <w:ind w:left="918" w:hanging="360"/>
      </w:pPr>
      <w:rPr>
        <w:rFonts w:ascii="Times New Roman" w:eastAsia="Times New Roman" w:hAnsi="Times New Roman" w:cs="Times New Roman" w:hint="default"/>
      </w:rPr>
    </w:lvl>
    <w:lvl w:ilvl="1" w:tplc="04150003" w:tentative="1">
      <w:start w:val="1"/>
      <w:numFmt w:val="bullet"/>
      <w:lvlText w:val="o"/>
      <w:lvlJc w:val="left"/>
      <w:pPr>
        <w:ind w:left="1997" w:hanging="360"/>
      </w:pPr>
      <w:rPr>
        <w:rFonts w:ascii="Courier New" w:hAnsi="Courier New" w:cs="Courier New" w:hint="default"/>
      </w:rPr>
    </w:lvl>
    <w:lvl w:ilvl="2" w:tplc="04150005" w:tentative="1">
      <w:start w:val="1"/>
      <w:numFmt w:val="bullet"/>
      <w:lvlText w:val=""/>
      <w:lvlJc w:val="left"/>
      <w:pPr>
        <w:ind w:left="2717" w:hanging="360"/>
      </w:pPr>
      <w:rPr>
        <w:rFonts w:ascii="Wingdings" w:hAnsi="Wingdings" w:hint="default"/>
      </w:rPr>
    </w:lvl>
    <w:lvl w:ilvl="3" w:tplc="04150001" w:tentative="1">
      <w:start w:val="1"/>
      <w:numFmt w:val="bullet"/>
      <w:lvlText w:val=""/>
      <w:lvlJc w:val="left"/>
      <w:pPr>
        <w:ind w:left="3437" w:hanging="360"/>
      </w:pPr>
      <w:rPr>
        <w:rFonts w:ascii="Symbol" w:hAnsi="Symbol" w:hint="default"/>
      </w:rPr>
    </w:lvl>
    <w:lvl w:ilvl="4" w:tplc="04150003" w:tentative="1">
      <w:start w:val="1"/>
      <w:numFmt w:val="bullet"/>
      <w:lvlText w:val="o"/>
      <w:lvlJc w:val="left"/>
      <w:pPr>
        <w:ind w:left="4157" w:hanging="360"/>
      </w:pPr>
      <w:rPr>
        <w:rFonts w:ascii="Courier New" w:hAnsi="Courier New" w:cs="Courier New" w:hint="default"/>
      </w:rPr>
    </w:lvl>
    <w:lvl w:ilvl="5" w:tplc="04150005" w:tentative="1">
      <w:start w:val="1"/>
      <w:numFmt w:val="bullet"/>
      <w:lvlText w:val=""/>
      <w:lvlJc w:val="left"/>
      <w:pPr>
        <w:ind w:left="4877" w:hanging="360"/>
      </w:pPr>
      <w:rPr>
        <w:rFonts w:ascii="Wingdings" w:hAnsi="Wingdings" w:hint="default"/>
      </w:rPr>
    </w:lvl>
    <w:lvl w:ilvl="6" w:tplc="04150001" w:tentative="1">
      <w:start w:val="1"/>
      <w:numFmt w:val="bullet"/>
      <w:lvlText w:val=""/>
      <w:lvlJc w:val="left"/>
      <w:pPr>
        <w:ind w:left="5597" w:hanging="360"/>
      </w:pPr>
      <w:rPr>
        <w:rFonts w:ascii="Symbol" w:hAnsi="Symbol" w:hint="default"/>
      </w:rPr>
    </w:lvl>
    <w:lvl w:ilvl="7" w:tplc="04150003" w:tentative="1">
      <w:start w:val="1"/>
      <w:numFmt w:val="bullet"/>
      <w:lvlText w:val="o"/>
      <w:lvlJc w:val="left"/>
      <w:pPr>
        <w:ind w:left="6317" w:hanging="360"/>
      </w:pPr>
      <w:rPr>
        <w:rFonts w:ascii="Courier New" w:hAnsi="Courier New" w:cs="Courier New" w:hint="default"/>
      </w:rPr>
    </w:lvl>
    <w:lvl w:ilvl="8" w:tplc="04150005" w:tentative="1">
      <w:start w:val="1"/>
      <w:numFmt w:val="bullet"/>
      <w:lvlText w:val=""/>
      <w:lvlJc w:val="left"/>
      <w:pPr>
        <w:ind w:left="7037" w:hanging="360"/>
      </w:pPr>
      <w:rPr>
        <w:rFonts w:ascii="Wingdings" w:hAnsi="Wingdings" w:hint="default"/>
      </w:rPr>
    </w:lvl>
  </w:abstractNum>
  <w:abstractNum w:abstractNumId="42" w15:restartNumberingAfterBreak="0">
    <w:nsid w:val="6FA42717"/>
    <w:multiLevelType w:val="hybridMultilevel"/>
    <w:tmpl w:val="A0DE03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16F7008"/>
    <w:multiLevelType w:val="hybridMultilevel"/>
    <w:tmpl w:val="6B30822C"/>
    <w:lvl w:ilvl="0" w:tplc="0415000F">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2F32E79"/>
    <w:multiLevelType w:val="hybridMultilevel"/>
    <w:tmpl w:val="0F8481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CBE4812"/>
    <w:multiLevelType w:val="hybridMultilevel"/>
    <w:tmpl w:val="23C821E4"/>
    <w:name w:val="Considérant"/>
    <w:lvl w:ilvl="0" w:tplc="61CEBA0A">
      <w:start w:val="1"/>
      <w:numFmt w:val="decimal"/>
      <w:pStyle w:val="Considrant"/>
      <w:lvlText w:val="(%1)"/>
      <w:lvlJc w:val="left"/>
      <w:pPr>
        <w:tabs>
          <w:tab w:val="num" w:pos="709"/>
        </w:tabs>
        <w:ind w:left="709" w:hanging="709"/>
      </w:pPr>
    </w:lvl>
    <w:lvl w:ilvl="1" w:tplc="8FA2CE86">
      <w:numFmt w:val="decimal"/>
      <w:lvlText w:val=""/>
      <w:lvlJc w:val="left"/>
    </w:lvl>
    <w:lvl w:ilvl="2" w:tplc="8C38BB4E">
      <w:numFmt w:val="decimal"/>
      <w:lvlText w:val=""/>
      <w:lvlJc w:val="left"/>
    </w:lvl>
    <w:lvl w:ilvl="3" w:tplc="2FAC2578">
      <w:numFmt w:val="decimal"/>
      <w:lvlText w:val=""/>
      <w:lvlJc w:val="left"/>
    </w:lvl>
    <w:lvl w:ilvl="4" w:tplc="D29C4BF2">
      <w:numFmt w:val="decimal"/>
      <w:lvlText w:val=""/>
      <w:lvlJc w:val="left"/>
    </w:lvl>
    <w:lvl w:ilvl="5" w:tplc="12FA5E12">
      <w:numFmt w:val="decimal"/>
      <w:lvlText w:val=""/>
      <w:lvlJc w:val="left"/>
    </w:lvl>
    <w:lvl w:ilvl="6" w:tplc="6690026A">
      <w:numFmt w:val="decimal"/>
      <w:lvlText w:val=""/>
      <w:lvlJc w:val="left"/>
    </w:lvl>
    <w:lvl w:ilvl="7" w:tplc="EAE63530">
      <w:numFmt w:val="decimal"/>
      <w:lvlText w:val=""/>
      <w:lvlJc w:val="left"/>
    </w:lvl>
    <w:lvl w:ilvl="8" w:tplc="BAEA1EBC">
      <w:numFmt w:val="decimal"/>
      <w:lvlText w:val=""/>
      <w:lvlJc w:val="left"/>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5"/>
    <w:lvlOverride w:ilvl="0">
      <w:startOverride w:val="1"/>
    </w:lvlOverride>
  </w:num>
  <w:num w:numId="3">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num>
  <w:num w:numId="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0"/>
  </w:num>
  <w:num w:numId="7">
    <w:abstractNumId w:val="35"/>
  </w:num>
  <w:num w:numId="8">
    <w:abstractNumId w:val="38"/>
  </w:num>
  <w:num w:numId="9">
    <w:abstractNumId w:val="41"/>
  </w:num>
  <w:num w:numId="10">
    <w:abstractNumId w:val="28"/>
  </w:num>
  <w:num w:numId="11">
    <w:abstractNumId w:val="19"/>
  </w:num>
  <w:num w:numId="12">
    <w:abstractNumId w:val="23"/>
  </w:num>
  <w:num w:numId="13">
    <w:abstractNumId w:val="22"/>
  </w:num>
  <w:num w:numId="14">
    <w:abstractNumId w:val="26"/>
  </w:num>
  <w:num w:numId="15">
    <w:abstractNumId w:val="20"/>
  </w:num>
  <w:num w:numId="16">
    <w:abstractNumId w:val="18"/>
  </w:num>
  <w:num w:numId="17">
    <w:abstractNumId w:val="16"/>
  </w:num>
  <w:num w:numId="18">
    <w:abstractNumId w:val="7"/>
  </w:num>
  <w:num w:numId="19">
    <w:abstractNumId w:val="1"/>
  </w:num>
  <w:num w:numId="20">
    <w:abstractNumId w:val="13"/>
  </w:num>
  <w:num w:numId="21">
    <w:abstractNumId w:val="2"/>
  </w:num>
  <w:num w:numId="22">
    <w:abstractNumId w:val="30"/>
  </w:num>
  <w:num w:numId="23">
    <w:abstractNumId w:val="8"/>
  </w:num>
  <w:num w:numId="24">
    <w:abstractNumId w:val="21"/>
  </w:num>
  <w:num w:numId="25">
    <w:abstractNumId w:val="27"/>
  </w:num>
  <w:num w:numId="26">
    <w:abstractNumId w:val="33"/>
  </w:num>
  <w:num w:numId="27">
    <w:abstractNumId w:val="6"/>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39"/>
  </w:num>
  <w:num w:numId="31">
    <w:abstractNumId w:val="12"/>
  </w:num>
  <w:num w:numId="32">
    <w:abstractNumId w:val="11"/>
  </w:num>
  <w:num w:numId="33">
    <w:abstractNumId w:val="9"/>
  </w:num>
  <w:num w:numId="34">
    <w:abstractNumId w:val="44"/>
  </w:num>
  <w:num w:numId="35">
    <w:abstractNumId w:val="14"/>
  </w:num>
  <w:num w:numId="36">
    <w:abstractNumId w:val="42"/>
  </w:num>
  <w:num w:numId="37">
    <w:abstractNumId w:val="25"/>
  </w:num>
  <w:num w:numId="38">
    <w:abstractNumId w:val="36"/>
  </w:num>
  <w:num w:numId="39">
    <w:abstractNumId w:val="15"/>
  </w:num>
  <w:num w:numId="40">
    <w:abstractNumId w:val="31"/>
  </w:num>
  <w:num w:numId="41">
    <w:abstractNumId w:val="43"/>
  </w:num>
  <w:num w:numId="42">
    <w:abstractNumId w:val="17"/>
  </w:num>
  <w:num w:numId="43">
    <w:abstractNumId w:val="29"/>
  </w:num>
  <w:num w:numId="44">
    <w:abstractNumId w:val="34"/>
  </w:num>
  <w:num w:numId="45">
    <w:abstractNumId w:val="0"/>
  </w:num>
  <w:num w:numId="46">
    <w:abstractNumId w:val="3"/>
  </w:num>
  <w:num w:numId="47">
    <w:abstractNumId w:val="3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4096" w:nlCheck="1" w:checkStyle="0"/>
  <w:attachedTemplate r:id="rId1"/>
  <w:defaultTabStop w:val="720"/>
  <w:hyphenationZone w:val="425"/>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Status" w:val="Green"/>
    <w:docVar w:name="DQCStatus" w:val="Red"/>
    <w:docVar w:name="LW_CORRIGENDUM" w:val="&lt;UNUSED&gt;"/>
    <w:docVar w:name="LW_COVERPAGE_EXISTS" w:val="True"/>
    <w:docVar w:name="LW_COVERPAGE_GUID" w:val="74124E33-D47E-49C5-B783-0BBE93B4A092"/>
    <w:docVar w:name="LW_COVERPAGE_TYPE" w:val="1"/>
    <w:docVar w:name="LW_CROSSREFERENCE" w:val="&lt;UNUSED&gt;"/>
    <w:docVar w:name="LW_DocType" w:val="COM"/>
    <w:docVar w:name="LW_EMISSION" w:val="&lt;EMPTY&gt;"/>
    <w:docVar w:name="LW_EMISSION_ISODATE" w:val="&lt;EMPTY&gt;"/>
    <w:docVar w:name="LW_EMISSION_LOCATION" w:val="BRX"/>
    <w:docVar w:name="LW_EMISSION_PREFIX" w:val="Brussels, "/>
    <w:docVar w:name="LW_EMISSION_SUFFIX" w:val=" "/>
    <w:docVar w:name="LW_ID_DOCTYPE_NONLW" w:val="CP-024"/>
    <w:docVar w:name="LW_LANGUE" w:val="EN"/>
    <w:docVar w:name="LW_LEVEL_OF_SENSITIVITY" w:val="Standard treatment"/>
    <w:docVar w:name="LW_NOM.INST" w:val="EUROPEAN COMMISSION"/>
    <w:docVar w:name="LW_NOM.INST_JOINTDOC" w:val="&lt;EMPTY&gt;"/>
    <w:docVar w:name="LW_PART_NBR" w:val="2"/>
    <w:docVar w:name="LW_PART_NBR_TOTAL" w:val="2"/>
    <w:docVar w:name="LW_REF.INST.NEW" w:val="&lt;EMPTY&gt;"/>
    <w:docVar w:name="LW_REF.INST.NEW_ADOPTED" w:val="draft"/>
    <w:docVar w:name="LW_REF.INST.NEW_TEXT" w:val="(2022) XXX"/>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FMT:Bold&gt;GUIDANCE TO MEMBER STATES&lt;/FMT&gt;_x000d__x000d__x000b__x000d__x000d__x000b_&lt;FMT:Bold&gt;RECOVERY AND RESILIENCE PLANS&lt;/FMT&gt;"/>
    <w:docVar w:name="LW_TYPE.DOC.CP" w:val="COMMISSION STAFF WORKING DOCUMENT"/>
  </w:docVars>
  <w:rsids>
    <w:rsidRoot w:val="00980B74"/>
    <w:rsid w:val="00000BA0"/>
    <w:rsid w:val="00000BF4"/>
    <w:rsid w:val="00000CED"/>
    <w:rsid w:val="00001008"/>
    <w:rsid w:val="0000185A"/>
    <w:rsid w:val="000025B8"/>
    <w:rsid w:val="00002B1E"/>
    <w:rsid w:val="00002CA5"/>
    <w:rsid w:val="00002DBD"/>
    <w:rsid w:val="00003671"/>
    <w:rsid w:val="00003B58"/>
    <w:rsid w:val="00003F86"/>
    <w:rsid w:val="000044FE"/>
    <w:rsid w:val="0000476F"/>
    <w:rsid w:val="00004802"/>
    <w:rsid w:val="00004927"/>
    <w:rsid w:val="000049D2"/>
    <w:rsid w:val="00005843"/>
    <w:rsid w:val="000059CD"/>
    <w:rsid w:val="000111AA"/>
    <w:rsid w:val="00011223"/>
    <w:rsid w:val="0001153C"/>
    <w:rsid w:val="00012CD2"/>
    <w:rsid w:val="00013682"/>
    <w:rsid w:val="0001387F"/>
    <w:rsid w:val="00014786"/>
    <w:rsid w:val="00015466"/>
    <w:rsid w:val="0001614A"/>
    <w:rsid w:val="0001629B"/>
    <w:rsid w:val="00016E5B"/>
    <w:rsid w:val="00022AAF"/>
    <w:rsid w:val="00023062"/>
    <w:rsid w:val="00023130"/>
    <w:rsid w:val="00023421"/>
    <w:rsid w:val="00024510"/>
    <w:rsid w:val="000246C7"/>
    <w:rsid w:val="00024A1B"/>
    <w:rsid w:val="00025656"/>
    <w:rsid w:val="000258CD"/>
    <w:rsid w:val="00025DF4"/>
    <w:rsid w:val="000269DB"/>
    <w:rsid w:val="00026C75"/>
    <w:rsid w:val="00027050"/>
    <w:rsid w:val="0002767D"/>
    <w:rsid w:val="00027693"/>
    <w:rsid w:val="0002799E"/>
    <w:rsid w:val="000279B0"/>
    <w:rsid w:val="00031F69"/>
    <w:rsid w:val="0003268C"/>
    <w:rsid w:val="00033902"/>
    <w:rsid w:val="0003468B"/>
    <w:rsid w:val="000349BE"/>
    <w:rsid w:val="00034F96"/>
    <w:rsid w:val="000356DB"/>
    <w:rsid w:val="00035AB1"/>
    <w:rsid w:val="00035F49"/>
    <w:rsid w:val="00035F4A"/>
    <w:rsid w:val="000368FD"/>
    <w:rsid w:val="00037104"/>
    <w:rsid w:val="000373CE"/>
    <w:rsid w:val="00037443"/>
    <w:rsid w:val="00037793"/>
    <w:rsid w:val="00037920"/>
    <w:rsid w:val="00037EA7"/>
    <w:rsid w:val="00037ECB"/>
    <w:rsid w:val="000403D7"/>
    <w:rsid w:val="000415FB"/>
    <w:rsid w:val="000425CB"/>
    <w:rsid w:val="00042603"/>
    <w:rsid w:val="00042CFA"/>
    <w:rsid w:val="000442DE"/>
    <w:rsid w:val="0004439D"/>
    <w:rsid w:val="00044921"/>
    <w:rsid w:val="00044BF8"/>
    <w:rsid w:val="00045921"/>
    <w:rsid w:val="0004596A"/>
    <w:rsid w:val="00045B00"/>
    <w:rsid w:val="00045F54"/>
    <w:rsid w:val="000463D0"/>
    <w:rsid w:val="0004650A"/>
    <w:rsid w:val="00047562"/>
    <w:rsid w:val="000504F8"/>
    <w:rsid w:val="00050FC9"/>
    <w:rsid w:val="00051CF2"/>
    <w:rsid w:val="00052072"/>
    <w:rsid w:val="000532AA"/>
    <w:rsid w:val="00054838"/>
    <w:rsid w:val="00055B67"/>
    <w:rsid w:val="00055F62"/>
    <w:rsid w:val="00056AE6"/>
    <w:rsid w:val="00057397"/>
    <w:rsid w:val="000576CC"/>
    <w:rsid w:val="00057789"/>
    <w:rsid w:val="00060A6B"/>
    <w:rsid w:val="0006171C"/>
    <w:rsid w:val="00061EB7"/>
    <w:rsid w:val="0006270B"/>
    <w:rsid w:val="00063CC0"/>
    <w:rsid w:val="00065736"/>
    <w:rsid w:val="00065C04"/>
    <w:rsid w:val="00065F43"/>
    <w:rsid w:val="0006641C"/>
    <w:rsid w:val="000665C8"/>
    <w:rsid w:val="00066A9B"/>
    <w:rsid w:val="00066B00"/>
    <w:rsid w:val="00066F32"/>
    <w:rsid w:val="00067131"/>
    <w:rsid w:val="00067A39"/>
    <w:rsid w:val="00067DB7"/>
    <w:rsid w:val="00067EB7"/>
    <w:rsid w:val="00070304"/>
    <w:rsid w:val="000703CC"/>
    <w:rsid w:val="00070681"/>
    <w:rsid w:val="000707CA"/>
    <w:rsid w:val="00070BEB"/>
    <w:rsid w:val="00071507"/>
    <w:rsid w:val="00071A41"/>
    <w:rsid w:val="00071A44"/>
    <w:rsid w:val="00071B9A"/>
    <w:rsid w:val="000721E0"/>
    <w:rsid w:val="00072529"/>
    <w:rsid w:val="00073210"/>
    <w:rsid w:val="0007322F"/>
    <w:rsid w:val="0007323A"/>
    <w:rsid w:val="000742E5"/>
    <w:rsid w:val="0007696B"/>
    <w:rsid w:val="00077C60"/>
    <w:rsid w:val="000803B7"/>
    <w:rsid w:val="00080AAE"/>
    <w:rsid w:val="000813D3"/>
    <w:rsid w:val="000819FB"/>
    <w:rsid w:val="00081BD2"/>
    <w:rsid w:val="000823B8"/>
    <w:rsid w:val="0008299D"/>
    <w:rsid w:val="000831D2"/>
    <w:rsid w:val="000838EF"/>
    <w:rsid w:val="00083A54"/>
    <w:rsid w:val="00084057"/>
    <w:rsid w:val="00084A1B"/>
    <w:rsid w:val="00084A1C"/>
    <w:rsid w:val="00085980"/>
    <w:rsid w:val="00085F42"/>
    <w:rsid w:val="00085F52"/>
    <w:rsid w:val="00086FDD"/>
    <w:rsid w:val="00087A3A"/>
    <w:rsid w:val="00087F7A"/>
    <w:rsid w:val="00091843"/>
    <w:rsid w:val="00092763"/>
    <w:rsid w:val="00092A36"/>
    <w:rsid w:val="000936B0"/>
    <w:rsid w:val="00093B80"/>
    <w:rsid w:val="0009602D"/>
    <w:rsid w:val="000961E1"/>
    <w:rsid w:val="000964FC"/>
    <w:rsid w:val="00096819"/>
    <w:rsid w:val="000A05EA"/>
    <w:rsid w:val="000A09E7"/>
    <w:rsid w:val="000A1EAA"/>
    <w:rsid w:val="000A21F5"/>
    <w:rsid w:val="000A31DD"/>
    <w:rsid w:val="000A3C2A"/>
    <w:rsid w:val="000A4061"/>
    <w:rsid w:val="000A43DB"/>
    <w:rsid w:val="000A454C"/>
    <w:rsid w:val="000A4FB9"/>
    <w:rsid w:val="000A5583"/>
    <w:rsid w:val="000A6202"/>
    <w:rsid w:val="000A6570"/>
    <w:rsid w:val="000B0C16"/>
    <w:rsid w:val="000B11CB"/>
    <w:rsid w:val="000B1858"/>
    <w:rsid w:val="000B1C69"/>
    <w:rsid w:val="000B33D5"/>
    <w:rsid w:val="000B39E5"/>
    <w:rsid w:val="000B40D5"/>
    <w:rsid w:val="000B6E1F"/>
    <w:rsid w:val="000B7261"/>
    <w:rsid w:val="000C01A1"/>
    <w:rsid w:val="000C07D5"/>
    <w:rsid w:val="000C09BE"/>
    <w:rsid w:val="000C0F36"/>
    <w:rsid w:val="000C1970"/>
    <w:rsid w:val="000C239D"/>
    <w:rsid w:val="000C2EEE"/>
    <w:rsid w:val="000C3463"/>
    <w:rsid w:val="000C481D"/>
    <w:rsid w:val="000C6285"/>
    <w:rsid w:val="000C6493"/>
    <w:rsid w:val="000C735C"/>
    <w:rsid w:val="000C76CC"/>
    <w:rsid w:val="000C7810"/>
    <w:rsid w:val="000D16A1"/>
    <w:rsid w:val="000D1D39"/>
    <w:rsid w:val="000D3B4B"/>
    <w:rsid w:val="000D3B5A"/>
    <w:rsid w:val="000D46AD"/>
    <w:rsid w:val="000D55A9"/>
    <w:rsid w:val="000D6207"/>
    <w:rsid w:val="000D648E"/>
    <w:rsid w:val="000D7ABC"/>
    <w:rsid w:val="000E002D"/>
    <w:rsid w:val="000E0C37"/>
    <w:rsid w:val="000E0D1A"/>
    <w:rsid w:val="000E1385"/>
    <w:rsid w:val="000E14FF"/>
    <w:rsid w:val="000E1801"/>
    <w:rsid w:val="000E1CF5"/>
    <w:rsid w:val="000E351C"/>
    <w:rsid w:val="000E3C84"/>
    <w:rsid w:val="000E52FE"/>
    <w:rsid w:val="000E56FF"/>
    <w:rsid w:val="000E6304"/>
    <w:rsid w:val="000E6B1E"/>
    <w:rsid w:val="000F0037"/>
    <w:rsid w:val="000F0807"/>
    <w:rsid w:val="000F0938"/>
    <w:rsid w:val="000F0F6A"/>
    <w:rsid w:val="000F1232"/>
    <w:rsid w:val="000F1981"/>
    <w:rsid w:val="000F1DD8"/>
    <w:rsid w:val="000F1E0E"/>
    <w:rsid w:val="000F2359"/>
    <w:rsid w:val="000F2385"/>
    <w:rsid w:val="000F2A51"/>
    <w:rsid w:val="000F3069"/>
    <w:rsid w:val="000F3480"/>
    <w:rsid w:val="000F358E"/>
    <w:rsid w:val="000F44F1"/>
    <w:rsid w:val="000F6780"/>
    <w:rsid w:val="000F6AA1"/>
    <w:rsid w:val="000F7992"/>
    <w:rsid w:val="0010130C"/>
    <w:rsid w:val="00101510"/>
    <w:rsid w:val="001018CB"/>
    <w:rsid w:val="00102030"/>
    <w:rsid w:val="00102DFF"/>
    <w:rsid w:val="00102FB2"/>
    <w:rsid w:val="0010313F"/>
    <w:rsid w:val="001031AD"/>
    <w:rsid w:val="00103C0D"/>
    <w:rsid w:val="00103F6C"/>
    <w:rsid w:val="001045E2"/>
    <w:rsid w:val="0010547F"/>
    <w:rsid w:val="001056F7"/>
    <w:rsid w:val="0010594B"/>
    <w:rsid w:val="00105EE6"/>
    <w:rsid w:val="00105F34"/>
    <w:rsid w:val="00105F8D"/>
    <w:rsid w:val="001065BF"/>
    <w:rsid w:val="0010692D"/>
    <w:rsid w:val="001069BB"/>
    <w:rsid w:val="001105C5"/>
    <w:rsid w:val="00110F4E"/>
    <w:rsid w:val="00110FD2"/>
    <w:rsid w:val="00111C1A"/>
    <w:rsid w:val="00111D7E"/>
    <w:rsid w:val="0011310D"/>
    <w:rsid w:val="00113B4A"/>
    <w:rsid w:val="00114FAC"/>
    <w:rsid w:val="00117C03"/>
    <w:rsid w:val="001203D3"/>
    <w:rsid w:val="00121C70"/>
    <w:rsid w:val="001236C4"/>
    <w:rsid w:val="00123FC4"/>
    <w:rsid w:val="00125020"/>
    <w:rsid w:val="00125102"/>
    <w:rsid w:val="00125433"/>
    <w:rsid w:val="00125ED5"/>
    <w:rsid w:val="00126ADA"/>
    <w:rsid w:val="00126BD3"/>
    <w:rsid w:val="0012735E"/>
    <w:rsid w:val="00130185"/>
    <w:rsid w:val="00130F77"/>
    <w:rsid w:val="00131C0E"/>
    <w:rsid w:val="00131F38"/>
    <w:rsid w:val="001320F8"/>
    <w:rsid w:val="001323CE"/>
    <w:rsid w:val="00132E5C"/>
    <w:rsid w:val="00132F4D"/>
    <w:rsid w:val="0013386C"/>
    <w:rsid w:val="00133A65"/>
    <w:rsid w:val="00133B01"/>
    <w:rsid w:val="00133F80"/>
    <w:rsid w:val="001340D6"/>
    <w:rsid w:val="0013474E"/>
    <w:rsid w:val="00134A57"/>
    <w:rsid w:val="001369C3"/>
    <w:rsid w:val="0013790E"/>
    <w:rsid w:val="00137FBC"/>
    <w:rsid w:val="001406C3"/>
    <w:rsid w:val="0014084F"/>
    <w:rsid w:val="00140A29"/>
    <w:rsid w:val="00140DAF"/>
    <w:rsid w:val="001411DA"/>
    <w:rsid w:val="0014159D"/>
    <w:rsid w:val="001418B7"/>
    <w:rsid w:val="00141A07"/>
    <w:rsid w:val="0014221D"/>
    <w:rsid w:val="00142B33"/>
    <w:rsid w:val="0014378D"/>
    <w:rsid w:val="001438B2"/>
    <w:rsid w:val="00143A52"/>
    <w:rsid w:val="00143BB5"/>
    <w:rsid w:val="00144621"/>
    <w:rsid w:val="00144DE5"/>
    <w:rsid w:val="0014609E"/>
    <w:rsid w:val="001467E3"/>
    <w:rsid w:val="0014680C"/>
    <w:rsid w:val="001508F1"/>
    <w:rsid w:val="0015219E"/>
    <w:rsid w:val="001523B1"/>
    <w:rsid w:val="00153C92"/>
    <w:rsid w:val="001545D8"/>
    <w:rsid w:val="00154B2D"/>
    <w:rsid w:val="0015582A"/>
    <w:rsid w:val="00155D5B"/>
    <w:rsid w:val="00156438"/>
    <w:rsid w:val="001570B0"/>
    <w:rsid w:val="00157649"/>
    <w:rsid w:val="00157C33"/>
    <w:rsid w:val="00160099"/>
    <w:rsid w:val="00160809"/>
    <w:rsid w:val="00161D79"/>
    <w:rsid w:val="00162B63"/>
    <w:rsid w:val="00162DF9"/>
    <w:rsid w:val="00163B83"/>
    <w:rsid w:val="00163E69"/>
    <w:rsid w:val="001648AE"/>
    <w:rsid w:val="00166A5A"/>
    <w:rsid w:val="00166B31"/>
    <w:rsid w:val="00166C33"/>
    <w:rsid w:val="00166E5D"/>
    <w:rsid w:val="00166FD8"/>
    <w:rsid w:val="001674C6"/>
    <w:rsid w:val="001677E5"/>
    <w:rsid w:val="00167A7F"/>
    <w:rsid w:val="001706F5"/>
    <w:rsid w:val="00170782"/>
    <w:rsid w:val="001708F3"/>
    <w:rsid w:val="00170B3B"/>
    <w:rsid w:val="00170C92"/>
    <w:rsid w:val="00170F7A"/>
    <w:rsid w:val="00171052"/>
    <w:rsid w:val="0017173D"/>
    <w:rsid w:val="0017235D"/>
    <w:rsid w:val="001732D5"/>
    <w:rsid w:val="00173A0B"/>
    <w:rsid w:val="00174EA8"/>
    <w:rsid w:val="0017515A"/>
    <w:rsid w:val="00175B29"/>
    <w:rsid w:val="00176992"/>
    <w:rsid w:val="00176C50"/>
    <w:rsid w:val="00177274"/>
    <w:rsid w:val="001773BD"/>
    <w:rsid w:val="00180726"/>
    <w:rsid w:val="00180E84"/>
    <w:rsid w:val="0018134F"/>
    <w:rsid w:val="00182F3A"/>
    <w:rsid w:val="001840CE"/>
    <w:rsid w:val="00184523"/>
    <w:rsid w:val="00184ABD"/>
    <w:rsid w:val="00184BED"/>
    <w:rsid w:val="00184D33"/>
    <w:rsid w:val="0018584E"/>
    <w:rsid w:val="0018605C"/>
    <w:rsid w:val="0018693F"/>
    <w:rsid w:val="0018794A"/>
    <w:rsid w:val="00190129"/>
    <w:rsid w:val="0019115F"/>
    <w:rsid w:val="00191857"/>
    <w:rsid w:val="00191881"/>
    <w:rsid w:val="00191DB9"/>
    <w:rsid w:val="0019214D"/>
    <w:rsid w:val="0019245E"/>
    <w:rsid w:val="00192748"/>
    <w:rsid w:val="00194420"/>
    <w:rsid w:val="0019498A"/>
    <w:rsid w:val="001949B8"/>
    <w:rsid w:val="001957C8"/>
    <w:rsid w:val="001959EC"/>
    <w:rsid w:val="001A0F0D"/>
    <w:rsid w:val="001A111A"/>
    <w:rsid w:val="001A1222"/>
    <w:rsid w:val="001A150E"/>
    <w:rsid w:val="001A3F53"/>
    <w:rsid w:val="001A431F"/>
    <w:rsid w:val="001A4E2A"/>
    <w:rsid w:val="001A53A7"/>
    <w:rsid w:val="001A5507"/>
    <w:rsid w:val="001A5C0D"/>
    <w:rsid w:val="001A5F9B"/>
    <w:rsid w:val="001A6EDC"/>
    <w:rsid w:val="001A6F07"/>
    <w:rsid w:val="001A767C"/>
    <w:rsid w:val="001B0861"/>
    <w:rsid w:val="001B18E2"/>
    <w:rsid w:val="001B2023"/>
    <w:rsid w:val="001B2AE8"/>
    <w:rsid w:val="001B357F"/>
    <w:rsid w:val="001B3B86"/>
    <w:rsid w:val="001B494B"/>
    <w:rsid w:val="001B4FAD"/>
    <w:rsid w:val="001B5941"/>
    <w:rsid w:val="001B5CC5"/>
    <w:rsid w:val="001B5F20"/>
    <w:rsid w:val="001B75DE"/>
    <w:rsid w:val="001B7C4A"/>
    <w:rsid w:val="001B7CAF"/>
    <w:rsid w:val="001B7D28"/>
    <w:rsid w:val="001B7F43"/>
    <w:rsid w:val="001C02F4"/>
    <w:rsid w:val="001C0D86"/>
    <w:rsid w:val="001C115E"/>
    <w:rsid w:val="001C131D"/>
    <w:rsid w:val="001C18D6"/>
    <w:rsid w:val="001C2455"/>
    <w:rsid w:val="001C34DF"/>
    <w:rsid w:val="001C3791"/>
    <w:rsid w:val="001C3D38"/>
    <w:rsid w:val="001C3F8E"/>
    <w:rsid w:val="001C49BF"/>
    <w:rsid w:val="001C50AB"/>
    <w:rsid w:val="001C57B7"/>
    <w:rsid w:val="001C5911"/>
    <w:rsid w:val="001D06E8"/>
    <w:rsid w:val="001D07C9"/>
    <w:rsid w:val="001D084A"/>
    <w:rsid w:val="001D0C93"/>
    <w:rsid w:val="001D107B"/>
    <w:rsid w:val="001D127D"/>
    <w:rsid w:val="001D3F94"/>
    <w:rsid w:val="001D433A"/>
    <w:rsid w:val="001D61FC"/>
    <w:rsid w:val="001D65FA"/>
    <w:rsid w:val="001D6D2B"/>
    <w:rsid w:val="001D6D72"/>
    <w:rsid w:val="001D70A3"/>
    <w:rsid w:val="001D749F"/>
    <w:rsid w:val="001D752F"/>
    <w:rsid w:val="001D7536"/>
    <w:rsid w:val="001E01EA"/>
    <w:rsid w:val="001E1547"/>
    <w:rsid w:val="001E17BF"/>
    <w:rsid w:val="001E24DC"/>
    <w:rsid w:val="001E35AA"/>
    <w:rsid w:val="001E3ABD"/>
    <w:rsid w:val="001E4FC5"/>
    <w:rsid w:val="001E590E"/>
    <w:rsid w:val="001E5A85"/>
    <w:rsid w:val="001E6565"/>
    <w:rsid w:val="001E725B"/>
    <w:rsid w:val="001E77CC"/>
    <w:rsid w:val="001F0DFD"/>
    <w:rsid w:val="001F1060"/>
    <w:rsid w:val="001F1B99"/>
    <w:rsid w:val="001F1E26"/>
    <w:rsid w:val="001F20A6"/>
    <w:rsid w:val="001F210E"/>
    <w:rsid w:val="001F2306"/>
    <w:rsid w:val="001F2AC6"/>
    <w:rsid w:val="001F2BC0"/>
    <w:rsid w:val="001F2D4E"/>
    <w:rsid w:val="001F36B7"/>
    <w:rsid w:val="001F4AA4"/>
    <w:rsid w:val="001F50F5"/>
    <w:rsid w:val="001F5B81"/>
    <w:rsid w:val="001F5D82"/>
    <w:rsid w:val="001F65A1"/>
    <w:rsid w:val="001F6BB8"/>
    <w:rsid w:val="001F6FFF"/>
    <w:rsid w:val="001F7DC3"/>
    <w:rsid w:val="002000CD"/>
    <w:rsid w:val="0020011A"/>
    <w:rsid w:val="002011D2"/>
    <w:rsid w:val="002043CC"/>
    <w:rsid w:val="00204C2D"/>
    <w:rsid w:val="00206EB1"/>
    <w:rsid w:val="0020751C"/>
    <w:rsid w:val="002078AB"/>
    <w:rsid w:val="00207D33"/>
    <w:rsid w:val="00207FD2"/>
    <w:rsid w:val="0021072A"/>
    <w:rsid w:val="0021091E"/>
    <w:rsid w:val="0021096F"/>
    <w:rsid w:val="00210D30"/>
    <w:rsid w:val="0021118D"/>
    <w:rsid w:val="002118D0"/>
    <w:rsid w:val="00211D9C"/>
    <w:rsid w:val="00212B7C"/>
    <w:rsid w:val="0021338B"/>
    <w:rsid w:val="002151DB"/>
    <w:rsid w:val="002158B9"/>
    <w:rsid w:val="002169EB"/>
    <w:rsid w:val="00216A9B"/>
    <w:rsid w:val="00216B13"/>
    <w:rsid w:val="00216E0E"/>
    <w:rsid w:val="00216E99"/>
    <w:rsid w:val="002174A8"/>
    <w:rsid w:val="002214D3"/>
    <w:rsid w:val="002215A2"/>
    <w:rsid w:val="00221DFA"/>
    <w:rsid w:val="00222BFB"/>
    <w:rsid w:val="00222E52"/>
    <w:rsid w:val="00222E83"/>
    <w:rsid w:val="00223862"/>
    <w:rsid w:val="00223A43"/>
    <w:rsid w:val="00223B48"/>
    <w:rsid w:val="00223F69"/>
    <w:rsid w:val="00224BD6"/>
    <w:rsid w:val="00225A0F"/>
    <w:rsid w:val="00225C0F"/>
    <w:rsid w:val="0022652B"/>
    <w:rsid w:val="00231956"/>
    <w:rsid w:val="00231B4E"/>
    <w:rsid w:val="00231D9C"/>
    <w:rsid w:val="0023211B"/>
    <w:rsid w:val="002327D2"/>
    <w:rsid w:val="002328A1"/>
    <w:rsid w:val="002331DC"/>
    <w:rsid w:val="00233E2A"/>
    <w:rsid w:val="0023549D"/>
    <w:rsid w:val="00235E0A"/>
    <w:rsid w:val="002368C2"/>
    <w:rsid w:val="00236E57"/>
    <w:rsid w:val="002376A5"/>
    <w:rsid w:val="00237C0A"/>
    <w:rsid w:val="0024062D"/>
    <w:rsid w:val="00240D03"/>
    <w:rsid w:val="0024381C"/>
    <w:rsid w:val="002440C6"/>
    <w:rsid w:val="002444FD"/>
    <w:rsid w:val="00244526"/>
    <w:rsid w:val="00244C29"/>
    <w:rsid w:val="00244C55"/>
    <w:rsid w:val="002454A6"/>
    <w:rsid w:val="002471D8"/>
    <w:rsid w:val="00247536"/>
    <w:rsid w:val="00247594"/>
    <w:rsid w:val="002501DC"/>
    <w:rsid w:val="002503BF"/>
    <w:rsid w:val="002504EC"/>
    <w:rsid w:val="00251AC5"/>
    <w:rsid w:val="00252211"/>
    <w:rsid w:val="002522AD"/>
    <w:rsid w:val="00253511"/>
    <w:rsid w:val="00254632"/>
    <w:rsid w:val="002547B3"/>
    <w:rsid w:val="0025484E"/>
    <w:rsid w:val="002556A0"/>
    <w:rsid w:val="0025774B"/>
    <w:rsid w:val="002614A6"/>
    <w:rsid w:val="00261594"/>
    <w:rsid w:val="00261717"/>
    <w:rsid w:val="00263FCD"/>
    <w:rsid w:val="002641C6"/>
    <w:rsid w:val="002643B6"/>
    <w:rsid w:val="0026579F"/>
    <w:rsid w:val="00265B39"/>
    <w:rsid w:val="00265E9D"/>
    <w:rsid w:val="00265EDF"/>
    <w:rsid w:val="00265FC3"/>
    <w:rsid w:val="002660F6"/>
    <w:rsid w:val="002666AD"/>
    <w:rsid w:val="00266769"/>
    <w:rsid w:val="00267004"/>
    <w:rsid w:val="002670C5"/>
    <w:rsid w:val="0026725D"/>
    <w:rsid w:val="0027011B"/>
    <w:rsid w:val="00271355"/>
    <w:rsid w:val="00271686"/>
    <w:rsid w:val="00272729"/>
    <w:rsid w:val="00272D9A"/>
    <w:rsid w:val="00275008"/>
    <w:rsid w:val="0027523D"/>
    <w:rsid w:val="0027585F"/>
    <w:rsid w:val="00275AB6"/>
    <w:rsid w:val="0027600D"/>
    <w:rsid w:val="002771BF"/>
    <w:rsid w:val="00277269"/>
    <w:rsid w:val="002774A3"/>
    <w:rsid w:val="002775B2"/>
    <w:rsid w:val="00277D2D"/>
    <w:rsid w:val="002800BA"/>
    <w:rsid w:val="00280215"/>
    <w:rsid w:val="00280928"/>
    <w:rsid w:val="002813D7"/>
    <w:rsid w:val="00283214"/>
    <w:rsid w:val="0028334A"/>
    <w:rsid w:val="0028335E"/>
    <w:rsid w:val="00283510"/>
    <w:rsid w:val="00283A66"/>
    <w:rsid w:val="002842E0"/>
    <w:rsid w:val="00284A9B"/>
    <w:rsid w:val="0028575F"/>
    <w:rsid w:val="00286088"/>
    <w:rsid w:val="00286D64"/>
    <w:rsid w:val="00287210"/>
    <w:rsid w:val="00287901"/>
    <w:rsid w:val="00291690"/>
    <w:rsid w:val="00292059"/>
    <w:rsid w:val="002920F5"/>
    <w:rsid w:val="00292205"/>
    <w:rsid w:val="00292EDE"/>
    <w:rsid w:val="0029391F"/>
    <w:rsid w:val="00293A56"/>
    <w:rsid w:val="00293B4A"/>
    <w:rsid w:val="00294164"/>
    <w:rsid w:val="002949D1"/>
    <w:rsid w:val="00294E0F"/>
    <w:rsid w:val="00295A83"/>
    <w:rsid w:val="002963CC"/>
    <w:rsid w:val="00296AE8"/>
    <w:rsid w:val="002A0C59"/>
    <w:rsid w:val="002A15BA"/>
    <w:rsid w:val="002A20BA"/>
    <w:rsid w:val="002A2162"/>
    <w:rsid w:val="002A21C5"/>
    <w:rsid w:val="002A2441"/>
    <w:rsid w:val="002A2453"/>
    <w:rsid w:val="002A2F71"/>
    <w:rsid w:val="002A2F72"/>
    <w:rsid w:val="002A4A47"/>
    <w:rsid w:val="002A5742"/>
    <w:rsid w:val="002A77FE"/>
    <w:rsid w:val="002A79BC"/>
    <w:rsid w:val="002A7AF3"/>
    <w:rsid w:val="002B1AF0"/>
    <w:rsid w:val="002B2C55"/>
    <w:rsid w:val="002B3A15"/>
    <w:rsid w:val="002B483C"/>
    <w:rsid w:val="002B4AE8"/>
    <w:rsid w:val="002B5D7E"/>
    <w:rsid w:val="002B6161"/>
    <w:rsid w:val="002B6171"/>
    <w:rsid w:val="002B7084"/>
    <w:rsid w:val="002B770E"/>
    <w:rsid w:val="002B7FEE"/>
    <w:rsid w:val="002C0D75"/>
    <w:rsid w:val="002C163F"/>
    <w:rsid w:val="002C22D4"/>
    <w:rsid w:val="002C2F1E"/>
    <w:rsid w:val="002C3101"/>
    <w:rsid w:val="002C3578"/>
    <w:rsid w:val="002C38FF"/>
    <w:rsid w:val="002C3988"/>
    <w:rsid w:val="002C40F9"/>
    <w:rsid w:val="002C489D"/>
    <w:rsid w:val="002C5DA8"/>
    <w:rsid w:val="002C62DC"/>
    <w:rsid w:val="002C6AD1"/>
    <w:rsid w:val="002C72A0"/>
    <w:rsid w:val="002D0A4A"/>
    <w:rsid w:val="002D1247"/>
    <w:rsid w:val="002D13EE"/>
    <w:rsid w:val="002D173F"/>
    <w:rsid w:val="002D1BE7"/>
    <w:rsid w:val="002D1EAC"/>
    <w:rsid w:val="002D21CA"/>
    <w:rsid w:val="002D234D"/>
    <w:rsid w:val="002D23B7"/>
    <w:rsid w:val="002D2CC3"/>
    <w:rsid w:val="002D3F3C"/>
    <w:rsid w:val="002D482C"/>
    <w:rsid w:val="002D4832"/>
    <w:rsid w:val="002D5F3F"/>
    <w:rsid w:val="002D669C"/>
    <w:rsid w:val="002D6B49"/>
    <w:rsid w:val="002D6F7F"/>
    <w:rsid w:val="002D6FED"/>
    <w:rsid w:val="002D75F0"/>
    <w:rsid w:val="002D7F56"/>
    <w:rsid w:val="002D7FB5"/>
    <w:rsid w:val="002DDEFB"/>
    <w:rsid w:val="002E123B"/>
    <w:rsid w:val="002E2019"/>
    <w:rsid w:val="002E2153"/>
    <w:rsid w:val="002E21ED"/>
    <w:rsid w:val="002E29A3"/>
    <w:rsid w:val="002E2CCF"/>
    <w:rsid w:val="002E2DF8"/>
    <w:rsid w:val="002E6663"/>
    <w:rsid w:val="002E780F"/>
    <w:rsid w:val="002E7993"/>
    <w:rsid w:val="002E7A12"/>
    <w:rsid w:val="002E7C7D"/>
    <w:rsid w:val="002E7EDF"/>
    <w:rsid w:val="002F06D4"/>
    <w:rsid w:val="002F08E1"/>
    <w:rsid w:val="002F16F4"/>
    <w:rsid w:val="002F1872"/>
    <w:rsid w:val="002F230A"/>
    <w:rsid w:val="002F29AA"/>
    <w:rsid w:val="002F30DE"/>
    <w:rsid w:val="002F3972"/>
    <w:rsid w:val="002F62B7"/>
    <w:rsid w:val="002F63F9"/>
    <w:rsid w:val="002F68F6"/>
    <w:rsid w:val="002F6F5E"/>
    <w:rsid w:val="002F7B0B"/>
    <w:rsid w:val="002F7F35"/>
    <w:rsid w:val="00300069"/>
    <w:rsid w:val="00300E72"/>
    <w:rsid w:val="00301323"/>
    <w:rsid w:val="00301484"/>
    <w:rsid w:val="003023EA"/>
    <w:rsid w:val="00302461"/>
    <w:rsid w:val="003024E7"/>
    <w:rsid w:val="003027C3"/>
    <w:rsid w:val="00302FFD"/>
    <w:rsid w:val="00303B04"/>
    <w:rsid w:val="003048B7"/>
    <w:rsid w:val="003052C7"/>
    <w:rsid w:val="00305562"/>
    <w:rsid w:val="00305B8C"/>
    <w:rsid w:val="00305E8B"/>
    <w:rsid w:val="003072C1"/>
    <w:rsid w:val="00307C67"/>
    <w:rsid w:val="003104B7"/>
    <w:rsid w:val="003109AB"/>
    <w:rsid w:val="00310CD5"/>
    <w:rsid w:val="003118E9"/>
    <w:rsid w:val="00311B3F"/>
    <w:rsid w:val="003134B4"/>
    <w:rsid w:val="0031367C"/>
    <w:rsid w:val="00313F81"/>
    <w:rsid w:val="0031402F"/>
    <w:rsid w:val="0031428D"/>
    <w:rsid w:val="003149CD"/>
    <w:rsid w:val="00315013"/>
    <w:rsid w:val="00316D12"/>
    <w:rsid w:val="00317040"/>
    <w:rsid w:val="00317C90"/>
    <w:rsid w:val="00317D61"/>
    <w:rsid w:val="003200E9"/>
    <w:rsid w:val="00320292"/>
    <w:rsid w:val="00320B57"/>
    <w:rsid w:val="00321359"/>
    <w:rsid w:val="00321DE1"/>
    <w:rsid w:val="00322340"/>
    <w:rsid w:val="003224E2"/>
    <w:rsid w:val="003229D7"/>
    <w:rsid w:val="00322DBB"/>
    <w:rsid w:val="0032446F"/>
    <w:rsid w:val="00324945"/>
    <w:rsid w:val="0032574A"/>
    <w:rsid w:val="00325C04"/>
    <w:rsid w:val="00325F2E"/>
    <w:rsid w:val="00326E4D"/>
    <w:rsid w:val="00327A6E"/>
    <w:rsid w:val="00327BCC"/>
    <w:rsid w:val="00328CA0"/>
    <w:rsid w:val="00330580"/>
    <w:rsid w:val="00330588"/>
    <w:rsid w:val="00330967"/>
    <w:rsid w:val="00331A68"/>
    <w:rsid w:val="00331B3F"/>
    <w:rsid w:val="0033223E"/>
    <w:rsid w:val="00332368"/>
    <w:rsid w:val="003325B8"/>
    <w:rsid w:val="003326BB"/>
    <w:rsid w:val="0033284B"/>
    <w:rsid w:val="00332A97"/>
    <w:rsid w:val="003357F6"/>
    <w:rsid w:val="003365DE"/>
    <w:rsid w:val="00337A9C"/>
    <w:rsid w:val="00337C03"/>
    <w:rsid w:val="00340F17"/>
    <w:rsid w:val="003410B4"/>
    <w:rsid w:val="00341176"/>
    <w:rsid w:val="003414E9"/>
    <w:rsid w:val="0034247C"/>
    <w:rsid w:val="003433BD"/>
    <w:rsid w:val="003438AB"/>
    <w:rsid w:val="003442A1"/>
    <w:rsid w:val="0034447F"/>
    <w:rsid w:val="003447BD"/>
    <w:rsid w:val="00345235"/>
    <w:rsid w:val="00345ED3"/>
    <w:rsid w:val="0034608C"/>
    <w:rsid w:val="00346DE1"/>
    <w:rsid w:val="0034778B"/>
    <w:rsid w:val="00351136"/>
    <w:rsid w:val="00351859"/>
    <w:rsid w:val="0035269E"/>
    <w:rsid w:val="00353A8B"/>
    <w:rsid w:val="00353BB7"/>
    <w:rsid w:val="00353EAB"/>
    <w:rsid w:val="00353F76"/>
    <w:rsid w:val="00354197"/>
    <w:rsid w:val="0035561D"/>
    <w:rsid w:val="00355726"/>
    <w:rsid w:val="003557C4"/>
    <w:rsid w:val="00355BCB"/>
    <w:rsid w:val="00360836"/>
    <w:rsid w:val="00360F08"/>
    <w:rsid w:val="00364555"/>
    <w:rsid w:val="003645F9"/>
    <w:rsid w:val="0036672A"/>
    <w:rsid w:val="00366829"/>
    <w:rsid w:val="00367DBB"/>
    <w:rsid w:val="003700AE"/>
    <w:rsid w:val="00370745"/>
    <w:rsid w:val="00370E28"/>
    <w:rsid w:val="003735D0"/>
    <w:rsid w:val="0037391A"/>
    <w:rsid w:val="00373AF2"/>
    <w:rsid w:val="00373D0E"/>
    <w:rsid w:val="00375BE1"/>
    <w:rsid w:val="003764C0"/>
    <w:rsid w:val="003764EE"/>
    <w:rsid w:val="00376B64"/>
    <w:rsid w:val="00376D9D"/>
    <w:rsid w:val="003779E5"/>
    <w:rsid w:val="00377CBB"/>
    <w:rsid w:val="0038031D"/>
    <w:rsid w:val="003807DF"/>
    <w:rsid w:val="00380DF0"/>
    <w:rsid w:val="00381356"/>
    <w:rsid w:val="003813F3"/>
    <w:rsid w:val="0038192D"/>
    <w:rsid w:val="00381966"/>
    <w:rsid w:val="00382284"/>
    <w:rsid w:val="003829F7"/>
    <w:rsid w:val="003836CA"/>
    <w:rsid w:val="003837CF"/>
    <w:rsid w:val="00384108"/>
    <w:rsid w:val="003854E6"/>
    <w:rsid w:val="00385F85"/>
    <w:rsid w:val="00386937"/>
    <w:rsid w:val="00387A81"/>
    <w:rsid w:val="00387A9D"/>
    <w:rsid w:val="00387B38"/>
    <w:rsid w:val="00387EC4"/>
    <w:rsid w:val="00390898"/>
    <w:rsid w:val="0039155C"/>
    <w:rsid w:val="00391AB1"/>
    <w:rsid w:val="00391DED"/>
    <w:rsid w:val="00392723"/>
    <w:rsid w:val="00392E95"/>
    <w:rsid w:val="00393BFA"/>
    <w:rsid w:val="0039473F"/>
    <w:rsid w:val="00395F3C"/>
    <w:rsid w:val="0039711A"/>
    <w:rsid w:val="0039B125"/>
    <w:rsid w:val="003A1672"/>
    <w:rsid w:val="003A200C"/>
    <w:rsid w:val="003A2154"/>
    <w:rsid w:val="003A2A77"/>
    <w:rsid w:val="003A32E5"/>
    <w:rsid w:val="003A446D"/>
    <w:rsid w:val="003A44BF"/>
    <w:rsid w:val="003A5822"/>
    <w:rsid w:val="003A6909"/>
    <w:rsid w:val="003A69FD"/>
    <w:rsid w:val="003A7985"/>
    <w:rsid w:val="003B039F"/>
    <w:rsid w:val="003B0414"/>
    <w:rsid w:val="003B1412"/>
    <w:rsid w:val="003B1B79"/>
    <w:rsid w:val="003B1D18"/>
    <w:rsid w:val="003B20F2"/>
    <w:rsid w:val="003B23F5"/>
    <w:rsid w:val="003B2ABB"/>
    <w:rsid w:val="003B2B1C"/>
    <w:rsid w:val="003B2BAA"/>
    <w:rsid w:val="003B2BC3"/>
    <w:rsid w:val="003B33A0"/>
    <w:rsid w:val="003B340D"/>
    <w:rsid w:val="003B4BCE"/>
    <w:rsid w:val="003B5CA7"/>
    <w:rsid w:val="003BB699"/>
    <w:rsid w:val="003C04FD"/>
    <w:rsid w:val="003C0AC4"/>
    <w:rsid w:val="003C132C"/>
    <w:rsid w:val="003C1544"/>
    <w:rsid w:val="003C1A5E"/>
    <w:rsid w:val="003C2B51"/>
    <w:rsid w:val="003C3124"/>
    <w:rsid w:val="003C4060"/>
    <w:rsid w:val="003C4180"/>
    <w:rsid w:val="003C577E"/>
    <w:rsid w:val="003C72A8"/>
    <w:rsid w:val="003C73CD"/>
    <w:rsid w:val="003C74F8"/>
    <w:rsid w:val="003D03DC"/>
    <w:rsid w:val="003D0532"/>
    <w:rsid w:val="003D0960"/>
    <w:rsid w:val="003D0BDB"/>
    <w:rsid w:val="003D12F5"/>
    <w:rsid w:val="003D1575"/>
    <w:rsid w:val="003D187E"/>
    <w:rsid w:val="003D211E"/>
    <w:rsid w:val="003D272D"/>
    <w:rsid w:val="003D3E29"/>
    <w:rsid w:val="003D4323"/>
    <w:rsid w:val="003D4937"/>
    <w:rsid w:val="003D4BB1"/>
    <w:rsid w:val="003D4C96"/>
    <w:rsid w:val="003D59ED"/>
    <w:rsid w:val="003D6813"/>
    <w:rsid w:val="003D7712"/>
    <w:rsid w:val="003D7FFA"/>
    <w:rsid w:val="003E09B3"/>
    <w:rsid w:val="003E09DA"/>
    <w:rsid w:val="003E11E9"/>
    <w:rsid w:val="003E1A9B"/>
    <w:rsid w:val="003E245A"/>
    <w:rsid w:val="003E25FE"/>
    <w:rsid w:val="003E28E8"/>
    <w:rsid w:val="003E2DA8"/>
    <w:rsid w:val="003E2EA4"/>
    <w:rsid w:val="003E328E"/>
    <w:rsid w:val="003E37FF"/>
    <w:rsid w:val="003E383D"/>
    <w:rsid w:val="003E42DC"/>
    <w:rsid w:val="003E4DA6"/>
    <w:rsid w:val="003E4FAE"/>
    <w:rsid w:val="003E5F50"/>
    <w:rsid w:val="003E6212"/>
    <w:rsid w:val="003E63F5"/>
    <w:rsid w:val="003E6427"/>
    <w:rsid w:val="003E69C5"/>
    <w:rsid w:val="003F01EC"/>
    <w:rsid w:val="003F07E1"/>
    <w:rsid w:val="003F0BEF"/>
    <w:rsid w:val="003F134C"/>
    <w:rsid w:val="003F3467"/>
    <w:rsid w:val="003F4656"/>
    <w:rsid w:val="003F5267"/>
    <w:rsid w:val="003F5708"/>
    <w:rsid w:val="003F5C78"/>
    <w:rsid w:val="003F6D94"/>
    <w:rsid w:val="003F7183"/>
    <w:rsid w:val="003F7371"/>
    <w:rsid w:val="004008B6"/>
    <w:rsid w:val="004013CB"/>
    <w:rsid w:val="004019F4"/>
    <w:rsid w:val="00401F85"/>
    <w:rsid w:val="00401FE8"/>
    <w:rsid w:val="00402C20"/>
    <w:rsid w:val="00402C3A"/>
    <w:rsid w:val="00403411"/>
    <w:rsid w:val="004041B6"/>
    <w:rsid w:val="004062EF"/>
    <w:rsid w:val="00406369"/>
    <w:rsid w:val="00407A00"/>
    <w:rsid w:val="00407C3E"/>
    <w:rsid w:val="00407E58"/>
    <w:rsid w:val="00407EE4"/>
    <w:rsid w:val="00407F8F"/>
    <w:rsid w:val="004119E9"/>
    <w:rsid w:val="00412506"/>
    <w:rsid w:val="00412C56"/>
    <w:rsid w:val="00412DAD"/>
    <w:rsid w:val="00412E0A"/>
    <w:rsid w:val="004134DB"/>
    <w:rsid w:val="00413820"/>
    <w:rsid w:val="00413A54"/>
    <w:rsid w:val="00413B30"/>
    <w:rsid w:val="00414D48"/>
    <w:rsid w:val="00414F84"/>
    <w:rsid w:val="0041536A"/>
    <w:rsid w:val="00416173"/>
    <w:rsid w:val="00416230"/>
    <w:rsid w:val="00416B14"/>
    <w:rsid w:val="00417D59"/>
    <w:rsid w:val="004201EF"/>
    <w:rsid w:val="0042101D"/>
    <w:rsid w:val="004216DD"/>
    <w:rsid w:val="00422AEB"/>
    <w:rsid w:val="00422E47"/>
    <w:rsid w:val="004235E6"/>
    <w:rsid w:val="004237E6"/>
    <w:rsid w:val="004239F3"/>
    <w:rsid w:val="00423CA8"/>
    <w:rsid w:val="00423E9D"/>
    <w:rsid w:val="004242F2"/>
    <w:rsid w:val="00424956"/>
    <w:rsid w:val="00425936"/>
    <w:rsid w:val="00425ED8"/>
    <w:rsid w:val="0042C742"/>
    <w:rsid w:val="004300B1"/>
    <w:rsid w:val="00430841"/>
    <w:rsid w:val="004309CB"/>
    <w:rsid w:val="00430C33"/>
    <w:rsid w:val="004316E6"/>
    <w:rsid w:val="00432232"/>
    <w:rsid w:val="00432602"/>
    <w:rsid w:val="0043379A"/>
    <w:rsid w:val="004341B0"/>
    <w:rsid w:val="00434EE1"/>
    <w:rsid w:val="00435400"/>
    <w:rsid w:val="00435660"/>
    <w:rsid w:val="004364A1"/>
    <w:rsid w:val="00437B7A"/>
    <w:rsid w:val="00440BBA"/>
    <w:rsid w:val="004413DB"/>
    <w:rsid w:val="0044145D"/>
    <w:rsid w:val="00442154"/>
    <w:rsid w:val="004421DE"/>
    <w:rsid w:val="004428D3"/>
    <w:rsid w:val="00442B02"/>
    <w:rsid w:val="004441D8"/>
    <w:rsid w:val="0044424F"/>
    <w:rsid w:val="00444310"/>
    <w:rsid w:val="004464A4"/>
    <w:rsid w:val="00446634"/>
    <w:rsid w:val="004475B8"/>
    <w:rsid w:val="0045039D"/>
    <w:rsid w:val="004509AA"/>
    <w:rsid w:val="004511A3"/>
    <w:rsid w:val="004522D3"/>
    <w:rsid w:val="00452707"/>
    <w:rsid w:val="004532A5"/>
    <w:rsid w:val="0045359A"/>
    <w:rsid w:val="004535F2"/>
    <w:rsid w:val="00453B7E"/>
    <w:rsid w:val="00453DB8"/>
    <w:rsid w:val="00454539"/>
    <w:rsid w:val="004545F4"/>
    <w:rsid w:val="00454A0D"/>
    <w:rsid w:val="00455823"/>
    <w:rsid w:val="004567BB"/>
    <w:rsid w:val="00457BF4"/>
    <w:rsid w:val="00458C2A"/>
    <w:rsid w:val="0046017C"/>
    <w:rsid w:val="00460C1A"/>
    <w:rsid w:val="00461467"/>
    <w:rsid w:val="00462757"/>
    <w:rsid w:val="00463813"/>
    <w:rsid w:val="00464A9C"/>
    <w:rsid w:val="00466FD8"/>
    <w:rsid w:val="00467958"/>
    <w:rsid w:val="00467A6D"/>
    <w:rsid w:val="004709E5"/>
    <w:rsid w:val="00470D5B"/>
    <w:rsid w:val="004721F7"/>
    <w:rsid w:val="00473FEA"/>
    <w:rsid w:val="004740A5"/>
    <w:rsid w:val="0047425C"/>
    <w:rsid w:val="00476788"/>
    <w:rsid w:val="00477682"/>
    <w:rsid w:val="0047EB94"/>
    <w:rsid w:val="004814BF"/>
    <w:rsid w:val="00481EE2"/>
    <w:rsid w:val="00482F18"/>
    <w:rsid w:val="00482FBE"/>
    <w:rsid w:val="0048338F"/>
    <w:rsid w:val="00483516"/>
    <w:rsid w:val="00483781"/>
    <w:rsid w:val="00485682"/>
    <w:rsid w:val="00485B09"/>
    <w:rsid w:val="00486E53"/>
    <w:rsid w:val="004876AE"/>
    <w:rsid w:val="004887EB"/>
    <w:rsid w:val="004900C2"/>
    <w:rsid w:val="0049060D"/>
    <w:rsid w:val="004908C6"/>
    <w:rsid w:val="00491304"/>
    <w:rsid w:val="00491845"/>
    <w:rsid w:val="00491CB3"/>
    <w:rsid w:val="00492F86"/>
    <w:rsid w:val="004938AD"/>
    <w:rsid w:val="00493BDF"/>
    <w:rsid w:val="0049423E"/>
    <w:rsid w:val="004943A7"/>
    <w:rsid w:val="004955A8"/>
    <w:rsid w:val="0049641B"/>
    <w:rsid w:val="00496A48"/>
    <w:rsid w:val="0049746B"/>
    <w:rsid w:val="00497B05"/>
    <w:rsid w:val="00497DCA"/>
    <w:rsid w:val="004A0423"/>
    <w:rsid w:val="004A1BC0"/>
    <w:rsid w:val="004A1CD6"/>
    <w:rsid w:val="004A1D7D"/>
    <w:rsid w:val="004A23B0"/>
    <w:rsid w:val="004A26D2"/>
    <w:rsid w:val="004A349F"/>
    <w:rsid w:val="004A373D"/>
    <w:rsid w:val="004A3E6E"/>
    <w:rsid w:val="004A4F5A"/>
    <w:rsid w:val="004A7EEE"/>
    <w:rsid w:val="004B0305"/>
    <w:rsid w:val="004B12B1"/>
    <w:rsid w:val="004B14B2"/>
    <w:rsid w:val="004B24CF"/>
    <w:rsid w:val="004B2629"/>
    <w:rsid w:val="004B2E23"/>
    <w:rsid w:val="004B324F"/>
    <w:rsid w:val="004B40DF"/>
    <w:rsid w:val="004B427C"/>
    <w:rsid w:val="004B625A"/>
    <w:rsid w:val="004B6757"/>
    <w:rsid w:val="004B687C"/>
    <w:rsid w:val="004B6CDF"/>
    <w:rsid w:val="004BF83F"/>
    <w:rsid w:val="004C01E3"/>
    <w:rsid w:val="004C024F"/>
    <w:rsid w:val="004C068D"/>
    <w:rsid w:val="004C0A69"/>
    <w:rsid w:val="004C0F4A"/>
    <w:rsid w:val="004C111C"/>
    <w:rsid w:val="004C1F63"/>
    <w:rsid w:val="004C213D"/>
    <w:rsid w:val="004C291F"/>
    <w:rsid w:val="004C425D"/>
    <w:rsid w:val="004C4462"/>
    <w:rsid w:val="004C50EA"/>
    <w:rsid w:val="004C5254"/>
    <w:rsid w:val="004C5C9A"/>
    <w:rsid w:val="004C6184"/>
    <w:rsid w:val="004C6219"/>
    <w:rsid w:val="004C64D8"/>
    <w:rsid w:val="004C73C6"/>
    <w:rsid w:val="004C766C"/>
    <w:rsid w:val="004C7D59"/>
    <w:rsid w:val="004D05F8"/>
    <w:rsid w:val="004D09F5"/>
    <w:rsid w:val="004D109A"/>
    <w:rsid w:val="004D15E4"/>
    <w:rsid w:val="004D1BAB"/>
    <w:rsid w:val="004D1F4B"/>
    <w:rsid w:val="004D25EF"/>
    <w:rsid w:val="004D26D4"/>
    <w:rsid w:val="004D27A3"/>
    <w:rsid w:val="004D27B5"/>
    <w:rsid w:val="004D381E"/>
    <w:rsid w:val="004D4352"/>
    <w:rsid w:val="004D4558"/>
    <w:rsid w:val="004D4D8C"/>
    <w:rsid w:val="004D51D2"/>
    <w:rsid w:val="004D628A"/>
    <w:rsid w:val="004D6DF5"/>
    <w:rsid w:val="004D702E"/>
    <w:rsid w:val="004D7FE3"/>
    <w:rsid w:val="004DDAE2"/>
    <w:rsid w:val="004E1C38"/>
    <w:rsid w:val="004E26DE"/>
    <w:rsid w:val="004E2A19"/>
    <w:rsid w:val="004E2E52"/>
    <w:rsid w:val="004E31D2"/>
    <w:rsid w:val="004E375E"/>
    <w:rsid w:val="004E38D2"/>
    <w:rsid w:val="004E39AD"/>
    <w:rsid w:val="004E42B3"/>
    <w:rsid w:val="004E45B3"/>
    <w:rsid w:val="004E4BFD"/>
    <w:rsid w:val="004E4E02"/>
    <w:rsid w:val="004E4F62"/>
    <w:rsid w:val="004E5615"/>
    <w:rsid w:val="004E669F"/>
    <w:rsid w:val="004E6A26"/>
    <w:rsid w:val="004E7206"/>
    <w:rsid w:val="004E7A4B"/>
    <w:rsid w:val="004F373F"/>
    <w:rsid w:val="004F50EA"/>
    <w:rsid w:val="004F69D9"/>
    <w:rsid w:val="004F7F5E"/>
    <w:rsid w:val="0050006A"/>
    <w:rsid w:val="005004D2"/>
    <w:rsid w:val="005011C4"/>
    <w:rsid w:val="0050132B"/>
    <w:rsid w:val="0050207C"/>
    <w:rsid w:val="005026AA"/>
    <w:rsid w:val="0050349C"/>
    <w:rsid w:val="00504F46"/>
    <w:rsid w:val="005059CE"/>
    <w:rsid w:val="00505C13"/>
    <w:rsid w:val="005067D3"/>
    <w:rsid w:val="00507F23"/>
    <w:rsid w:val="005100EB"/>
    <w:rsid w:val="00510C94"/>
    <w:rsid w:val="00510D51"/>
    <w:rsid w:val="005112E8"/>
    <w:rsid w:val="00511873"/>
    <w:rsid w:val="00512404"/>
    <w:rsid w:val="00515083"/>
    <w:rsid w:val="00515310"/>
    <w:rsid w:val="00516291"/>
    <w:rsid w:val="0051776D"/>
    <w:rsid w:val="00517A24"/>
    <w:rsid w:val="005201F7"/>
    <w:rsid w:val="00521CB9"/>
    <w:rsid w:val="005221EC"/>
    <w:rsid w:val="0052282F"/>
    <w:rsid w:val="00523257"/>
    <w:rsid w:val="0052358A"/>
    <w:rsid w:val="005243C6"/>
    <w:rsid w:val="0052453D"/>
    <w:rsid w:val="0052487C"/>
    <w:rsid w:val="00524B2D"/>
    <w:rsid w:val="005255CE"/>
    <w:rsid w:val="00525710"/>
    <w:rsid w:val="0052678C"/>
    <w:rsid w:val="00526A49"/>
    <w:rsid w:val="00526EFA"/>
    <w:rsid w:val="005279FC"/>
    <w:rsid w:val="00527C8F"/>
    <w:rsid w:val="00527D4B"/>
    <w:rsid w:val="005308B9"/>
    <w:rsid w:val="00530BB3"/>
    <w:rsid w:val="00530BB7"/>
    <w:rsid w:val="00530CD3"/>
    <w:rsid w:val="00531441"/>
    <w:rsid w:val="005318C6"/>
    <w:rsid w:val="00531900"/>
    <w:rsid w:val="00532364"/>
    <w:rsid w:val="005323CE"/>
    <w:rsid w:val="00532BC3"/>
    <w:rsid w:val="00533681"/>
    <w:rsid w:val="00534287"/>
    <w:rsid w:val="0053449B"/>
    <w:rsid w:val="005347F5"/>
    <w:rsid w:val="00535286"/>
    <w:rsid w:val="00535A00"/>
    <w:rsid w:val="00535FDD"/>
    <w:rsid w:val="00536389"/>
    <w:rsid w:val="005369CC"/>
    <w:rsid w:val="00536A98"/>
    <w:rsid w:val="00536CE1"/>
    <w:rsid w:val="005376DB"/>
    <w:rsid w:val="005378CD"/>
    <w:rsid w:val="00537C70"/>
    <w:rsid w:val="00537F3C"/>
    <w:rsid w:val="00541EFB"/>
    <w:rsid w:val="005423AB"/>
    <w:rsid w:val="0054273E"/>
    <w:rsid w:val="00542BC4"/>
    <w:rsid w:val="005438F7"/>
    <w:rsid w:val="005439D1"/>
    <w:rsid w:val="00543E7D"/>
    <w:rsid w:val="00543EC6"/>
    <w:rsid w:val="0054422E"/>
    <w:rsid w:val="00544C04"/>
    <w:rsid w:val="00544FDD"/>
    <w:rsid w:val="005451B2"/>
    <w:rsid w:val="00545DF5"/>
    <w:rsid w:val="00545E7B"/>
    <w:rsid w:val="00546132"/>
    <w:rsid w:val="00547AE6"/>
    <w:rsid w:val="00550679"/>
    <w:rsid w:val="00550B7F"/>
    <w:rsid w:val="00550C07"/>
    <w:rsid w:val="00551EB2"/>
    <w:rsid w:val="005536A7"/>
    <w:rsid w:val="00554151"/>
    <w:rsid w:val="005547EB"/>
    <w:rsid w:val="005554C0"/>
    <w:rsid w:val="005555A1"/>
    <w:rsid w:val="00555BA1"/>
    <w:rsid w:val="00555F11"/>
    <w:rsid w:val="00556055"/>
    <w:rsid w:val="0055639F"/>
    <w:rsid w:val="00556512"/>
    <w:rsid w:val="0055697F"/>
    <w:rsid w:val="00556E52"/>
    <w:rsid w:val="0055731B"/>
    <w:rsid w:val="00557825"/>
    <w:rsid w:val="00557F6D"/>
    <w:rsid w:val="00560007"/>
    <w:rsid w:val="005602B5"/>
    <w:rsid w:val="00560704"/>
    <w:rsid w:val="00561DED"/>
    <w:rsid w:val="0056210D"/>
    <w:rsid w:val="00563793"/>
    <w:rsid w:val="005637CA"/>
    <w:rsid w:val="00564812"/>
    <w:rsid w:val="00564990"/>
    <w:rsid w:val="00565D03"/>
    <w:rsid w:val="00565E4A"/>
    <w:rsid w:val="00566288"/>
    <w:rsid w:val="005673B8"/>
    <w:rsid w:val="00567C27"/>
    <w:rsid w:val="005700CB"/>
    <w:rsid w:val="0057177C"/>
    <w:rsid w:val="005720AA"/>
    <w:rsid w:val="005738DD"/>
    <w:rsid w:val="005739BE"/>
    <w:rsid w:val="0057566A"/>
    <w:rsid w:val="00575B94"/>
    <w:rsid w:val="0057633B"/>
    <w:rsid w:val="00576E18"/>
    <w:rsid w:val="0057706E"/>
    <w:rsid w:val="005776CD"/>
    <w:rsid w:val="0057794C"/>
    <w:rsid w:val="005803F5"/>
    <w:rsid w:val="00580AC8"/>
    <w:rsid w:val="005821C2"/>
    <w:rsid w:val="005831E7"/>
    <w:rsid w:val="00583C3C"/>
    <w:rsid w:val="00584721"/>
    <w:rsid w:val="005849E6"/>
    <w:rsid w:val="00584AAA"/>
    <w:rsid w:val="00584FD7"/>
    <w:rsid w:val="0058515A"/>
    <w:rsid w:val="00585AB0"/>
    <w:rsid w:val="0058608F"/>
    <w:rsid w:val="00587DCE"/>
    <w:rsid w:val="00590170"/>
    <w:rsid w:val="00590D78"/>
    <w:rsid w:val="00591220"/>
    <w:rsid w:val="0059131B"/>
    <w:rsid w:val="005913E2"/>
    <w:rsid w:val="005916AF"/>
    <w:rsid w:val="005919D2"/>
    <w:rsid w:val="005932ED"/>
    <w:rsid w:val="0059333F"/>
    <w:rsid w:val="005934A9"/>
    <w:rsid w:val="0059358E"/>
    <w:rsid w:val="00595232"/>
    <w:rsid w:val="00597229"/>
    <w:rsid w:val="00597A4E"/>
    <w:rsid w:val="00597E54"/>
    <w:rsid w:val="005A00E5"/>
    <w:rsid w:val="005A0129"/>
    <w:rsid w:val="005A19D1"/>
    <w:rsid w:val="005A2382"/>
    <w:rsid w:val="005A33DB"/>
    <w:rsid w:val="005A3595"/>
    <w:rsid w:val="005A3952"/>
    <w:rsid w:val="005A3958"/>
    <w:rsid w:val="005A3B54"/>
    <w:rsid w:val="005A3E5D"/>
    <w:rsid w:val="005A4097"/>
    <w:rsid w:val="005A4A56"/>
    <w:rsid w:val="005A4ACE"/>
    <w:rsid w:val="005A4B55"/>
    <w:rsid w:val="005A623A"/>
    <w:rsid w:val="005A6869"/>
    <w:rsid w:val="005A6B5B"/>
    <w:rsid w:val="005A7FDA"/>
    <w:rsid w:val="005B01A8"/>
    <w:rsid w:val="005B1067"/>
    <w:rsid w:val="005B1D03"/>
    <w:rsid w:val="005B3405"/>
    <w:rsid w:val="005B3B1D"/>
    <w:rsid w:val="005B43BC"/>
    <w:rsid w:val="005B4881"/>
    <w:rsid w:val="005B49E4"/>
    <w:rsid w:val="005B508E"/>
    <w:rsid w:val="005B50E7"/>
    <w:rsid w:val="005B553D"/>
    <w:rsid w:val="005B63FC"/>
    <w:rsid w:val="005B6A50"/>
    <w:rsid w:val="005B70C2"/>
    <w:rsid w:val="005B7131"/>
    <w:rsid w:val="005B7551"/>
    <w:rsid w:val="005B776B"/>
    <w:rsid w:val="005B7B7F"/>
    <w:rsid w:val="005B7C94"/>
    <w:rsid w:val="005B7F5E"/>
    <w:rsid w:val="005BB630"/>
    <w:rsid w:val="005C0236"/>
    <w:rsid w:val="005C0694"/>
    <w:rsid w:val="005C07D4"/>
    <w:rsid w:val="005C1CFE"/>
    <w:rsid w:val="005C1F38"/>
    <w:rsid w:val="005C22D6"/>
    <w:rsid w:val="005C2C6E"/>
    <w:rsid w:val="005C2EDF"/>
    <w:rsid w:val="005C3685"/>
    <w:rsid w:val="005C387F"/>
    <w:rsid w:val="005C39F9"/>
    <w:rsid w:val="005C43F7"/>
    <w:rsid w:val="005C49D2"/>
    <w:rsid w:val="005C5592"/>
    <w:rsid w:val="005C5D6E"/>
    <w:rsid w:val="005C6C2F"/>
    <w:rsid w:val="005C6F6F"/>
    <w:rsid w:val="005C704E"/>
    <w:rsid w:val="005C7528"/>
    <w:rsid w:val="005C7C3F"/>
    <w:rsid w:val="005D11A9"/>
    <w:rsid w:val="005D22C0"/>
    <w:rsid w:val="005D2980"/>
    <w:rsid w:val="005D369F"/>
    <w:rsid w:val="005D50AC"/>
    <w:rsid w:val="005D52C5"/>
    <w:rsid w:val="005D612F"/>
    <w:rsid w:val="005D615B"/>
    <w:rsid w:val="005D61A9"/>
    <w:rsid w:val="005D664F"/>
    <w:rsid w:val="005D7220"/>
    <w:rsid w:val="005E03A5"/>
    <w:rsid w:val="005E1E81"/>
    <w:rsid w:val="005E1F8E"/>
    <w:rsid w:val="005E215C"/>
    <w:rsid w:val="005E2702"/>
    <w:rsid w:val="005E3124"/>
    <w:rsid w:val="005E4D9A"/>
    <w:rsid w:val="005E5F8D"/>
    <w:rsid w:val="005E6322"/>
    <w:rsid w:val="005E7092"/>
    <w:rsid w:val="005E717F"/>
    <w:rsid w:val="005E746F"/>
    <w:rsid w:val="005E7901"/>
    <w:rsid w:val="005E7B4C"/>
    <w:rsid w:val="005E7CD0"/>
    <w:rsid w:val="005F1665"/>
    <w:rsid w:val="005F16DC"/>
    <w:rsid w:val="005F26F5"/>
    <w:rsid w:val="005F2701"/>
    <w:rsid w:val="005F324B"/>
    <w:rsid w:val="005F37D5"/>
    <w:rsid w:val="005F42A1"/>
    <w:rsid w:val="005F4557"/>
    <w:rsid w:val="005F4EDE"/>
    <w:rsid w:val="005F5338"/>
    <w:rsid w:val="005F59CF"/>
    <w:rsid w:val="005F6A73"/>
    <w:rsid w:val="005F6C66"/>
    <w:rsid w:val="005F7067"/>
    <w:rsid w:val="00600323"/>
    <w:rsid w:val="00600419"/>
    <w:rsid w:val="0060154B"/>
    <w:rsid w:val="00601DD0"/>
    <w:rsid w:val="00603227"/>
    <w:rsid w:val="00603DCE"/>
    <w:rsid w:val="0060542B"/>
    <w:rsid w:val="00606097"/>
    <w:rsid w:val="00607570"/>
    <w:rsid w:val="00607ACB"/>
    <w:rsid w:val="00607C0C"/>
    <w:rsid w:val="00610017"/>
    <w:rsid w:val="006112C0"/>
    <w:rsid w:val="00613F94"/>
    <w:rsid w:val="00616C39"/>
    <w:rsid w:val="00617369"/>
    <w:rsid w:val="00617FE9"/>
    <w:rsid w:val="006202AC"/>
    <w:rsid w:val="006203AE"/>
    <w:rsid w:val="00620414"/>
    <w:rsid w:val="00620417"/>
    <w:rsid w:val="006205C1"/>
    <w:rsid w:val="00620FFC"/>
    <w:rsid w:val="006213CF"/>
    <w:rsid w:val="00621AE9"/>
    <w:rsid w:val="00622139"/>
    <w:rsid w:val="0062309E"/>
    <w:rsid w:val="00623225"/>
    <w:rsid w:val="00623469"/>
    <w:rsid w:val="0062383F"/>
    <w:rsid w:val="00623EE4"/>
    <w:rsid w:val="0062497F"/>
    <w:rsid w:val="00624DE1"/>
    <w:rsid w:val="00625404"/>
    <w:rsid w:val="0062561C"/>
    <w:rsid w:val="00625648"/>
    <w:rsid w:val="006256C4"/>
    <w:rsid w:val="006273E9"/>
    <w:rsid w:val="0062744F"/>
    <w:rsid w:val="0062E974"/>
    <w:rsid w:val="006300E7"/>
    <w:rsid w:val="00630C20"/>
    <w:rsid w:val="00630D83"/>
    <w:rsid w:val="006312FC"/>
    <w:rsid w:val="00631471"/>
    <w:rsid w:val="00631CAE"/>
    <w:rsid w:val="006325CD"/>
    <w:rsid w:val="006330C2"/>
    <w:rsid w:val="006336B2"/>
    <w:rsid w:val="00633799"/>
    <w:rsid w:val="006344B2"/>
    <w:rsid w:val="00634DD7"/>
    <w:rsid w:val="00636ACD"/>
    <w:rsid w:val="006370CE"/>
    <w:rsid w:val="00637778"/>
    <w:rsid w:val="00637B63"/>
    <w:rsid w:val="00637FEC"/>
    <w:rsid w:val="00640085"/>
    <w:rsid w:val="00640467"/>
    <w:rsid w:val="006414ED"/>
    <w:rsid w:val="006427D2"/>
    <w:rsid w:val="00643724"/>
    <w:rsid w:val="006445AE"/>
    <w:rsid w:val="00644624"/>
    <w:rsid w:val="00644C83"/>
    <w:rsid w:val="00645989"/>
    <w:rsid w:val="00645C63"/>
    <w:rsid w:val="00646C69"/>
    <w:rsid w:val="00646F6D"/>
    <w:rsid w:val="00647139"/>
    <w:rsid w:val="00647F9E"/>
    <w:rsid w:val="0065088F"/>
    <w:rsid w:val="00650DBB"/>
    <w:rsid w:val="00650E7D"/>
    <w:rsid w:val="0065162B"/>
    <w:rsid w:val="00651F65"/>
    <w:rsid w:val="00653966"/>
    <w:rsid w:val="006539BC"/>
    <w:rsid w:val="006540C8"/>
    <w:rsid w:val="00654949"/>
    <w:rsid w:val="006558C2"/>
    <w:rsid w:val="0065622C"/>
    <w:rsid w:val="00656B6C"/>
    <w:rsid w:val="00657534"/>
    <w:rsid w:val="00657A67"/>
    <w:rsid w:val="00657B7C"/>
    <w:rsid w:val="006625A4"/>
    <w:rsid w:val="0066321B"/>
    <w:rsid w:val="00663472"/>
    <w:rsid w:val="006640BF"/>
    <w:rsid w:val="0066426F"/>
    <w:rsid w:val="00664C91"/>
    <w:rsid w:val="00665B67"/>
    <w:rsid w:val="00665FB6"/>
    <w:rsid w:val="0066636D"/>
    <w:rsid w:val="006668D2"/>
    <w:rsid w:val="00667BE0"/>
    <w:rsid w:val="00671017"/>
    <w:rsid w:val="00672A93"/>
    <w:rsid w:val="00672CB9"/>
    <w:rsid w:val="00672EE6"/>
    <w:rsid w:val="00673573"/>
    <w:rsid w:val="006735F3"/>
    <w:rsid w:val="00673DDA"/>
    <w:rsid w:val="0067415F"/>
    <w:rsid w:val="00675C48"/>
    <w:rsid w:val="00675F28"/>
    <w:rsid w:val="0067669A"/>
    <w:rsid w:val="00677369"/>
    <w:rsid w:val="00677691"/>
    <w:rsid w:val="00677CED"/>
    <w:rsid w:val="00680779"/>
    <w:rsid w:val="0068165E"/>
    <w:rsid w:val="00681C13"/>
    <w:rsid w:val="00682520"/>
    <w:rsid w:val="00683155"/>
    <w:rsid w:val="00683C31"/>
    <w:rsid w:val="00683E06"/>
    <w:rsid w:val="006847ED"/>
    <w:rsid w:val="00686591"/>
    <w:rsid w:val="00686C10"/>
    <w:rsid w:val="0068712F"/>
    <w:rsid w:val="00687F9E"/>
    <w:rsid w:val="00690412"/>
    <w:rsid w:val="0069110D"/>
    <w:rsid w:val="006911F6"/>
    <w:rsid w:val="00692257"/>
    <w:rsid w:val="0069234D"/>
    <w:rsid w:val="0069300C"/>
    <w:rsid w:val="0069330B"/>
    <w:rsid w:val="006938CF"/>
    <w:rsid w:val="0069443F"/>
    <w:rsid w:val="00694561"/>
    <w:rsid w:val="00694962"/>
    <w:rsid w:val="00695427"/>
    <w:rsid w:val="00695453"/>
    <w:rsid w:val="00696078"/>
    <w:rsid w:val="006962C2"/>
    <w:rsid w:val="0069670C"/>
    <w:rsid w:val="00696F3E"/>
    <w:rsid w:val="00697BB9"/>
    <w:rsid w:val="006A0558"/>
    <w:rsid w:val="006A0AC1"/>
    <w:rsid w:val="006A1730"/>
    <w:rsid w:val="006A1BF0"/>
    <w:rsid w:val="006A1E92"/>
    <w:rsid w:val="006A3316"/>
    <w:rsid w:val="006A3D65"/>
    <w:rsid w:val="006A4031"/>
    <w:rsid w:val="006A5B1A"/>
    <w:rsid w:val="006B0167"/>
    <w:rsid w:val="006B026E"/>
    <w:rsid w:val="006B10E3"/>
    <w:rsid w:val="006B1854"/>
    <w:rsid w:val="006B1B12"/>
    <w:rsid w:val="006B20CC"/>
    <w:rsid w:val="006B23EC"/>
    <w:rsid w:val="006B2A2E"/>
    <w:rsid w:val="006B3FD3"/>
    <w:rsid w:val="006B4566"/>
    <w:rsid w:val="006B58A1"/>
    <w:rsid w:val="006B60D5"/>
    <w:rsid w:val="006B615A"/>
    <w:rsid w:val="006B61F1"/>
    <w:rsid w:val="006C10D6"/>
    <w:rsid w:val="006C1399"/>
    <w:rsid w:val="006C3500"/>
    <w:rsid w:val="006C4579"/>
    <w:rsid w:val="006C4867"/>
    <w:rsid w:val="006C5190"/>
    <w:rsid w:val="006C579A"/>
    <w:rsid w:val="006C5AED"/>
    <w:rsid w:val="006C6169"/>
    <w:rsid w:val="006C6B59"/>
    <w:rsid w:val="006C6F5F"/>
    <w:rsid w:val="006D001E"/>
    <w:rsid w:val="006D152B"/>
    <w:rsid w:val="006D26EE"/>
    <w:rsid w:val="006D2984"/>
    <w:rsid w:val="006D410F"/>
    <w:rsid w:val="006D56D2"/>
    <w:rsid w:val="006E0F8C"/>
    <w:rsid w:val="006E135F"/>
    <w:rsid w:val="006E1C6C"/>
    <w:rsid w:val="006E2C0A"/>
    <w:rsid w:val="006E35A4"/>
    <w:rsid w:val="006E3A2C"/>
    <w:rsid w:val="006E400F"/>
    <w:rsid w:val="006E4C86"/>
    <w:rsid w:val="006E5294"/>
    <w:rsid w:val="006E6731"/>
    <w:rsid w:val="006E6E0C"/>
    <w:rsid w:val="006E7247"/>
    <w:rsid w:val="006E7AAE"/>
    <w:rsid w:val="006F0282"/>
    <w:rsid w:val="006F0B46"/>
    <w:rsid w:val="006F177C"/>
    <w:rsid w:val="006F27B2"/>
    <w:rsid w:val="006F2A97"/>
    <w:rsid w:val="006F3D3B"/>
    <w:rsid w:val="006F3E84"/>
    <w:rsid w:val="006F3EC9"/>
    <w:rsid w:val="006F49F2"/>
    <w:rsid w:val="006F5652"/>
    <w:rsid w:val="006F671C"/>
    <w:rsid w:val="006F703C"/>
    <w:rsid w:val="006F77BB"/>
    <w:rsid w:val="006F792B"/>
    <w:rsid w:val="006F7A55"/>
    <w:rsid w:val="006F7E2B"/>
    <w:rsid w:val="006F7FA5"/>
    <w:rsid w:val="00700CD8"/>
    <w:rsid w:val="007013AE"/>
    <w:rsid w:val="0070176F"/>
    <w:rsid w:val="007026F5"/>
    <w:rsid w:val="0070389C"/>
    <w:rsid w:val="00703958"/>
    <w:rsid w:val="00703992"/>
    <w:rsid w:val="00704388"/>
    <w:rsid w:val="00704968"/>
    <w:rsid w:val="00705036"/>
    <w:rsid w:val="0070552E"/>
    <w:rsid w:val="00705880"/>
    <w:rsid w:val="00705F43"/>
    <w:rsid w:val="00706099"/>
    <w:rsid w:val="007062ED"/>
    <w:rsid w:val="00707308"/>
    <w:rsid w:val="00707382"/>
    <w:rsid w:val="007073A4"/>
    <w:rsid w:val="007074B1"/>
    <w:rsid w:val="00707A1C"/>
    <w:rsid w:val="00707FEF"/>
    <w:rsid w:val="00710391"/>
    <w:rsid w:val="007119B8"/>
    <w:rsid w:val="00712BE5"/>
    <w:rsid w:val="007148E8"/>
    <w:rsid w:val="00714A41"/>
    <w:rsid w:val="007152FA"/>
    <w:rsid w:val="0071543F"/>
    <w:rsid w:val="00716BD7"/>
    <w:rsid w:val="00717CBC"/>
    <w:rsid w:val="007200F2"/>
    <w:rsid w:val="0072021C"/>
    <w:rsid w:val="007204A5"/>
    <w:rsid w:val="00720A0B"/>
    <w:rsid w:val="0072294D"/>
    <w:rsid w:val="00722C81"/>
    <w:rsid w:val="00722FD6"/>
    <w:rsid w:val="00723140"/>
    <w:rsid w:val="007233C7"/>
    <w:rsid w:val="00723763"/>
    <w:rsid w:val="00723776"/>
    <w:rsid w:val="00723894"/>
    <w:rsid w:val="0072396E"/>
    <w:rsid w:val="00724315"/>
    <w:rsid w:val="007245A3"/>
    <w:rsid w:val="00724893"/>
    <w:rsid w:val="00724EF1"/>
    <w:rsid w:val="00725409"/>
    <w:rsid w:val="00726669"/>
    <w:rsid w:val="00727030"/>
    <w:rsid w:val="0072774C"/>
    <w:rsid w:val="007308EA"/>
    <w:rsid w:val="00731169"/>
    <w:rsid w:val="00732757"/>
    <w:rsid w:val="00732851"/>
    <w:rsid w:val="00732A3B"/>
    <w:rsid w:val="00732B4C"/>
    <w:rsid w:val="00734272"/>
    <w:rsid w:val="007344BB"/>
    <w:rsid w:val="00734561"/>
    <w:rsid w:val="00735870"/>
    <w:rsid w:val="00735998"/>
    <w:rsid w:val="00737388"/>
    <w:rsid w:val="00737F85"/>
    <w:rsid w:val="00740000"/>
    <w:rsid w:val="0074045C"/>
    <w:rsid w:val="00740564"/>
    <w:rsid w:val="007406D9"/>
    <w:rsid w:val="00740CBC"/>
    <w:rsid w:val="00740F4C"/>
    <w:rsid w:val="00740FFB"/>
    <w:rsid w:val="00741439"/>
    <w:rsid w:val="0074200F"/>
    <w:rsid w:val="00742046"/>
    <w:rsid w:val="00742159"/>
    <w:rsid w:val="0074255F"/>
    <w:rsid w:val="007445AA"/>
    <w:rsid w:val="0074528C"/>
    <w:rsid w:val="0074533E"/>
    <w:rsid w:val="007453AF"/>
    <w:rsid w:val="00745495"/>
    <w:rsid w:val="0074561F"/>
    <w:rsid w:val="0074591B"/>
    <w:rsid w:val="0074623C"/>
    <w:rsid w:val="00746554"/>
    <w:rsid w:val="007474B0"/>
    <w:rsid w:val="0075061D"/>
    <w:rsid w:val="00750703"/>
    <w:rsid w:val="0075233D"/>
    <w:rsid w:val="00753006"/>
    <w:rsid w:val="00753B31"/>
    <w:rsid w:val="00753E27"/>
    <w:rsid w:val="0075427F"/>
    <w:rsid w:val="00754F78"/>
    <w:rsid w:val="00755A91"/>
    <w:rsid w:val="007563CA"/>
    <w:rsid w:val="007575FA"/>
    <w:rsid w:val="007602CB"/>
    <w:rsid w:val="0076161C"/>
    <w:rsid w:val="00761719"/>
    <w:rsid w:val="007617B1"/>
    <w:rsid w:val="00761E7E"/>
    <w:rsid w:val="00762994"/>
    <w:rsid w:val="00762C58"/>
    <w:rsid w:val="00763005"/>
    <w:rsid w:val="00763110"/>
    <w:rsid w:val="00764038"/>
    <w:rsid w:val="0076477F"/>
    <w:rsid w:val="00764ABD"/>
    <w:rsid w:val="00764F6E"/>
    <w:rsid w:val="00766FAB"/>
    <w:rsid w:val="0076704E"/>
    <w:rsid w:val="007672FD"/>
    <w:rsid w:val="00767434"/>
    <w:rsid w:val="00770864"/>
    <w:rsid w:val="00771036"/>
    <w:rsid w:val="00771516"/>
    <w:rsid w:val="00771650"/>
    <w:rsid w:val="0077176F"/>
    <w:rsid w:val="007726CD"/>
    <w:rsid w:val="00772E96"/>
    <w:rsid w:val="0077356A"/>
    <w:rsid w:val="00773607"/>
    <w:rsid w:val="007739AC"/>
    <w:rsid w:val="00773C28"/>
    <w:rsid w:val="00774AB7"/>
    <w:rsid w:val="00774B1E"/>
    <w:rsid w:val="00774DEC"/>
    <w:rsid w:val="0077560A"/>
    <w:rsid w:val="00775988"/>
    <w:rsid w:val="007759C1"/>
    <w:rsid w:val="00775DB0"/>
    <w:rsid w:val="00776394"/>
    <w:rsid w:val="00776FE0"/>
    <w:rsid w:val="0078294F"/>
    <w:rsid w:val="007829FE"/>
    <w:rsid w:val="00783C1F"/>
    <w:rsid w:val="00783FEF"/>
    <w:rsid w:val="00784891"/>
    <w:rsid w:val="00784A7C"/>
    <w:rsid w:val="00785196"/>
    <w:rsid w:val="00785658"/>
    <w:rsid w:val="00785DB5"/>
    <w:rsid w:val="00786F03"/>
    <w:rsid w:val="007877A5"/>
    <w:rsid w:val="00790C9C"/>
    <w:rsid w:val="00790E78"/>
    <w:rsid w:val="0079120A"/>
    <w:rsid w:val="00791539"/>
    <w:rsid w:val="00791763"/>
    <w:rsid w:val="00792018"/>
    <w:rsid w:val="0079216F"/>
    <w:rsid w:val="0079318F"/>
    <w:rsid w:val="0079379F"/>
    <w:rsid w:val="0079397F"/>
    <w:rsid w:val="00793DC7"/>
    <w:rsid w:val="0079486A"/>
    <w:rsid w:val="00794F2C"/>
    <w:rsid w:val="00795251"/>
    <w:rsid w:val="00795C4E"/>
    <w:rsid w:val="00796267"/>
    <w:rsid w:val="00797077"/>
    <w:rsid w:val="00797856"/>
    <w:rsid w:val="00797FDF"/>
    <w:rsid w:val="007A0F69"/>
    <w:rsid w:val="007A107E"/>
    <w:rsid w:val="007A1109"/>
    <w:rsid w:val="007A2163"/>
    <w:rsid w:val="007A3E37"/>
    <w:rsid w:val="007A3FAC"/>
    <w:rsid w:val="007A4C18"/>
    <w:rsid w:val="007A58BD"/>
    <w:rsid w:val="007A5951"/>
    <w:rsid w:val="007A5AD2"/>
    <w:rsid w:val="007A5BDF"/>
    <w:rsid w:val="007A5E39"/>
    <w:rsid w:val="007A66E4"/>
    <w:rsid w:val="007A6993"/>
    <w:rsid w:val="007A6F62"/>
    <w:rsid w:val="007A7015"/>
    <w:rsid w:val="007AFE35"/>
    <w:rsid w:val="007B00C1"/>
    <w:rsid w:val="007B03A2"/>
    <w:rsid w:val="007B1276"/>
    <w:rsid w:val="007B1342"/>
    <w:rsid w:val="007B1AC9"/>
    <w:rsid w:val="007B2220"/>
    <w:rsid w:val="007B2F83"/>
    <w:rsid w:val="007B406D"/>
    <w:rsid w:val="007B4D41"/>
    <w:rsid w:val="007B4E9A"/>
    <w:rsid w:val="007B5BAF"/>
    <w:rsid w:val="007B60D8"/>
    <w:rsid w:val="007B6263"/>
    <w:rsid w:val="007B63AB"/>
    <w:rsid w:val="007B6BBA"/>
    <w:rsid w:val="007B740C"/>
    <w:rsid w:val="007B785A"/>
    <w:rsid w:val="007B793A"/>
    <w:rsid w:val="007B7C7D"/>
    <w:rsid w:val="007B7E70"/>
    <w:rsid w:val="007C1ADD"/>
    <w:rsid w:val="007C1C5A"/>
    <w:rsid w:val="007C37D4"/>
    <w:rsid w:val="007C47A5"/>
    <w:rsid w:val="007C481D"/>
    <w:rsid w:val="007C54DF"/>
    <w:rsid w:val="007C5982"/>
    <w:rsid w:val="007C65B6"/>
    <w:rsid w:val="007C73DE"/>
    <w:rsid w:val="007C750F"/>
    <w:rsid w:val="007C7603"/>
    <w:rsid w:val="007C7905"/>
    <w:rsid w:val="007C7913"/>
    <w:rsid w:val="007D02BD"/>
    <w:rsid w:val="007D3236"/>
    <w:rsid w:val="007D3257"/>
    <w:rsid w:val="007D3F14"/>
    <w:rsid w:val="007D3F33"/>
    <w:rsid w:val="007D50F5"/>
    <w:rsid w:val="007D52C4"/>
    <w:rsid w:val="007D5460"/>
    <w:rsid w:val="007D5462"/>
    <w:rsid w:val="007D5641"/>
    <w:rsid w:val="007D5D62"/>
    <w:rsid w:val="007D5FA0"/>
    <w:rsid w:val="007D64EB"/>
    <w:rsid w:val="007D6D46"/>
    <w:rsid w:val="007D7F27"/>
    <w:rsid w:val="007DC27E"/>
    <w:rsid w:val="007E0C69"/>
    <w:rsid w:val="007E17EE"/>
    <w:rsid w:val="007E1AA9"/>
    <w:rsid w:val="007E255E"/>
    <w:rsid w:val="007E2C49"/>
    <w:rsid w:val="007E2DF8"/>
    <w:rsid w:val="007E3713"/>
    <w:rsid w:val="007E43AD"/>
    <w:rsid w:val="007E4446"/>
    <w:rsid w:val="007E48E2"/>
    <w:rsid w:val="007E514E"/>
    <w:rsid w:val="007E57B3"/>
    <w:rsid w:val="007E5AE1"/>
    <w:rsid w:val="007E6993"/>
    <w:rsid w:val="007E6E55"/>
    <w:rsid w:val="007E7201"/>
    <w:rsid w:val="007E7211"/>
    <w:rsid w:val="007E7327"/>
    <w:rsid w:val="007E75CB"/>
    <w:rsid w:val="007F02AE"/>
    <w:rsid w:val="007F155F"/>
    <w:rsid w:val="007F1C55"/>
    <w:rsid w:val="007F1D8B"/>
    <w:rsid w:val="007F277A"/>
    <w:rsid w:val="007F38AC"/>
    <w:rsid w:val="007F43A1"/>
    <w:rsid w:val="007F480A"/>
    <w:rsid w:val="007F4A9E"/>
    <w:rsid w:val="007F4D43"/>
    <w:rsid w:val="007F5290"/>
    <w:rsid w:val="007F62A1"/>
    <w:rsid w:val="007F67E9"/>
    <w:rsid w:val="007F717B"/>
    <w:rsid w:val="00800F75"/>
    <w:rsid w:val="00802FAD"/>
    <w:rsid w:val="00804240"/>
    <w:rsid w:val="0080487B"/>
    <w:rsid w:val="008051A1"/>
    <w:rsid w:val="00806288"/>
    <w:rsid w:val="0080659F"/>
    <w:rsid w:val="008067E6"/>
    <w:rsid w:val="0080715D"/>
    <w:rsid w:val="00807885"/>
    <w:rsid w:val="00807914"/>
    <w:rsid w:val="008079DF"/>
    <w:rsid w:val="00807D09"/>
    <w:rsid w:val="0081006A"/>
    <w:rsid w:val="008104C9"/>
    <w:rsid w:val="008104E7"/>
    <w:rsid w:val="00810AF4"/>
    <w:rsid w:val="008128DE"/>
    <w:rsid w:val="00812FD2"/>
    <w:rsid w:val="0081491B"/>
    <w:rsid w:val="00814964"/>
    <w:rsid w:val="008152AB"/>
    <w:rsid w:val="0081537D"/>
    <w:rsid w:val="00816026"/>
    <w:rsid w:val="0081644E"/>
    <w:rsid w:val="008169BC"/>
    <w:rsid w:val="008202FB"/>
    <w:rsid w:val="008204F0"/>
    <w:rsid w:val="00820A90"/>
    <w:rsid w:val="00821070"/>
    <w:rsid w:val="00821216"/>
    <w:rsid w:val="00821A3B"/>
    <w:rsid w:val="00821AA3"/>
    <w:rsid w:val="00821B81"/>
    <w:rsid w:val="0082240D"/>
    <w:rsid w:val="00823418"/>
    <w:rsid w:val="00824717"/>
    <w:rsid w:val="008249FC"/>
    <w:rsid w:val="00825728"/>
    <w:rsid w:val="008258B7"/>
    <w:rsid w:val="00825CFA"/>
    <w:rsid w:val="008261C1"/>
    <w:rsid w:val="00826309"/>
    <w:rsid w:val="00826523"/>
    <w:rsid w:val="00826937"/>
    <w:rsid w:val="00826A03"/>
    <w:rsid w:val="00826FF5"/>
    <w:rsid w:val="00827090"/>
    <w:rsid w:val="008277F0"/>
    <w:rsid w:val="00827A89"/>
    <w:rsid w:val="00830431"/>
    <w:rsid w:val="0083048A"/>
    <w:rsid w:val="008304CC"/>
    <w:rsid w:val="00830676"/>
    <w:rsid w:val="008308B7"/>
    <w:rsid w:val="00831546"/>
    <w:rsid w:val="00831984"/>
    <w:rsid w:val="00831B95"/>
    <w:rsid w:val="00832452"/>
    <w:rsid w:val="0083282B"/>
    <w:rsid w:val="008329E2"/>
    <w:rsid w:val="00832F93"/>
    <w:rsid w:val="00833703"/>
    <w:rsid w:val="00833782"/>
    <w:rsid w:val="00833A1E"/>
    <w:rsid w:val="00833CDC"/>
    <w:rsid w:val="00833CE9"/>
    <w:rsid w:val="00834A6D"/>
    <w:rsid w:val="00835071"/>
    <w:rsid w:val="00835DD9"/>
    <w:rsid w:val="00836F45"/>
    <w:rsid w:val="00837306"/>
    <w:rsid w:val="0083743E"/>
    <w:rsid w:val="008374D8"/>
    <w:rsid w:val="00841405"/>
    <w:rsid w:val="00841439"/>
    <w:rsid w:val="008429B4"/>
    <w:rsid w:val="00843336"/>
    <w:rsid w:val="008433C2"/>
    <w:rsid w:val="008433E2"/>
    <w:rsid w:val="0084358D"/>
    <w:rsid w:val="008447A0"/>
    <w:rsid w:val="00844DCB"/>
    <w:rsid w:val="00845791"/>
    <w:rsid w:val="00845819"/>
    <w:rsid w:val="00845900"/>
    <w:rsid w:val="00845F18"/>
    <w:rsid w:val="008461DD"/>
    <w:rsid w:val="008465D7"/>
    <w:rsid w:val="0084664F"/>
    <w:rsid w:val="0084748D"/>
    <w:rsid w:val="00850153"/>
    <w:rsid w:val="00850D8C"/>
    <w:rsid w:val="00850F5B"/>
    <w:rsid w:val="008514CA"/>
    <w:rsid w:val="008524C7"/>
    <w:rsid w:val="008527A6"/>
    <w:rsid w:val="00852D9D"/>
    <w:rsid w:val="00853813"/>
    <w:rsid w:val="00854359"/>
    <w:rsid w:val="00854685"/>
    <w:rsid w:val="0085563E"/>
    <w:rsid w:val="0085581C"/>
    <w:rsid w:val="0085599D"/>
    <w:rsid w:val="00855E96"/>
    <w:rsid w:val="00857774"/>
    <w:rsid w:val="0085779B"/>
    <w:rsid w:val="0086039D"/>
    <w:rsid w:val="0086126E"/>
    <w:rsid w:val="008619BD"/>
    <w:rsid w:val="00861ADA"/>
    <w:rsid w:val="008628F4"/>
    <w:rsid w:val="0086346E"/>
    <w:rsid w:val="008636D4"/>
    <w:rsid w:val="00863952"/>
    <w:rsid w:val="008639C9"/>
    <w:rsid w:val="00863A87"/>
    <w:rsid w:val="00864794"/>
    <w:rsid w:val="008647B6"/>
    <w:rsid w:val="00864985"/>
    <w:rsid w:val="00864E74"/>
    <w:rsid w:val="008661F3"/>
    <w:rsid w:val="008666B6"/>
    <w:rsid w:val="00867878"/>
    <w:rsid w:val="008678BE"/>
    <w:rsid w:val="00870143"/>
    <w:rsid w:val="00870263"/>
    <w:rsid w:val="00870AC4"/>
    <w:rsid w:val="0087192D"/>
    <w:rsid w:val="00872E22"/>
    <w:rsid w:val="0087339E"/>
    <w:rsid w:val="00873744"/>
    <w:rsid w:val="00874878"/>
    <w:rsid w:val="00874FCB"/>
    <w:rsid w:val="00875444"/>
    <w:rsid w:val="0087578A"/>
    <w:rsid w:val="0087581B"/>
    <w:rsid w:val="008766A6"/>
    <w:rsid w:val="0087691C"/>
    <w:rsid w:val="00876BFD"/>
    <w:rsid w:val="0087701C"/>
    <w:rsid w:val="00877D48"/>
    <w:rsid w:val="00877D9F"/>
    <w:rsid w:val="008806DA"/>
    <w:rsid w:val="008819F3"/>
    <w:rsid w:val="008826A7"/>
    <w:rsid w:val="00882D3F"/>
    <w:rsid w:val="008831D3"/>
    <w:rsid w:val="008832EC"/>
    <w:rsid w:val="00883C8A"/>
    <w:rsid w:val="0088439A"/>
    <w:rsid w:val="00884464"/>
    <w:rsid w:val="008858B9"/>
    <w:rsid w:val="0088604A"/>
    <w:rsid w:val="00886C5C"/>
    <w:rsid w:val="008879CA"/>
    <w:rsid w:val="00890069"/>
    <w:rsid w:val="0089006E"/>
    <w:rsid w:val="00891033"/>
    <w:rsid w:val="00891620"/>
    <w:rsid w:val="008919C5"/>
    <w:rsid w:val="00892B35"/>
    <w:rsid w:val="00893FB5"/>
    <w:rsid w:val="008948B1"/>
    <w:rsid w:val="008954C8"/>
    <w:rsid w:val="00895E4D"/>
    <w:rsid w:val="00895F0E"/>
    <w:rsid w:val="00896463"/>
    <w:rsid w:val="00896E98"/>
    <w:rsid w:val="008A03B8"/>
    <w:rsid w:val="008A0A47"/>
    <w:rsid w:val="008A13BB"/>
    <w:rsid w:val="008A1659"/>
    <w:rsid w:val="008A17F3"/>
    <w:rsid w:val="008A1AA6"/>
    <w:rsid w:val="008A1D87"/>
    <w:rsid w:val="008A1F0D"/>
    <w:rsid w:val="008A296D"/>
    <w:rsid w:val="008A31B1"/>
    <w:rsid w:val="008A41AD"/>
    <w:rsid w:val="008A44A8"/>
    <w:rsid w:val="008A457B"/>
    <w:rsid w:val="008A4756"/>
    <w:rsid w:val="008A4A6E"/>
    <w:rsid w:val="008A5331"/>
    <w:rsid w:val="008A68BD"/>
    <w:rsid w:val="008A6F28"/>
    <w:rsid w:val="008A7BC7"/>
    <w:rsid w:val="008A7F6C"/>
    <w:rsid w:val="008B046F"/>
    <w:rsid w:val="008B0FA0"/>
    <w:rsid w:val="008B133B"/>
    <w:rsid w:val="008B2A71"/>
    <w:rsid w:val="008B3597"/>
    <w:rsid w:val="008B35EF"/>
    <w:rsid w:val="008B41CD"/>
    <w:rsid w:val="008B45F5"/>
    <w:rsid w:val="008B4C31"/>
    <w:rsid w:val="008B4FA2"/>
    <w:rsid w:val="008B556C"/>
    <w:rsid w:val="008B673F"/>
    <w:rsid w:val="008C0CB1"/>
    <w:rsid w:val="008C2F4A"/>
    <w:rsid w:val="008C3676"/>
    <w:rsid w:val="008C3960"/>
    <w:rsid w:val="008C4120"/>
    <w:rsid w:val="008C4439"/>
    <w:rsid w:val="008C47BE"/>
    <w:rsid w:val="008C4F56"/>
    <w:rsid w:val="008C54E4"/>
    <w:rsid w:val="008C6063"/>
    <w:rsid w:val="008D0656"/>
    <w:rsid w:val="008D2157"/>
    <w:rsid w:val="008D257B"/>
    <w:rsid w:val="008D281F"/>
    <w:rsid w:val="008D290F"/>
    <w:rsid w:val="008D2C72"/>
    <w:rsid w:val="008D3446"/>
    <w:rsid w:val="008D3542"/>
    <w:rsid w:val="008D55E8"/>
    <w:rsid w:val="008D5C4B"/>
    <w:rsid w:val="008D63B2"/>
    <w:rsid w:val="008D6D25"/>
    <w:rsid w:val="008E1710"/>
    <w:rsid w:val="008E1C1F"/>
    <w:rsid w:val="008E1FF7"/>
    <w:rsid w:val="008E22A8"/>
    <w:rsid w:val="008E2993"/>
    <w:rsid w:val="008E4548"/>
    <w:rsid w:val="008E4C8F"/>
    <w:rsid w:val="008E4D3B"/>
    <w:rsid w:val="008E4F18"/>
    <w:rsid w:val="008E55AF"/>
    <w:rsid w:val="008E58DF"/>
    <w:rsid w:val="008E5F48"/>
    <w:rsid w:val="008E6572"/>
    <w:rsid w:val="008E76A7"/>
    <w:rsid w:val="008E79FE"/>
    <w:rsid w:val="008E7C0C"/>
    <w:rsid w:val="008E7DD2"/>
    <w:rsid w:val="008F15F4"/>
    <w:rsid w:val="008F1BEE"/>
    <w:rsid w:val="008F21D2"/>
    <w:rsid w:val="008F2571"/>
    <w:rsid w:val="008F2A81"/>
    <w:rsid w:val="008F3505"/>
    <w:rsid w:val="008F3DC8"/>
    <w:rsid w:val="008F4487"/>
    <w:rsid w:val="008F4A19"/>
    <w:rsid w:val="008F4E83"/>
    <w:rsid w:val="008F5370"/>
    <w:rsid w:val="008F58DD"/>
    <w:rsid w:val="008F5FCD"/>
    <w:rsid w:val="008F6393"/>
    <w:rsid w:val="008F64AF"/>
    <w:rsid w:val="008F72A3"/>
    <w:rsid w:val="008F7CE5"/>
    <w:rsid w:val="008F7DAB"/>
    <w:rsid w:val="009001DD"/>
    <w:rsid w:val="00900C7F"/>
    <w:rsid w:val="00901E0B"/>
    <w:rsid w:val="00903446"/>
    <w:rsid w:val="009034DF"/>
    <w:rsid w:val="00903590"/>
    <w:rsid w:val="00904A9C"/>
    <w:rsid w:val="00905A1D"/>
    <w:rsid w:val="00906586"/>
    <w:rsid w:val="00906590"/>
    <w:rsid w:val="00906833"/>
    <w:rsid w:val="009068E7"/>
    <w:rsid w:val="00906F91"/>
    <w:rsid w:val="0090750D"/>
    <w:rsid w:val="0091133A"/>
    <w:rsid w:val="00911DD1"/>
    <w:rsid w:val="0091238E"/>
    <w:rsid w:val="009137C8"/>
    <w:rsid w:val="00914264"/>
    <w:rsid w:val="00914A39"/>
    <w:rsid w:val="009150DB"/>
    <w:rsid w:val="009153BD"/>
    <w:rsid w:val="009156A0"/>
    <w:rsid w:val="00915DC7"/>
    <w:rsid w:val="00915E27"/>
    <w:rsid w:val="00916B4C"/>
    <w:rsid w:val="00917368"/>
    <w:rsid w:val="009176BE"/>
    <w:rsid w:val="00917AA8"/>
    <w:rsid w:val="00917F43"/>
    <w:rsid w:val="00920B04"/>
    <w:rsid w:val="00920D43"/>
    <w:rsid w:val="0092111C"/>
    <w:rsid w:val="00921242"/>
    <w:rsid w:val="00921B32"/>
    <w:rsid w:val="00921FAD"/>
    <w:rsid w:val="009220DA"/>
    <w:rsid w:val="00922899"/>
    <w:rsid w:val="009228B0"/>
    <w:rsid w:val="0092338A"/>
    <w:rsid w:val="00924083"/>
    <w:rsid w:val="0092465E"/>
    <w:rsid w:val="0092468D"/>
    <w:rsid w:val="00924FFD"/>
    <w:rsid w:val="00925CAF"/>
    <w:rsid w:val="00925FD6"/>
    <w:rsid w:val="00926309"/>
    <w:rsid w:val="00927287"/>
    <w:rsid w:val="009303ED"/>
    <w:rsid w:val="009304A7"/>
    <w:rsid w:val="00930982"/>
    <w:rsid w:val="00930DEC"/>
    <w:rsid w:val="00931016"/>
    <w:rsid w:val="0093216D"/>
    <w:rsid w:val="00932224"/>
    <w:rsid w:val="0093299F"/>
    <w:rsid w:val="0093427E"/>
    <w:rsid w:val="009346EC"/>
    <w:rsid w:val="00934B40"/>
    <w:rsid w:val="009355CC"/>
    <w:rsid w:val="0093561E"/>
    <w:rsid w:val="00935797"/>
    <w:rsid w:val="00936131"/>
    <w:rsid w:val="00936353"/>
    <w:rsid w:val="00936A7A"/>
    <w:rsid w:val="00937130"/>
    <w:rsid w:val="0093728D"/>
    <w:rsid w:val="0094098F"/>
    <w:rsid w:val="0094175F"/>
    <w:rsid w:val="00941858"/>
    <w:rsid w:val="00942F8F"/>
    <w:rsid w:val="009432C3"/>
    <w:rsid w:val="00944249"/>
    <w:rsid w:val="009443AD"/>
    <w:rsid w:val="00944687"/>
    <w:rsid w:val="009446A3"/>
    <w:rsid w:val="009449A7"/>
    <w:rsid w:val="00944CB8"/>
    <w:rsid w:val="00944D67"/>
    <w:rsid w:val="00945646"/>
    <w:rsid w:val="009468EA"/>
    <w:rsid w:val="0094714A"/>
    <w:rsid w:val="0094730E"/>
    <w:rsid w:val="00947F42"/>
    <w:rsid w:val="0095006D"/>
    <w:rsid w:val="00950224"/>
    <w:rsid w:val="0095022F"/>
    <w:rsid w:val="00950715"/>
    <w:rsid w:val="00951424"/>
    <w:rsid w:val="009514B7"/>
    <w:rsid w:val="009514C6"/>
    <w:rsid w:val="00951C04"/>
    <w:rsid w:val="00952386"/>
    <w:rsid w:val="009523C2"/>
    <w:rsid w:val="009528F9"/>
    <w:rsid w:val="00952F68"/>
    <w:rsid w:val="009536A4"/>
    <w:rsid w:val="00953B93"/>
    <w:rsid w:val="00954A98"/>
    <w:rsid w:val="00954FFA"/>
    <w:rsid w:val="009554E5"/>
    <w:rsid w:val="00955891"/>
    <w:rsid w:val="00955947"/>
    <w:rsid w:val="009561C8"/>
    <w:rsid w:val="00956268"/>
    <w:rsid w:val="0095706E"/>
    <w:rsid w:val="009574EE"/>
    <w:rsid w:val="00957777"/>
    <w:rsid w:val="009578D5"/>
    <w:rsid w:val="00957CA9"/>
    <w:rsid w:val="0095F96C"/>
    <w:rsid w:val="00961652"/>
    <w:rsid w:val="00961F26"/>
    <w:rsid w:val="00962101"/>
    <w:rsid w:val="00962E0A"/>
    <w:rsid w:val="00962FC4"/>
    <w:rsid w:val="00963A81"/>
    <w:rsid w:val="0096432D"/>
    <w:rsid w:val="00964764"/>
    <w:rsid w:val="00964BD8"/>
    <w:rsid w:val="00964EB3"/>
    <w:rsid w:val="00965434"/>
    <w:rsid w:val="00965616"/>
    <w:rsid w:val="00966674"/>
    <w:rsid w:val="0097036A"/>
    <w:rsid w:val="00970504"/>
    <w:rsid w:val="00970A67"/>
    <w:rsid w:val="009713D5"/>
    <w:rsid w:val="0097164F"/>
    <w:rsid w:val="00971C3A"/>
    <w:rsid w:val="00971F84"/>
    <w:rsid w:val="00972368"/>
    <w:rsid w:val="009726A6"/>
    <w:rsid w:val="00972917"/>
    <w:rsid w:val="00972F6F"/>
    <w:rsid w:val="00973E7F"/>
    <w:rsid w:val="00974392"/>
    <w:rsid w:val="00974E60"/>
    <w:rsid w:val="009760E6"/>
    <w:rsid w:val="00976E54"/>
    <w:rsid w:val="009772CF"/>
    <w:rsid w:val="00977859"/>
    <w:rsid w:val="00980B74"/>
    <w:rsid w:val="0098137A"/>
    <w:rsid w:val="00981EC6"/>
    <w:rsid w:val="00981FD0"/>
    <w:rsid w:val="009829B3"/>
    <w:rsid w:val="00982EBB"/>
    <w:rsid w:val="0098323F"/>
    <w:rsid w:val="00984A60"/>
    <w:rsid w:val="00984D51"/>
    <w:rsid w:val="009864E9"/>
    <w:rsid w:val="0098691C"/>
    <w:rsid w:val="00986993"/>
    <w:rsid w:val="009876DF"/>
    <w:rsid w:val="00987C97"/>
    <w:rsid w:val="009902CC"/>
    <w:rsid w:val="0099041F"/>
    <w:rsid w:val="00991047"/>
    <w:rsid w:val="00991213"/>
    <w:rsid w:val="009912E4"/>
    <w:rsid w:val="00991873"/>
    <w:rsid w:val="00992486"/>
    <w:rsid w:val="00993FD9"/>
    <w:rsid w:val="009948BC"/>
    <w:rsid w:val="00995C45"/>
    <w:rsid w:val="009974EE"/>
    <w:rsid w:val="009A03DB"/>
    <w:rsid w:val="009A059B"/>
    <w:rsid w:val="009A0654"/>
    <w:rsid w:val="009A17CC"/>
    <w:rsid w:val="009A1D46"/>
    <w:rsid w:val="009A2276"/>
    <w:rsid w:val="009A2888"/>
    <w:rsid w:val="009A2BFB"/>
    <w:rsid w:val="009A346C"/>
    <w:rsid w:val="009A39C1"/>
    <w:rsid w:val="009A42F1"/>
    <w:rsid w:val="009A54C4"/>
    <w:rsid w:val="009A54FC"/>
    <w:rsid w:val="009A7142"/>
    <w:rsid w:val="009B0C16"/>
    <w:rsid w:val="009B0C1F"/>
    <w:rsid w:val="009B14F9"/>
    <w:rsid w:val="009B1A7E"/>
    <w:rsid w:val="009B31F6"/>
    <w:rsid w:val="009B3598"/>
    <w:rsid w:val="009B3D16"/>
    <w:rsid w:val="009B46E5"/>
    <w:rsid w:val="009B47EE"/>
    <w:rsid w:val="009B49EA"/>
    <w:rsid w:val="009B49FC"/>
    <w:rsid w:val="009B50FB"/>
    <w:rsid w:val="009B53E0"/>
    <w:rsid w:val="009B5F7E"/>
    <w:rsid w:val="009B6723"/>
    <w:rsid w:val="009B7E4A"/>
    <w:rsid w:val="009C100A"/>
    <w:rsid w:val="009C17DC"/>
    <w:rsid w:val="009C3C10"/>
    <w:rsid w:val="009C46A1"/>
    <w:rsid w:val="009C4C09"/>
    <w:rsid w:val="009C5921"/>
    <w:rsid w:val="009C5DC0"/>
    <w:rsid w:val="009C5F57"/>
    <w:rsid w:val="009C60AA"/>
    <w:rsid w:val="009C665C"/>
    <w:rsid w:val="009C676E"/>
    <w:rsid w:val="009CA4C3"/>
    <w:rsid w:val="009CCEF8"/>
    <w:rsid w:val="009D0A4B"/>
    <w:rsid w:val="009D1027"/>
    <w:rsid w:val="009D2E74"/>
    <w:rsid w:val="009D4670"/>
    <w:rsid w:val="009D49B4"/>
    <w:rsid w:val="009D4E40"/>
    <w:rsid w:val="009D4E49"/>
    <w:rsid w:val="009D5C4C"/>
    <w:rsid w:val="009D64D8"/>
    <w:rsid w:val="009D74BA"/>
    <w:rsid w:val="009E0031"/>
    <w:rsid w:val="009E0B40"/>
    <w:rsid w:val="009E1C06"/>
    <w:rsid w:val="009E1C93"/>
    <w:rsid w:val="009E2402"/>
    <w:rsid w:val="009E272D"/>
    <w:rsid w:val="009E38A5"/>
    <w:rsid w:val="009E3D73"/>
    <w:rsid w:val="009E43A4"/>
    <w:rsid w:val="009E485E"/>
    <w:rsid w:val="009E7522"/>
    <w:rsid w:val="009F11D9"/>
    <w:rsid w:val="009F1EEC"/>
    <w:rsid w:val="009F1F00"/>
    <w:rsid w:val="009F23EC"/>
    <w:rsid w:val="009F24B8"/>
    <w:rsid w:val="009F29C8"/>
    <w:rsid w:val="009F3133"/>
    <w:rsid w:val="009F3406"/>
    <w:rsid w:val="009F3A06"/>
    <w:rsid w:val="009F46F1"/>
    <w:rsid w:val="009F509B"/>
    <w:rsid w:val="009F5EE3"/>
    <w:rsid w:val="009F60E1"/>
    <w:rsid w:val="009F7421"/>
    <w:rsid w:val="00A00053"/>
    <w:rsid w:val="00A01303"/>
    <w:rsid w:val="00A0197A"/>
    <w:rsid w:val="00A01CC5"/>
    <w:rsid w:val="00A02AEF"/>
    <w:rsid w:val="00A03537"/>
    <w:rsid w:val="00A035A6"/>
    <w:rsid w:val="00A036BB"/>
    <w:rsid w:val="00A04DA5"/>
    <w:rsid w:val="00A04E18"/>
    <w:rsid w:val="00A05EFF"/>
    <w:rsid w:val="00A06819"/>
    <w:rsid w:val="00A06B89"/>
    <w:rsid w:val="00A06CF0"/>
    <w:rsid w:val="00A07A56"/>
    <w:rsid w:val="00A0FB15"/>
    <w:rsid w:val="00A10132"/>
    <w:rsid w:val="00A1028E"/>
    <w:rsid w:val="00A111EA"/>
    <w:rsid w:val="00A11355"/>
    <w:rsid w:val="00A1213F"/>
    <w:rsid w:val="00A12C72"/>
    <w:rsid w:val="00A13042"/>
    <w:rsid w:val="00A13E80"/>
    <w:rsid w:val="00A14382"/>
    <w:rsid w:val="00A14391"/>
    <w:rsid w:val="00A143E9"/>
    <w:rsid w:val="00A147FD"/>
    <w:rsid w:val="00A14CA4"/>
    <w:rsid w:val="00A14D0C"/>
    <w:rsid w:val="00A16BA4"/>
    <w:rsid w:val="00A17FBE"/>
    <w:rsid w:val="00A2068D"/>
    <w:rsid w:val="00A20859"/>
    <w:rsid w:val="00A20A8F"/>
    <w:rsid w:val="00A20D82"/>
    <w:rsid w:val="00A21083"/>
    <w:rsid w:val="00A2141D"/>
    <w:rsid w:val="00A22446"/>
    <w:rsid w:val="00A22734"/>
    <w:rsid w:val="00A22BF1"/>
    <w:rsid w:val="00A22F3A"/>
    <w:rsid w:val="00A23190"/>
    <w:rsid w:val="00A25244"/>
    <w:rsid w:val="00A25A46"/>
    <w:rsid w:val="00A26350"/>
    <w:rsid w:val="00A276E5"/>
    <w:rsid w:val="00A31355"/>
    <w:rsid w:val="00A32053"/>
    <w:rsid w:val="00A321E7"/>
    <w:rsid w:val="00A3320D"/>
    <w:rsid w:val="00A354E6"/>
    <w:rsid w:val="00A363BC"/>
    <w:rsid w:val="00A3702B"/>
    <w:rsid w:val="00A37C82"/>
    <w:rsid w:val="00A37E85"/>
    <w:rsid w:val="00A402BC"/>
    <w:rsid w:val="00A404B7"/>
    <w:rsid w:val="00A40C8F"/>
    <w:rsid w:val="00A4111A"/>
    <w:rsid w:val="00A411CC"/>
    <w:rsid w:val="00A411EE"/>
    <w:rsid w:val="00A41350"/>
    <w:rsid w:val="00A4242B"/>
    <w:rsid w:val="00A42C77"/>
    <w:rsid w:val="00A42E7D"/>
    <w:rsid w:val="00A43605"/>
    <w:rsid w:val="00A446E1"/>
    <w:rsid w:val="00A4470C"/>
    <w:rsid w:val="00A4485D"/>
    <w:rsid w:val="00A462F3"/>
    <w:rsid w:val="00A4637D"/>
    <w:rsid w:val="00A46F7D"/>
    <w:rsid w:val="00A47086"/>
    <w:rsid w:val="00A501D9"/>
    <w:rsid w:val="00A50905"/>
    <w:rsid w:val="00A511C2"/>
    <w:rsid w:val="00A51E24"/>
    <w:rsid w:val="00A5263C"/>
    <w:rsid w:val="00A529E4"/>
    <w:rsid w:val="00A53888"/>
    <w:rsid w:val="00A54794"/>
    <w:rsid w:val="00A5533A"/>
    <w:rsid w:val="00A55AB2"/>
    <w:rsid w:val="00A55C9B"/>
    <w:rsid w:val="00A564FF"/>
    <w:rsid w:val="00A57D41"/>
    <w:rsid w:val="00A606D5"/>
    <w:rsid w:val="00A60B74"/>
    <w:rsid w:val="00A621FD"/>
    <w:rsid w:val="00A624A2"/>
    <w:rsid w:val="00A628C4"/>
    <w:rsid w:val="00A62E74"/>
    <w:rsid w:val="00A62F56"/>
    <w:rsid w:val="00A6558A"/>
    <w:rsid w:val="00A65ACB"/>
    <w:rsid w:val="00A66603"/>
    <w:rsid w:val="00A669E1"/>
    <w:rsid w:val="00A66DBC"/>
    <w:rsid w:val="00A6702F"/>
    <w:rsid w:val="00A67257"/>
    <w:rsid w:val="00A67325"/>
    <w:rsid w:val="00A673FD"/>
    <w:rsid w:val="00A67834"/>
    <w:rsid w:val="00A67926"/>
    <w:rsid w:val="00A7043D"/>
    <w:rsid w:val="00A70792"/>
    <w:rsid w:val="00A70DED"/>
    <w:rsid w:val="00A71D14"/>
    <w:rsid w:val="00A71EA4"/>
    <w:rsid w:val="00A72299"/>
    <w:rsid w:val="00A725CC"/>
    <w:rsid w:val="00A725EE"/>
    <w:rsid w:val="00A73C20"/>
    <w:rsid w:val="00A73FE2"/>
    <w:rsid w:val="00A74873"/>
    <w:rsid w:val="00A752FD"/>
    <w:rsid w:val="00A75527"/>
    <w:rsid w:val="00A75613"/>
    <w:rsid w:val="00A75C64"/>
    <w:rsid w:val="00A75D2F"/>
    <w:rsid w:val="00A75DE1"/>
    <w:rsid w:val="00A77832"/>
    <w:rsid w:val="00A77A32"/>
    <w:rsid w:val="00A77F8D"/>
    <w:rsid w:val="00A77FDD"/>
    <w:rsid w:val="00A802CF"/>
    <w:rsid w:val="00A80460"/>
    <w:rsid w:val="00A82338"/>
    <w:rsid w:val="00A82C4A"/>
    <w:rsid w:val="00A82E41"/>
    <w:rsid w:val="00A83BF1"/>
    <w:rsid w:val="00A83F90"/>
    <w:rsid w:val="00A853E5"/>
    <w:rsid w:val="00A86AB5"/>
    <w:rsid w:val="00A87827"/>
    <w:rsid w:val="00A8784F"/>
    <w:rsid w:val="00A87EEE"/>
    <w:rsid w:val="00A90340"/>
    <w:rsid w:val="00A909F9"/>
    <w:rsid w:val="00A91553"/>
    <w:rsid w:val="00A91EE8"/>
    <w:rsid w:val="00A922CC"/>
    <w:rsid w:val="00A92470"/>
    <w:rsid w:val="00A926A1"/>
    <w:rsid w:val="00A92A95"/>
    <w:rsid w:val="00A93075"/>
    <w:rsid w:val="00A939E6"/>
    <w:rsid w:val="00A93AD4"/>
    <w:rsid w:val="00A9502C"/>
    <w:rsid w:val="00A950C2"/>
    <w:rsid w:val="00A9514A"/>
    <w:rsid w:val="00A9642A"/>
    <w:rsid w:val="00A9652D"/>
    <w:rsid w:val="00A96C8B"/>
    <w:rsid w:val="00A975B9"/>
    <w:rsid w:val="00A97999"/>
    <w:rsid w:val="00AA0F24"/>
    <w:rsid w:val="00AA198A"/>
    <w:rsid w:val="00AA2F8E"/>
    <w:rsid w:val="00AA3901"/>
    <w:rsid w:val="00AA3F4C"/>
    <w:rsid w:val="00AA497F"/>
    <w:rsid w:val="00AA4A01"/>
    <w:rsid w:val="00AA4C16"/>
    <w:rsid w:val="00AA5747"/>
    <w:rsid w:val="00AA5AA6"/>
    <w:rsid w:val="00AA7976"/>
    <w:rsid w:val="00AB0256"/>
    <w:rsid w:val="00AB0A33"/>
    <w:rsid w:val="00AB0D8D"/>
    <w:rsid w:val="00AB0EE7"/>
    <w:rsid w:val="00AB1AAC"/>
    <w:rsid w:val="00AB1E2A"/>
    <w:rsid w:val="00AB2B1C"/>
    <w:rsid w:val="00AB3A15"/>
    <w:rsid w:val="00AB3B5F"/>
    <w:rsid w:val="00AB42BE"/>
    <w:rsid w:val="00AB4A67"/>
    <w:rsid w:val="00AB5613"/>
    <w:rsid w:val="00AB5AFB"/>
    <w:rsid w:val="00AB5FC1"/>
    <w:rsid w:val="00AB5FE7"/>
    <w:rsid w:val="00AB6C19"/>
    <w:rsid w:val="00AB7009"/>
    <w:rsid w:val="00AB7930"/>
    <w:rsid w:val="00AC0309"/>
    <w:rsid w:val="00AC0844"/>
    <w:rsid w:val="00AC0D9F"/>
    <w:rsid w:val="00AC1938"/>
    <w:rsid w:val="00AC20E8"/>
    <w:rsid w:val="00AC33E9"/>
    <w:rsid w:val="00AC34FA"/>
    <w:rsid w:val="00AC356B"/>
    <w:rsid w:val="00AC3979"/>
    <w:rsid w:val="00AC3F27"/>
    <w:rsid w:val="00AC4873"/>
    <w:rsid w:val="00AC5E86"/>
    <w:rsid w:val="00AC6336"/>
    <w:rsid w:val="00AC6941"/>
    <w:rsid w:val="00AC744F"/>
    <w:rsid w:val="00AD04F2"/>
    <w:rsid w:val="00AD0752"/>
    <w:rsid w:val="00AD083F"/>
    <w:rsid w:val="00AD087C"/>
    <w:rsid w:val="00AD0EF3"/>
    <w:rsid w:val="00AD1330"/>
    <w:rsid w:val="00AD2C53"/>
    <w:rsid w:val="00AD36E7"/>
    <w:rsid w:val="00AD37AE"/>
    <w:rsid w:val="00AD3BCA"/>
    <w:rsid w:val="00AD53B0"/>
    <w:rsid w:val="00AD53FF"/>
    <w:rsid w:val="00AD6928"/>
    <w:rsid w:val="00AD761B"/>
    <w:rsid w:val="00AE020F"/>
    <w:rsid w:val="00AE0561"/>
    <w:rsid w:val="00AE16FA"/>
    <w:rsid w:val="00AE1C27"/>
    <w:rsid w:val="00AE2150"/>
    <w:rsid w:val="00AE22F0"/>
    <w:rsid w:val="00AE2C0F"/>
    <w:rsid w:val="00AE2C7D"/>
    <w:rsid w:val="00AE2E4F"/>
    <w:rsid w:val="00AE2FA1"/>
    <w:rsid w:val="00AE35B5"/>
    <w:rsid w:val="00AE3BE9"/>
    <w:rsid w:val="00AE4ED5"/>
    <w:rsid w:val="00AE6A76"/>
    <w:rsid w:val="00AE6C01"/>
    <w:rsid w:val="00AE74A4"/>
    <w:rsid w:val="00AF09ED"/>
    <w:rsid w:val="00AF119C"/>
    <w:rsid w:val="00AF13D3"/>
    <w:rsid w:val="00AF142F"/>
    <w:rsid w:val="00AF195A"/>
    <w:rsid w:val="00AF2510"/>
    <w:rsid w:val="00AF3650"/>
    <w:rsid w:val="00AF3A31"/>
    <w:rsid w:val="00AF42FD"/>
    <w:rsid w:val="00AF4333"/>
    <w:rsid w:val="00AF4F64"/>
    <w:rsid w:val="00AF51EF"/>
    <w:rsid w:val="00AF68B6"/>
    <w:rsid w:val="00AF711B"/>
    <w:rsid w:val="00AF764F"/>
    <w:rsid w:val="00AF7961"/>
    <w:rsid w:val="00B01261"/>
    <w:rsid w:val="00B012B7"/>
    <w:rsid w:val="00B02C85"/>
    <w:rsid w:val="00B02F37"/>
    <w:rsid w:val="00B038EB"/>
    <w:rsid w:val="00B041EB"/>
    <w:rsid w:val="00B05922"/>
    <w:rsid w:val="00B05B7A"/>
    <w:rsid w:val="00B05F5D"/>
    <w:rsid w:val="00B06739"/>
    <w:rsid w:val="00B06815"/>
    <w:rsid w:val="00B06E3F"/>
    <w:rsid w:val="00B07777"/>
    <w:rsid w:val="00B07BED"/>
    <w:rsid w:val="00B10A9F"/>
    <w:rsid w:val="00B123F9"/>
    <w:rsid w:val="00B12D2B"/>
    <w:rsid w:val="00B13CDF"/>
    <w:rsid w:val="00B14303"/>
    <w:rsid w:val="00B146DC"/>
    <w:rsid w:val="00B14CF6"/>
    <w:rsid w:val="00B14DD0"/>
    <w:rsid w:val="00B14E8D"/>
    <w:rsid w:val="00B14F48"/>
    <w:rsid w:val="00B1590C"/>
    <w:rsid w:val="00B15D3A"/>
    <w:rsid w:val="00B15F4F"/>
    <w:rsid w:val="00B15F81"/>
    <w:rsid w:val="00B161F5"/>
    <w:rsid w:val="00B16B4F"/>
    <w:rsid w:val="00B16BB7"/>
    <w:rsid w:val="00B16C4C"/>
    <w:rsid w:val="00B16C61"/>
    <w:rsid w:val="00B16CE5"/>
    <w:rsid w:val="00B1778A"/>
    <w:rsid w:val="00B17860"/>
    <w:rsid w:val="00B17BB4"/>
    <w:rsid w:val="00B17F60"/>
    <w:rsid w:val="00B205DD"/>
    <w:rsid w:val="00B20A6B"/>
    <w:rsid w:val="00B2159C"/>
    <w:rsid w:val="00B22763"/>
    <w:rsid w:val="00B23028"/>
    <w:rsid w:val="00B23AE3"/>
    <w:rsid w:val="00B244E0"/>
    <w:rsid w:val="00B253A5"/>
    <w:rsid w:val="00B269F4"/>
    <w:rsid w:val="00B30573"/>
    <w:rsid w:val="00B30783"/>
    <w:rsid w:val="00B31A99"/>
    <w:rsid w:val="00B329E1"/>
    <w:rsid w:val="00B33BD7"/>
    <w:rsid w:val="00B3410A"/>
    <w:rsid w:val="00B34B95"/>
    <w:rsid w:val="00B35992"/>
    <w:rsid w:val="00B36116"/>
    <w:rsid w:val="00B374C3"/>
    <w:rsid w:val="00B37519"/>
    <w:rsid w:val="00B4003B"/>
    <w:rsid w:val="00B40E36"/>
    <w:rsid w:val="00B40E7E"/>
    <w:rsid w:val="00B41710"/>
    <w:rsid w:val="00B43408"/>
    <w:rsid w:val="00B439BC"/>
    <w:rsid w:val="00B43B85"/>
    <w:rsid w:val="00B4499A"/>
    <w:rsid w:val="00B4515E"/>
    <w:rsid w:val="00B4518F"/>
    <w:rsid w:val="00B456DA"/>
    <w:rsid w:val="00B45886"/>
    <w:rsid w:val="00B460A2"/>
    <w:rsid w:val="00B468D6"/>
    <w:rsid w:val="00B46CE4"/>
    <w:rsid w:val="00B47992"/>
    <w:rsid w:val="00B500B9"/>
    <w:rsid w:val="00B50CD2"/>
    <w:rsid w:val="00B5192D"/>
    <w:rsid w:val="00B52207"/>
    <w:rsid w:val="00B52E9F"/>
    <w:rsid w:val="00B54CC1"/>
    <w:rsid w:val="00B562A3"/>
    <w:rsid w:val="00B568AA"/>
    <w:rsid w:val="00B577A6"/>
    <w:rsid w:val="00B60040"/>
    <w:rsid w:val="00B61AE7"/>
    <w:rsid w:val="00B62A13"/>
    <w:rsid w:val="00B62FB3"/>
    <w:rsid w:val="00B63B91"/>
    <w:rsid w:val="00B6439E"/>
    <w:rsid w:val="00B656F1"/>
    <w:rsid w:val="00B66BBD"/>
    <w:rsid w:val="00B677E3"/>
    <w:rsid w:val="00B705BF"/>
    <w:rsid w:val="00B72575"/>
    <w:rsid w:val="00B73155"/>
    <w:rsid w:val="00B735AD"/>
    <w:rsid w:val="00B73632"/>
    <w:rsid w:val="00B74F3F"/>
    <w:rsid w:val="00B75069"/>
    <w:rsid w:val="00B75BD2"/>
    <w:rsid w:val="00B760B4"/>
    <w:rsid w:val="00B76E26"/>
    <w:rsid w:val="00B77229"/>
    <w:rsid w:val="00B777EA"/>
    <w:rsid w:val="00B77B97"/>
    <w:rsid w:val="00B77DDC"/>
    <w:rsid w:val="00B804D4"/>
    <w:rsid w:val="00B80E83"/>
    <w:rsid w:val="00B81270"/>
    <w:rsid w:val="00B81300"/>
    <w:rsid w:val="00B81EC2"/>
    <w:rsid w:val="00B82327"/>
    <w:rsid w:val="00B82783"/>
    <w:rsid w:val="00B82810"/>
    <w:rsid w:val="00B82F1F"/>
    <w:rsid w:val="00B83228"/>
    <w:rsid w:val="00B83492"/>
    <w:rsid w:val="00B84073"/>
    <w:rsid w:val="00B848C4"/>
    <w:rsid w:val="00B8497C"/>
    <w:rsid w:val="00B84B4E"/>
    <w:rsid w:val="00B84CF4"/>
    <w:rsid w:val="00B85571"/>
    <w:rsid w:val="00B85982"/>
    <w:rsid w:val="00B85E9E"/>
    <w:rsid w:val="00B86029"/>
    <w:rsid w:val="00B8621C"/>
    <w:rsid w:val="00B86759"/>
    <w:rsid w:val="00B87D87"/>
    <w:rsid w:val="00B9152C"/>
    <w:rsid w:val="00B91EAB"/>
    <w:rsid w:val="00B92E9E"/>
    <w:rsid w:val="00B9414A"/>
    <w:rsid w:val="00B9455A"/>
    <w:rsid w:val="00B94FF2"/>
    <w:rsid w:val="00B9519F"/>
    <w:rsid w:val="00B96A95"/>
    <w:rsid w:val="00B972C2"/>
    <w:rsid w:val="00B9759F"/>
    <w:rsid w:val="00BA011F"/>
    <w:rsid w:val="00BA09D2"/>
    <w:rsid w:val="00BA0A71"/>
    <w:rsid w:val="00BA0CBA"/>
    <w:rsid w:val="00BA100C"/>
    <w:rsid w:val="00BA277B"/>
    <w:rsid w:val="00BA5CAB"/>
    <w:rsid w:val="00BA6258"/>
    <w:rsid w:val="00BA66B6"/>
    <w:rsid w:val="00BA72A2"/>
    <w:rsid w:val="00BA7910"/>
    <w:rsid w:val="00BAF471"/>
    <w:rsid w:val="00BB0249"/>
    <w:rsid w:val="00BB04ED"/>
    <w:rsid w:val="00BB11C6"/>
    <w:rsid w:val="00BB195E"/>
    <w:rsid w:val="00BB1FCA"/>
    <w:rsid w:val="00BB233F"/>
    <w:rsid w:val="00BB2565"/>
    <w:rsid w:val="00BB3CEE"/>
    <w:rsid w:val="00BB5F52"/>
    <w:rsid w:val="00BB6135"/>
    <w:rsid w:val="00BB6FF3"/>
    <w:rsid w:val="00BB7379"/>
    <w:rsid w:val="00BB74D5"/>
    <w:rsid w:val="00BB79F0"/>
    <w:rsid w:val="00BB7BC2"/>
    <w:rsid w:val="00BC010F"/>
    <w:rsid w:val="00BC135D"/>
    <w:rsid w:val="00BC1507"/>
    <w:rsid w:val="00BC24C7"/>
    <w:rsid w:val="00BC281A"/>
    <w:rsid w:val="00BC2EBE"/>
    <w:rsid w:val="00BC2FFE"/>
    <w:rsid w:val="00BC3AD7"/>
    <w:rsid w:val="00BC3B47"/>
    <w:rsid w:val="00BC40E2"/>
    <w:rsid w:val="00BC47FD"/>
    <w:rsid w:val="00BC4919"/>
    <w:rsid w:val="00BC53CD"/>
    <w:rsid w:val="00BC5AC1"/>
    <w:rsid w:val="00BC5AD2"/>
    <w:rsid w:val="00BC5E4B"/>
    <w:rsid w:val="00BC6219"/>
    <w:rsid w:val="00BC6658"/>
    <w:rsid w:val="00BC76D0"/>
    <w:rsid w:val="00BC7D0E"/>
    <w:rsid w:val="00BC7F0E"/>
    <w:rsid w:val="00BD0083"/>
    <w:rsid w:val="00BD04E7"/>
    <w:rsid w:val="00BD17CC"/>
    <w:rsid w:val="00BD1E66"/>
    <w:rsid w:val="00BD2C80"/>
    <w:rsid w:val="00BD3CA5"/>
    <w:rsid w:val="00BD4683"/>
    <w:rsid w:val="00BD47B3"/>
    <w:rsid w:val="00BD5521"/>
    <w:rsid w:val="00BD5994"/>
    <w:rsid w:val="00BD5B9A"/>
    <w:rsid w:val="00BD5DD9"/>
    <w:rsid w:val="00BD6085"/>
    <w:rsid w:val="00BD6269"/>
    <w:rsid w:val="00BD6D37"/>
    <w:rsid w:val="00BD73BF"/>
    <w:rsid w:val="00BD75FE"/>
    <w:rsid w:val="00BD77EB"/>
    <w:rsid w:val="00BE0820"/>
    <w:rsid w:val="00BE0FD8"/>
    <w:rsid w:val="00BE1145"/>
    <w:rsid w:val="00BE217E"/>
    <w:rsid w:val="00BE246A"/>
    <w:rsid w:val="00BE2866"/>
    <w:rsid w:val="00BE291A"/>
    <w:rsid w:val="00BE2EAC"/>
    <w:rsid w:val="00BE40C8"/>
    <w:rsid w:val="00BE4890"/>
    <w:rsid w:val="00BE4937"/>
    <w:rsid w:val="00BE4C61"/>
    <w:rsid w:val="00BE52E5"/>
    <w:rsid w:val="00BE6823"/>
    <w:rsid w:val="00BE72B9"/>
    <w:rsid w:val="00BE72EF"/>
    <w:rsid w:val="00BE7D45"/>
    <w:rsid w:val="00BF08F1"/>
    <w:rsid w:val="00BF0E7B"/>
    <w:rsid w:val="00BF1511"/>
    <w:rsid w:val="00BF1C1F"/>
    <w:rsid w:val="00BF2284"/>
    <w:rsid w:val="00BF269E"/>
    <w:rsid w:val="00BF3B30"/>
    <w:rsid w:val="00BF4A7A"/>
    <w:rsid w:val="00BF5278"/>
    <w:rsid w:val="00BF5FD1"/>
    <w:rsid w:val="00BF6D64"/>
    <w:rsid w:val="00BF703C"/>
    <w:rsid w:val="00BF72DB"/>
    <w:rsid w:val="00BF72E9"/>
    <w:rsid w:val="00C00B7D"/>
    <w:rsid w:val="00C0192D"/>
    <w:rsid w:val="00C03966"/>
    <w:rsid w:val="00C04315"/>
    <w:rsid w:val="00C04831"/>
    <w:rsid w:val="00C05430"/>
    <w:rsid w:val="00C06746"/>
    <w:rsid w:val="00C074EA"/>
    <w:rsid w:val="00C10167"/>
    <w:rsid w:val="00C102EE"/>
    <w:rsid w:val="00C10C14"/>
    <w:rsid w:val="00C10E39"/>
    <w:rsid w:val="00C129E2"/>
    <w:rsid w:val="00C12B09"/>
    <w:rsid w:val="00C12DE8"/>
    <w:rsid w:val="00C12DEC"/>
    <w:rsid w:val="00C12E05"/>
    <w:rsid w:val="00C136D6"/>
    <w:rsid w:val="00C14127"/>
    <w:rsid w:val="00C142AE"/>
    <w:rsid w:val="00C1441C"/>
    <w:rsid w:val="00C152BF"/>
    <w:rsid w:val="00C15436"/>
    <w:rsid w:val="00C15E10"/>
    <w:rsid w:val="00C15F26"/>
    <w:rsid w:val="00C17116"/>
    <w:rsid w:val="00C20420"/>
    <w:rsid w:val="00C20F6C"/>
    <w:rsid w:val="00C21171"/>
    <w:rsid w:val="00C21466"/>
    <w:rsid w:val="00C21CD7"/>
    <w:rsid w:val="00C21EEF"/>
    <w:rsid w:val="00C22583"/>
    <w:rsid w:val="00C22ADA"/>
    <w:rsid w:val="00C2433A"/>
    <w:rsid w:val="00C243AF"/>
    <w:rsid w:val="00C24D7B"/>
    <w:rsid w:val="00C2506C"/>
    <w:rsid w:val="00C25DFD"/>
    <w:rsid w:val="00C26626"/>
    <w:rsid w:val="00C269E9"/>
    <w:rsid w:val="00C2738C"/>
    <w:rsid w:val="00C27ABC"/>
    <w:rsid w:val="00C30802"/>
    <w:rsid w:val="00C318BA"/>
    <w:rsid w:val="00C31D42"/>
    <w:rsid w:val="00C32376"/>
    <w:rsid w:val="00C331E9"/>
    <w:rsid w:val="00C34179"/>
    <w:rsid w:val="00C347FC"/>
    <w:rsid w:val="00C3490F"/>
    <w:rsid w:val="00C360C7"/>
    <w:rsid w:val="00C366EE"/>
    <w:rsid w:val="00C37050"/>
    <w:rsid w:val="00C378DC"/>
    <w:rsid w:val="00C40462"/>
    <w:rsid w:val="00C4055D"/>
    <w:rsid w:val="00C4078E"/>
    <w:rsid w:val="00C40AE3"/>
    <w:rsid w:val="00C40DC2"/>
    <w:rsid w:val="00C41F79"/>
    <w:rsid w:val="00C423F7"/>
    <w:rsid w:val="00C42B52"/>
    <w:rsid w:val="00C43E1A"/>
    <w:rsid w:val="00C448A4"/>
    <w:rsid w:val="00C44C38"/>
    <w:rsid w:val="00C45526"/>
    <w:rsid w:val="00C45940"/>
    <w:rsid w:val="00C46B57"/>
    <w:rsid w:val="00C47B6C"/>
    <w:rsid w:val="00C5033D"/>
    <w:rsid w:val="00C50633"/>
    <w:rsid w:val="00C5173F"/>
    <w:rsid w:val="00C51D28"/>
    <w:rsid w:val="00C529E9"/>
    <w:rsid w:val="00C54E68"/>
    <w:rsid w:val="00C55B49"/>
    <w:rsid w:val="00C55F6F"/>
    <w:rsid w:val="00C56ECE"/>
    <w:rsid w:val="00C57DCD"/>
    <w:rsid w:val="00C60E96"/>
    <w:rsid w:val="00C6276F"/>
    <w:rsid w:val="00C629E2"/>
    <w:rsid w:val="00C6424A"/>
    <w:rsid w:val="00C647CB"/>
    <w:rsid w:val="00C64C99"/>
    <w:rsid w:val="00C6537F"/>
    <w:rsid w:val="00C65DD7"/>
    <w:rsid w:val="00C66427"/>
    <w:rsid w:val="00C66C07"/>
    <w:rsid w:val="00C675DF"/>
    <w:rsid w:val="00C676D5"/>
    <w:rsid w:val="00C714A5"/>
    <w:rsid w:val="00C72825"/>
    <w:rsid w:val="00C72966"/>
    <w:rsid w:val="00C73600"/>
    <w:rsid w:val="00C73E4E"/>
    <w:rsid w:val="00C745DA"/>
    <w:rsid w:val="00C75147"/>
    <w:rsid w:val="00C7652D"/>
    <w:rsid w:val="00C76F48"/>
    <w:rsid w:val="00C77C6B"/>
    <w:rsid w:val="00C7EAB9"/>
    <w:rsid w:val="00C80270"/>
    <w:rsid w:val="00C8093B"/>
    <w:rsid w:val="00C80D69"/>
    <w:rsid w:val="00C8162D"/>
    <w:rsid w:val="00C817B6"/>
    <w:rsid w:val="00C81DD8"/>
    <w:rsid w:val="00C826FF"/>
    <w:rsid w:val="00C82935"/>
    <w:rsid w:val="00C82975"/>
    <w:rsid w:val="00C842C2"/>
    <w:rsid w:val="00C84418"/>
    <w:rsid w:val="00C84F62"/>
    <w:rsid w:val="00C85020"/>
    <w:rsid w:val="00C8582F"/>
    <w:rsid w:val="00C85DEE"/>
    <w:rsid w:val="00C86D73"/>
    <w:rsid w:val="00C874F9"/>
    <w:rsid w:val="00C876A9"/>
    <w:rsid w:val="00C87DA2"/>
    <w:rsid w:val="00C90643"/>
    <w:rsid w:val="00C90708"/>
    <w:rsid w:val="00C909BB"/>
    <w:rsid w:val="00C90EE1"/>
    <w:rsid w:val="00C916C5"/>
    <w:rsid w:val="00C92026"/>
    <w:rsid w:val="00C9221F"/>
    <w:rsid w:val="00C9234A"/>
    <w:rsid w:val="00C92DEF"/>
    <w:rsid w:val="00C930DE"/>
    <w:rsid w:val="00C94719"/>
    <w:rsid w:val="00C94B0A"/>
    <w:rsid w:val="00C9674B"/>
    <w:rsid w:val="00C96951"/>
    <w:rsid w:val="00CA05F8"/>
    <w:rsid w:val="00CA0F92"/>
    <w:rsid w:val="00CA14B7"/>
    <w:rsid w:val="00CA2148"/>
    <w:rsid w:val="00CA232F"/>
    <w:rsid w:val="00CA3977"/>
    <w:rsid w:val="00CA3EB4"/>
    <w:rsid w:val="00CA42D8"/>
    <w:rsid w:val="00CA48BD"/>
    <w:rsid w:val="00CA54BA"/>
    <w:rsid w:val="00CA56FA"/>
    <w:rsid w:val="00CA71C3"/>
    <w:rsid w:val="00CA742E"/>
    <w:rsid w:val="00CA778A"/>
    <w:rsid w:val="00CA7CDB"/>
    <w:rsid w:val="00CB02BD"/>
    <w:rsid w:val="00CB05D1"/>
    <w:rsid w:val="00CB15B2"/>
    <w:rsid w:val="00CB1923"/>
    <w:rsid w:val="00CB1C09"/>
    <w:rsid w:val="00CB1F4A"/>
    <w:rsid w:val="00CB2D07"/>
    <w:rsid w:val="00CB3215"/>
    <w:rsid w:val="00CB35F4"/>
    <w:rsid w:val="00CB3915"/>
    <w:rsid w:val="00CB39AF"/>
    <w:rsid w:val="00CB4B72"/>
    <w:rsid w:val="00CB4EC1"/>
    <w:rsid w:val="00CB563D"/>
    <w:rsid w:val="00CB6174"/>
    <w:rsid w:val="00CB7A13"/>
    <w:rsid w:val="00CC07C6"/>
    <w:rsid w:val="00CC07E6"/>
    <w:rsid w:val="00CC1892"/>
    <w:rsid w:val="00CC465B"/>
    <w:rsid w:val="00CC6388"/>
    <w:rsid w:val="00CC6544"/>
    <w:rsid w:val="00CC7526"/>
    <w:rsid w:val="00CC7CE3"/>
    <w:rsid w:val="00CD015A"/>
    <w:rsid w:val="00CD02B3"/>
    <w:rsid w:val="00CD0810"/>
    <w:rsid w:val="00CD0AFE"/>
    <w:rsid w:val="00CD1048"/>
    <w:rsid w:val="00CD13F1"/>
    <w:rsid w:val="00CD15D6"/>
    <w:rsid w:val="00CD17A2"/>
    <w:rsid w:val="00CD257A"/>
    <w:rsid w:val="00CD27CF"/>
    <w:rsid w:val="00CD28D1"/>
    <w:rsid w:val="00CD2C69"/>
    <w:rsid w:val="00CD2F6C"/>
    <w:rsid w:val="00CD31D1"/>
    <w:rsid w:val="00CD3240"/>
    <w:rsid w:val="00CD35C1"/>
    <w:rsid w:val="00CD3A44"/>
    <w:rsid w:val="00CD3DE9"/>
    <w:rsid w:val="00CD410B"/>
    <w:rsid w:val="00CD4300"/>
    <w:rsid w:val="00CD5EB3"/>
    <w:rsid w:val="00CD62D6"/>
    <w:rsid w:val="00CD6D59"/>
    <w:rsid w:val="00CD7365"/>
    <w:rsid w:val="00CD7A9F"/>
    <w:rsid w:val="00CD7B19"/>
    <w:rsid w:val="00CE119B"/>
    <w:rsid w:val="00CE13F8"/>
    <w:rsid w:val="00CE1CF6"/>
    <w:rsid w:val="00CE1DF1"/>
    <w:rsid w:val="00CE201A"/>
    <w:rsid w:val="00CE2693"/>
    <w:rsid w:val="00CE2C00"/>
    <w:rsid w:val="00CE3A26"/>
    <w:rsid w:val="00CE4082"/>
    <w:rsid w:val="00CE6566"/>
    <w:rsid w:val="00CE6A57"/>
    <w:rsid w:val="00CF04C9"/>
    <w:rsid w:val="00CF0AD5"/>
    <w:rsid w:val="00CF15D7"/>
    <w:rsid w:val="00CF161B"/>
    <w:rsid w:val="00CF169B"/>
    <w:rsid w:val="00CF2451"/>
    <w:rsid w:val="00CF2B54"/>
    <w:rsid w:val="00CF33AC"/>
    <w:rsid w:val="00CF3E01"/>
    <w:rsid w:val="00CF4288"/>
    <w:rsid w:val="00CF47E1"/>
    <w:rsid w:val="00CF6493"/>
    <w:rsid w:val="00CF78C2"/>
    <w:rsid w:val="00CF7CC1"/>
    <w:rsid w:val="00CF8D3F"/>
    <w:rsid w:val="00CFCA93"/>
    <w:rsid w:val="00D002E2"/>
    <w:rsid w:val="00D004F4"/>
    <w:rsid w:val="00D00B61"/>
    <w:rsid w:val="00D02E46"/>
    <w:rsid w:val="00D03EAE"/>
    <w:rsid w:val="00D0401E"/>
    <w:rsid w:val="00D0413D"/>
    <w:rsid w:val="00D05605"/>
    <w:rsid w:val="00D05D79"/>
    <w:rsid w:val="00D05E7F"/>
    <w:rsid w:val="00D0715E"/>
    <w:rsid w:val="00D0799C"/>
    <w:rsid w:val="00D07E00"/>
    <w:rsid w:val="00D10796"/>
    <w:rsid w:val="00D10AFE"/>
    <w:rsid w:val="00D110D9"/>
    <w:rsid w:val="00D147B1"/>
    <w:rsid w:val="00D15016"/>
    <w:rsid w:val="00D15111"/>
    <w:rsid w:val="00D15955"/>
    <w:rsid w:val="00D15DF0"/>
    <w:rsid w:val="00D20F5A"/>
    <w:rsid w:val="00D227C5"/>
    <w:rsid w:val="00D232E3"/>
    <w:rsid w:val="00D23409"/>
    <w:rsid w:val="00D238AD"/>
    <w:rsid w:val="00D239AE"/>
    <w:rsid w:val="00D23CC7"/>
    <w:rsid w:val="00D24587"/>
    <w:rsid w:val="00D25C1D"/>
    <w:rsid w:val="00D25CF2"/>
    <w:rsid w:val="00D2633C"/>
    <w:rsid w:val="00D26DDA"/>
    <w:rsid w:val="00D2742F"/>
    <w:rsid w:val="00D2757B"/>
    <w:rsid w:val="00D27954"/>
    <w:rsid w:val="00D279F2"/>
    <w:rsid w:val="00D30209"/>
    <w:rsid w:val="00D30B54"/>
    <w:rsid w:val="00D30E99"/>
    <w:rsid w:val="00D30F85"/>
    <w:rsid w:val="00D31497"/>
    <w:rsid w:val="00D31BD0"/>
    <w:rsid w:val="00D328FD"/>
    <w:rsid w:val="00D32B65"/>
    <w:rsid w:val="00D33126"/>
    <w:rsid w:val="00D338D0"/>
    <w:rsid w:val="00D33E45"/>
    <w:rsid w:val="00D347AA"/>
    <w:rsid w:val="00D35471"/>
    <w:rsid w:val="00D39E52"/>
    <w:rsid w:val="00D40A29"/>
    <w:rsid w:val="00D42524"/>
    <w:rsid w:val="00D42625"/>
    <w:rsid w:val="00D4419D"/>
    <w:rsid w:val="00D4433E"/>
    <w:rsid w:val="00D4494B"/>
    <w:rsid w:val="00D44B3E"/>
    <w:rsid w:val="00D44D64"/>
    <w:rsid w:val="00D462C7"/>
    <w:rsid w:val="00D4642F"/>
    <w:rsid w:val="00D4656D"/>
    <w:rsid w:val="00D4665F"/>
    <w:rsid w:val="00D46CD8"/>
    <w:rsid w:val="00D500A0"/>
    <w:rsid w:val="00D50EC0"/>
    <w:rsid w:val="00D51235"/>
    <w:rsid w:val="00D51B95"/>
    <w:rsid w:val="00D527BF"/>
    <w:rsid w:val="00D52B76"/>
    <w:rsid w:val="00D538F1"/>
    <w:rsid w:val="00D53A56"/>
    <w:rsid w:val="00D53C43"/>
    <w:rsid w:val="00D53D4A"/>
    <w:rsid w:val="00D557ED"/>
    <w:rsid w:val="00D57D2C"/>
    <w:rsid w:val="00D60476"/>
    <w:rsid w:val="00D60479"/>
    <w:rsid w:val="00D60E2A"/>
    <w:rsid w:val="00D633D2"/>
    <w:rsid w:val="00D63482"/>
    <w:rsid w:val="00D63554"/>
    <w:rsid w:val="00D65266"/>
    <w:rsid w:val="00D6539F"/>
    <w:rsid w:val="00D654CB"/>
    <w:rsid w:val="00D6568C"/>
    <w:rsid w:val="00D6570A"/>
    <w:rsid w:val="00D65A08"/>
    <w:rsid w:val="00D6611D"/>
    <w:rsid w:val="00D66782"/>
    <w:rsid w:val="00D66E37"/>
    <w:rsid w:val="00D676DF"/>
    <w:rsid w:val="00D676ED"/>
    <w:rsid w:val="00D67A8E"/>
    <w:rsid w:val="00D709C9"/>
    <w:rsid w:val="00D718EF"/>
    <w:rsid w:val="00D71D0F"/>
    <w:rsid w:val="00D71EB4"/>
    <w:rsid w:val="00D71F76"/>
    <w:rsid w:val="00D72239"/>
    <w:rsid w:val="00D728D3"/>
    <w:rsid w:val="00D72BEA"/>
    <w:rsid w:val="00D735BA"/>
    <w:rsid w:val="00D73885"/>
    <w:rsid w:val="00D73F61"/>
    <w:rsid w:val="00D7452B"/>
    <w:rsid w:val="00D745D1"/>
    <w:rsid w:val="00D753B9"/>
    <w:rsid w:val="00D754E4"/>
    <w:rsid w:val="00D76CFB"/>
    <w:rsid w:val="00D77DA9"/>
    <w:rsid w:val="00D77E8C"/>
    <w:rsid w:val="00D77FBD"/>
    <w:rsid w:val="00D800EC"/>
    <w:rsid w:val="00D801BC"/>
    <w:rsid w:val="00D803B4"/>
    <w:rsid w:val="00D80BD6"/>
    <w:rsid w:val="00D812E3"/>
    <w:rsid w:val="00D81652"/>
    <w:rsid w:val="00D82F92"/>
    <w:rsid w:val="00D8372A"/>
    <w:rsid w:val="00D849D5"/>
    <w:rsid w:val="00D8567E"/>
    <w:rsid w:val="00D86BB3"/>
    <w:rsid w:val="00D870FB"/>
    <w:rsid w:val="00D875EB"/>
    <w:rsid w:val="00D87D49"/>
    <w:rsid w:val="00D9024B"/>
    <w:rsid w:val="00D90358"/>
    <w:rsid w:val="00D9077D"/>
    <w:rsid w:val="00D90DDC"/>
    <w:rsid w:val="00D91041"/>
    <w:rsid w:val="00D912DD"/>
    <w:rsid w:val="00D92A97"/>
    <w:rsid w:val="00D930F4"/>
    <w:rsid w:val="00D93908"/>
    <w:rsid w:val="00D940B6"/>
    <w:rsid w:val="00D94758"/>
    <w:rsid w:val="00D94E5A"/>
    <w:rsid w:val="00D95AA6"/>
    <w:rsid w:val="00D95E55"/>
    <w:rsid w:val="00D96087"/>
    <w:rsid w:val="00D978ED"/>
    <w:rsid w:val="00DA0AF0"/>
    <w:rsid w:val="00DA0E27"/>
    <w:rsid w:val="00DA1254"/>
    <w:rsid w:val="00DA1486"/>
    <w:rsid w:val="00DA1548"/>
    <w:rsid w:val="00DA1E70"/>
    <w:rsid w:val="00DA2C21"/>
    <w:rsid w:val="00DA3035"/>
    <w:rsid w:val="00DA333C"/>
    <w:rsid w:val="00DA351A"/>
    <w:rsid w:val="00DA4560"/>
    <w:rsid w:val="00DA4F3D"/>
    <w:rsid w:val="00DA7644"/>
    <w:rsid w:val="00DA7684"/>
    <w:rsid w:val="00DA7E88"/>
    <w:rsid w:val="00DB00FD"/>
    <w:rsid w:val="00DB0B4D"/>
    <w:rsid w:val="00DB1A6E"/>
    <w:rsid w:val="00DB251F"/>
    <w:rsid w:val="00DB267C"/>
    <w:rsid w:val="00DB2F3A"/>
    <w:rsid w:val="00DB3711"/>
    <w:rsid w:val="00DB4BD1"/>
    <w:rsid w:val="00DB4C96"/>
    <w:rsid w:val="00DB5621"/>
    <w:rsid w:val="00DB64E1"/>
    <w:rsid w:val="00DB6688"/>
    <w:rsid w:val="00DB6E35"/>
    <w:rsid w:val="00DB7EE5"/>
    <w:rsid w:val="00DB7EE8"/>
    <w:rsid w:val="00DC0978"/>
    <w:rsid w:val="00DC142A"/>
    <w:rsid w:val="00DC29B4"/>
    <w:rsid w:val="00DC2EE2"/>
    <w:rsid w:val="00DC4B5B"/>
    <w:rsid w:val="00DC4EAF"/>
    <w:rsid w:val="00DC7786"/>
    <w:rsid w:val="00DC7EE6"/>
    <w:rsid w:val="00DD1071"/>
    <w:rsid w:val="00DD122A"/>
    <w:rsid w:val="00DD1585"/>
    <w:rsid w:val="00DD2579"/>
    <w:rsid w:val="00DD2FCB"/>
    <w:rsid w:val="00DD3894"/>
    <w:rsid w:val="00DD3979"/>
    <w:rsid w:val="00DD4CEF"/>
    <w:rsid w:val="00DD5233"/>
    <w:rsid w:val="00DD5E59"/>
    <w:rsid w:val="00DD5FA6"/>
    <w:rsid w:val="00DD6838"/>
    <w:rsid w:val="00DD70C3"/>
    <w:rsid w:val="00DE131F"/>
    <w:rsid w:val="00DE1626"/>
    <w:rsid w:val="00DE2449"/>
    <w:rsid w:val="00DE2B87"/>
    <w:rsid w:val="00DE3B97"/>
    <w:rsid w:val="00DE5394"/>
    <w:rsid w:val="00DE5C0C"/>
    <w:rsid w:val="00DE6CE6"/>
    <w:rsid w:val="00DE6F55"/>
    <w:rsid w:val="00DE76A9"/>
    <w:rsid w:val="00DE76E8"/>
    <w:rsid w:val="00DF0151"/>
    <w:rsid w:val="00DF02FF"/>
    <w:rsid w:val="00DF0E1A"/>
    <w:rsid w:val="00DF1D03"/>
    <w:rsid w:val="00DF2525"/>
    <w:rsid w:val="00DF260C"/>
    <w:rsid w:val="00DF2B5F"/>
    <w:rsid w:val="00DF40D4"/>
    <w:rsid w:val="00DF4219"/>
    <w:rsid w:val="00DF6DFC"/>
    <w:rsid w:val="00DF7577"/>
    <w:rsid w:val="00DF7622"/>
    <w:rsid w:val="00E001D6"/>
    <w:rsid w:val="00E00E62"/>
    <w:rsid w:val="00E01358"/>
    <w:rsid w:val="00E0193B"/>
    <w:rsid w:val="00E01F95"/>
    <w:rsid w:val="00E0231D"/>
    <w:rsid w:val="00E023EE"/>
    <w:rsid w:val="00E02890"/>
    <w:rsid w:val="00E033C2"/>
    <w:rsid w:val="00E03B70"/>
    <w:rsid w:val="00E03DCD"/>
    <w:rsid w:val="00E03F33"/>
    <w:rsid w:val="00E03FA0"/>
    <w:rsid w:val="00E048A0"/>
    <w:rsid w:val="00E04D6F"/>
    <w:rsid w:val="00E04F00"/>
    <w:rsid w:val="00E05238"/>
    <w:rsid w:val="00E0542B"/>
    <w:rsid w:val="00E05958"/>
    <w:rsid w:val="00E05C2C"/>
    <w:rsid w:val="00E0618E"/>
    <w:rsid w:val="00E068FF"/>
    <w:rsid w:val="00E07F43"/>
    <w:rsid w:val="00E1007E"/>
    <w:rsid w:val="00E11165"/>
    <w:rsid w:val="00E11257"/>
    <w:rsid w:val="00E112C8"/>
    <w:rsid w:val="00E1255D"/>
    <w:rsid w:val="00E12589"/>
    <w:rsid w:val="00E12685"/>
    <w:rsid w:val="00E12F6A"/>
    <w:rsid w:val="00E13528"/>
    <w:rsid w:val="00E143C9"/>
    <w:rsid w:val="00E15054"/>
    <w:rsid w:val="00E15D8E"/>
    <w:rsid w:val="00E16164"/>
    <w:rsid w:val="00E16796"/>
    <w:rsid w:val="00E20F4C"/>
    <w:rsid w:val="00E21495"/>
    <w:rsid w:val="00E21609"/>
    <w:rsid w:val="00E22C3D"/>
    <w:rsid w:val="00E22CA6"/>
    <w:rsid w:val="00E2359C"/>
    <w:rsid w:val="00E23F52"/>
    <w:rsid w:val="00E2482C"/>
    <w:rsid w:val="00E24852"/>
    <w:rsid w:val="00E24D76"/>
    <w:rsid w:val="00E25033"/>
    <w:rsid w:val="00E262C1"/>
    <w:rsid w:val="00E2638E"/>
    <w:rsid w:val="00E2698C"/>
    <w:rsid w:val="00E26C30"/>
    <w:rsid w:val="00E26C58"/>
    <w:rsid w:val="00E278ED"/>
    <w:rsid w:val="00E27A32"/>
    <w:rsid w:val="00E30F90"/>
    <w:rsid w:val="00E318C6"/>
    <w:rsid w:val="00E31C5D"/>
    <w:rsid w:val="00E32895"/>
    <w:rsid w:val="00E32A14"/>
    <w:rsid w:val="00E33DD2"/>
    <w:rsid w:val="00E34313"/>
    <w:rsid w:val="00E34638"/>
    <w:rsid w:val="00E34B32"/>
    <w:rsid w:val="00E34D14"/>
    <w:rsid w:val="00E34ECD"/>
    <w:rsid w:val="00E34F14"/>
    <w:rsid w:val="00E35739"/>
    <w:rsid w:val="00E35F86"/>
    <w:rsid w:val="00E3668E"/>
    <w:rsid w:val="00E3671A"/>
    <w:rsid w:val="00E36F0A"/>
    <w:rsid w:val="00E37430"/>
    <w:rsid w:val="00E390A6"/>
    <w:rsid w:val="00E406C1"/>
    <w:rsid w:val="00E411E3"/>
    <w:rsid w:val="00E41657"/>
    <w:rsid w:val="00E41744"/>
    <w:rsid w:val="00E41C27"/>
    <w:rsid w:val="00E423C7"/>
    <w:rsid w:val="00E42ADF"/>
    <w:rsid w:val="00E42B99"/>
    <w:rsid w:val="00E437BE"/>
    <w:rsid w:val="00E44058"/>
    <w:rsid w:val="00E440E9"/>
    <w:rsid w:val="00E44FFA"/>
    <w:rsid w:val="00E45B17"/>
    <w:rsid w:val="00E461DF"/>
    <w:rsid w:val="00E463E7"/>
    <w:rsid w:val="00E46701"/>
    <w:rsid w:val="00E502F6"/>
    <w:rsid w:val="00E50E5F"/>
    <w:rsid w:val="00E50FE6"/>
    <w:rsid w:val="00E510AF"/>
    <w:rsid w:val="00E51250"/>
    <w:rsid w:val="00E51F66"/>
    <w:rsid w:val="00E52690"/>
    <w:rsid w:val="00E52FCB"/>
    <w:rsid w:val="00E53165"/>
    <w:rsid w:val="00E532BC"/>
    <w:rsid w:val="00E53389"/>
    <w:rsid w:val="00E5353E"/>
    <w:rsid w:val="00E53B23"/>
    <w:rsid w:val="00E54C41"/>
    <w:rsid w:val="00E556E6"/>
    <w:rsid w:val="00E55BA0"/>
    <w:rsid w:val="00E55C6D"/>
    <w:rsid w:val="00E564AC"/>
    <w:rsid w:val="00E570FF"/>
    <w:rsid w:val="00E57C18"/>
    <w:rsid w:val="00E612C8"/>
    <w:rsid w:val="00E61B4D"/>
    <w:rsid w:val="00E621E6"/>
    <w:rsid w:val="00E62AED"/>
    <w:rsid w:val="00E63158"/>
    <w:rsid w:val="00E6378C"/>
    <w:rsid w:val="00E645E7"/>
    <w:rsid w:val="00E6573C"/>
    <w:rsid w:val="00E658CA"/>
    <w:rsid w:val="00E65E27"/>
    <w:rsid w:val="00E667B9"/>
    <w:rsid w:val="00E67897"/>
    <w:rsid w:val="00E67F75"/>
    <w:rsid w:val="00E7092F"/>
    <w:rsid w:val="00E70A4A"/>
    <w:rsid w:val="00E71432"/>
    <w:rsid w:val="00E71530"/>
    <w:rsid w:val="00E718B4"/>
    <w:rsid w:val="00E71A15"/>
    <w:rsid w:val="00E71AA6"/>
    <w:rsid w:val="00E72EE2"/>
    <w:rsid w:val="00E7367C"/>
    <w:rsid w:val="00E73FCC"/>
    <w:rsid w:val="00E74969"/>
    <w:rsid w:val="00E76F5F"/>
    <w:rsid w:val="00E77038"/>
    <w:rsid w:val="00E772D4"/>
    <w:rsid w:val="00E774E3"/>
    <w:rsid w:val="00E8088C"/>
    <w:rsid w:val="00E8136F"/>
    <w:rsid w:val="00E82CA5"/>
    <w:rsid w:val="00E835FC"/>
    <w:rsid w:val="00E83CE1"/>
    <w:rsid w:val="00E84B01"/>
    <w:rsid w:val="00E84C4B"/>
    <w:rsid w:val="00E8576B"/>
    <w:rsid w:val="00E858F7"/>
    <w:rsid w:val="00E85971"/>
    <w:rsid w:val="00E85B35"/>
    <w:rsid w:val="00E86129"/>
    <w:rsid w:val="00E86C0A"/>
    <w:rsid w:val="00E9000F"/>
    <w:rsid w:val="00E90236"/>
    <w:rsid w:val="00E909EF"/>
    <w:rsid w:val="00E92084"/>
    <w:rsid w:val="00E925F1"/>
    <w:rsid w:val="00E92AE3"/>
    <w:rsid w:val="00E93DF6"/>
    <w:rsid w:val="00E94FB7"/>
    <w:rsid w:val="00E952F8"/>
    <w:rsid w:val="00E957A2"/>
    <w:rsid w:val="00E95E01"/>
    <w:rsid w:val="00E96E8C"/>
    <w:rsid w:val="00E97379"/>
    <w:rsid w:val="00EA07DC"/>
    <w:rsid w:val="00EA0B5D"/>
    <w:rsid w:val="00EA0E2A"/>
    <w:rsid w:val="00EA3A1E"/>
    <w:rsid w:val="00EA3C73"/>
    <w:rsid w:val="00EA3F3E"/>
    <w:rsid w:val="00EA65FB"/>
    <w:rsid w:val="00EA66C9"/>
    <w:rsid w:val="00EA6B24"/>
    <w:rsid w:val="00EA758A"/>
    <w:rsid w:val="00EA7AF3"/>
    <w:rsid w:val="00EB0E27"/>
    <w:rsid w:val="00EB180E"/>
    <w:rsid w:val="00EB2FCC"/>
    <w:rsid w:val="00EB3BC7"/>
    <w:rsid w:val="00EB3CB8"/>
    <w:rsid w:val="00EB3FFB"/>
    <w:rsid w:val="00EB4FA1"/>
    <w:rsid w:val="00EB54B9"/>
    <w:rsid w:val="00EB5975"/>
    <w:rsid w:val="00EB5CAE"/>
    <w:rsid w:val="00EB660F"/>
    <w:rsid w:val="00EB6F14"/>
    <w:rsid w:val="00EB93A6"/>
    <w:rsid w:val="00EC02A3"/>
    <w:rsid w:val="00EC04B5"/>
    <w:rsid w:val="00EC0867"/>
    <w:rsid w:val="00EC0E1F"/>
    <w:rsid w:val="00EC0F19"/>
    <w:rsid w:val="00EC1DEE"/>
    <w:rsid w:val="00EC32B3"/>
    <w:rsid w:val="00EC3C86"/>
    <w:rsid w:val="00EC3CBF"/>
    <w:rsid w:val="00EC3EE8"/>
    <w:rsid w:val="00EC46CB"/>
    <w:rsid w:val="00EC54DC"/>
    <w:rsid w:val="00EC5627"/>
    <w:rsid w:val="00EC5AFE"/>
    <w:rsid w:val="00EC5EF8"/>
    <w:rsid w:val="00EC7435"/>
    <w:rsid w:val="00ED01F5"/>
    <w:rsid w:val="00ED0ADE"/>
    <w:rsid w:val="00ED0E86"/>
    <w:rsid w:val="00ED0F68"/>
    <w:rsid w:val="00ED1139"/>
    <w:rsid w:val="00ED1226"/>
    <w:rsid w:val="00ED1574"/>
    <w:rsid w:val="00ED1989"/>
    <w:rsid w:val="00ED1F84"/>
    <w:rsid w:val="00ED25B1"/>
    <w:rsid w:val="00ED3C6A"/>
    <w:rsid w:val="00ED462A"/>
    <w:rsid w:val="00ED4B41"/>
    <w:rsid w:val="00ED5011"/>
    <w:rsid w:val="00ED5265"/>
    <w:rsid w:val="00ED53E0"/>
    <w:rsid w:val="00EE05EA"/>
    <w:rsid w:val="00EE147E"/>
    <w:rsid w:val="00EE1C45"/>
    <w:rsid w:val="00EE2DD3"/>
    <w:rsid w:val="00EE4365"/>
    <w:rsid w:val="00EE5BBB"/>
    <w:rsid w:val="00EE5E0F"/>
    <w:rsid w:val="00EE64FE"/>
    <w:rsid w:val="00EE6AAB"/>
    <w:rsid w:val="00EE782D"/>
    <w:rsid w:val="00EE7A55"/>
    <w:rsid w:val="00EF012E"/>
    <w:rsid w:val="00EF1294"/>
    <w:rsid w:val="00EF16FC"/>
    <w:rsid w:val="00EF18B9"/>
    <w:rsid w:val="00EF1D6F"/>
    <w:rsid w:val="00EF27EC"/>
    <w:rsid w:val="00EF2AA1"/>
    <w:rsid w:val="00EF333B"/>
    <w:rsid w:val="00EF40C8"/>
    <w:rsid w:val="00EF4414"/>
    <w:rsid w:val="00EF44E2"/>
    <w:rsid w:val="00EF4B62"/>
    <w:rsid w:val="00EF4DA5"/>
    <w:rsid w:val="00EF4DC1"/>
    <w:rsid w:val="00EF5144"/>
    <w:rsid w:val="00EF5738"/>
    <w:rsid w:val="00EF58D2"/>
    <w:rsid w:val="00EF5F1F"/>
    <w:rsid w:val="00EF66D8"/>
    <w:rsid w:val="00EF779C"/>
    <w:rsid w:val="00EF7A49"/>
    <w:rsid w:val="00F001C8"/>
    <w:rsid w:val="00F0028D"/>
    <w:rsid w:val="00F00805"/>
    <w:rsid w:val="00F01662"/>
    <w:rsid w:val="00F02089"/>
    <w:rsid w:val="00F021E3"/>
    <w:rsid w:val="00F03A6E"/>
    <w:rsid w:val="00F04543"/>
    <w:rsid w:val="00F04719"/>
    <w:rsid w:val="00F05C7C"/>
    <w:rsid w:val="00F05EC4"/>
    <w:rsid w:val="00F064B5"/>
    <w:rsid w:val="00F070DD"/>
    <w:rsid w:val="00F0759E"/>
    <w:rsid w:val="00F10171"/>
    <w:rsid w:val="00F11075"/>
    <w:rsid w:val="00F116AE"/>
    <w:rsid w:val="00F12343"/>
    <w:rsid w:val="00F12AEE"/>
    <w:rsid w:val="00F1312A"/>
    <w:rsid w:val="00F137C3"/>
    <w:rsid w:val="00F13A8B"/>
    <w:rsid w:val="00F13DC3"/>
    <w:rsid w:val="00F13FB8"/>
    <w:rsid w:val="00F14341"/>
    <w:rsid w:val="00F14BA1"/>
    <w:rsid w:val="00F16D2B"/>
    <w:rsid w:val="00F1785E"/>
    <w:rsid w:val="00F201BF"/>
    <w:rsid w:val="00F21274"/>
    <w:rsid w:val="00F21609"/>
    <w:rsid w:val="00F22489"/>
    <w:rsid w:val="00F22599"/>
    <w:rsid w:val="00F2322C"/>
    <w:rsid w:val="00F249DD"/>
    <w:rsid w:val="00F24F9D"/>
    <w:rsid w:val="00F255AB"/>
    <w:rsid w:val="00F259C9"/>
    <w:rsid w:val="00F25AEB"/>
    <w:rsid w:val="00F26BD5"/>
    <w:rsid w:val="00F27F57"/>
    <w:rsid w:val="00F30416"/>
    <w:rsid w:val="00F315F4"/>
    <w:rsid w:val="00F319CC"/>
    <w:rsid w:val="00F32060"/>
    <w:rsid w:val="00F321A0"/>
    <w:rsid w:val="00F326B8"/>
    <w:rsid w:val="00F32EF6"/>
    <w:rsid w:val="00F33AFF"/>
    <w:rsid w:val="00F33DA3"/>
    <w:rsid w:val="00F33E64"/>
    <w:rsid w:val="00F350A4"/>
    <w:rsid w:val="00F357CD"/>
    <w:rsid w:val="00F35A23"/>
    <w:rsid w:val="00F3638D"/>
    <w:rsid w:val="00F36B9B"/>
    <w:rsid w:val="00F36BF9"/>
    <w:rsid w:val="00F37357"/>
    <w:rsid w:val="00F37910"/>
    <w:rsid w:val="00F37F6D"/>
    <w:rsid w:val="00F40A6E"/>
    <w:rsid w:val="00F40C89"/>
    <w:rsid w:val="00F4230F"/>
    <w:rsid w:val="00F42DE3"/>
    <w:rsid w:val="00F42F64"/>
    <w:rsid w:val="00F4373A"/>
    <w:rsid w:val="00F44543"/>
    <w:rsid w:val="00F4459D"/>
    <w:rsid w:val="00F449E8"/>
    <w:rsid w:val="00F44F69"/>
    <w:rsid w:val="00F452E1"/>
    <w:rsid w:val="00F46853"/>
    <w:rsid w:val="00F46A59"/>
    <w:rsid w:val="00F46B97"/>
    <w:rsid w:val="00F46EA7"/>
    <w:rsid w:val="00F476E3"/>
    <w:rsid w:val="00F47F86"/>
    <w:rsid w:val="00F506AC"/>
    <w:rsid w:val="00F50B0D"/>
    <w:rsid w:val="00F50CD3"/>
    <w:rsid w:val="00F51BE9"/>
    <w:rsid w:val="00F51BEE"/>
    <w:rsid w:val="00F520B1"/>
    <w:rsid w:val="00F5220B"/>
    <w:rsid w:val="00F525D9"/>
    <w:rsid w:val="00F527B4"/>
    <w:rsid w:val="00F52D75"/>
    <w:rsid w:val="00F53B6A"/>
    <w:rsid w:val="00F547B6"/>
    <w:rsid w:val="00F54A50"/>
    <w:rsid w:val="00F54D74"/>
    <w:rsid w:val="00F5516C"/>
    <w:rsid w:val="00F55641"/>
    <w:rsid w:val="00F557D5"/>
    <w:rsid w:val="00F55E17"/>
    <w:rsid w:val="00F56A61"/>
    <w:rsid w:val="00F56E18"/>
    <w:rsid w:val="00F57855"/>
    <w:rsid w:val="00F60E52"/>
    <w:rsid w:val="00F61F0F"/>
    <w:rsid w:val="00F6260E"/>
    <w:rsid w:val="00F62621"/>
    <w:rsid w:val="00F6275E"/>
    <w:rsid w:val="00F628C7"/>
    <w:rsid w:val="00F62C51"/>
    <w:rsid w:val="00F63769"/>
    <w:rsid w:val="00F6409A"/>
    <w:rsid w:val="00F6462C"/>
    <w:rsid w:val="00F651CF"/>
    <w:rsid w:val="00F66189"/>
    <w:rsid w:val="00F6634D"/>
    <w:rsid w:val="00F66B5C"/>
    <w:rsid w:val="00F67532"/>
    <w:rsid w:val="00F67C2C"/>
    <w:rsid w:val="00F70486"/>
    <w:rsid w:val="00F710DF"/>
    <w:rsid w:val="00F7147B"/>
    <w:rsid w:val="00F71876"/>
    <w:rsid w:val="00F71B0D"/>
    <w:rsid w:val="00F71DC9"/>
    <w:rsid w:val="00F72A5A"/>
    <w:rsid w:val="00F737DF"/>
    <w:rsid w:val="00F73985"/>
    <w:rsid w:val="00F73BB9"/>
    <w:rsid w:val="00F744B4"/>
    <w:rsid w:val="00F74518"/>
    <w:rsid w:val="00F751C2"/>
    <w:rsid w:val="00F75F84"/>
    <w:rsid w:val="00F7684C"/>
    <w:rsid w:val="00F76A2D"/>
    <w:rsid w:val="00F77F8D"/>
    <w:rsid w:val="00F803D8"/>
    <w:rsid w:val="00F8063F"/>
    <w:rsid w:val="00F813F7"/>
    <w:rsid w:val="00F81657"/>
    <w:rsid w:val="00F81AAD"/>
    <w:rsid w:val="00F81FE7"/>
    <w:rsid w:val="00F82067"/>
    <w:rsid w:val="00F8206D"/>
    <w:rsid w:val="00F8238A"/>
    <w:rsid w:val="00F82D7E"/>
    <w:rsid w:val="00F83F6B"/>
    <w:rsid w:val="00F84764"/>
    <w:rsid w:val="00F849A1"/>
    <w:rsid w:val="00F863E3"/>
    <w:rsid w:val="00F864A4"/>
    <w:rsid w:val="00F86A2D"/>
    <w:rsid w:val="00F86FA6"/>
    <w:rsid w:val="00F87F07"/>
    <w:rsid w:val="00F87FE8"/>
    <w:rsid w:val="00F901A7"/>
    <w:rsid w:val="00F90541"/>
    <w:rsid w:val="00F9061E"/>
    <w:rsid w:val="00F912E3"/>
    <w:rsid w:val="00F91598"/>
    <w:rsid w:val="00F91DB2"/>
    <w:rsid w:val="00F9240B"/>
    <w:rsid w:val="00F92DDD"/>
    <w:rsid w:val="00F93075"/>
    <w:rsid w:val="00F9310B"/>
    <w:rsid w:val="00F9406B"/>
    <w:rsid w:val="00F944FF"/>
    <w:rsid w:val="00F94562"/>
    <w:rsid w:val="00F9457B"/>
    <w:rsid w:val="00F953E5"/>
    <w:rsid w:val="00F95DF5"/>
    <w:rsid w:val="00F97C10"/>
    <w:rsid w:val="00FA010E"/>
    <w:rsid w:val="00FA0E8C"/>
    <w:rsid w:val="00FA0F21"/>
    <w:rsid w:val="00FA1686"/>
    <w:rsid w:val="00FA1C1B"/>
    <w:rsid w:val="00FA2B29"/>
    <w:rsid w:val="00FA33AA"/>
    <w:rsid w:val="00FA342F"/>
    <w:rsid w:val="00FA53EC"/>
    <w:rsid w:val="00FA5EBD"/>
    <w:rsid w:val="00FA6799"/>
    <w:rsid w:val="00FA7A09"/>
    <w:rsid w:val="00FB0CC4"/>
    <w:rsid w:val="00FB139C"/>
    <w:rsid w:val="00FB1988"/>
    <w:rsid w:val="00FB1FC8"/>
    <w:rsid w:val="00FB2DC7"/>
    <w:rsid w:val="00FB33DB"/>
    <w:rsid w:val="00FB5720"/>
    <w:rsid w:val="00FB60C5"/>
    <w:rsid w:val="00FB61AA"/>
    <w:rsid w:val="00FB63FD"/>
    <w:rsid w:val="00FB7092"/>
    <w:rsid w:val="00FB722A"/>
    <w:rsid w:val="00FB7D82"/>
    <w:rsid w:val="00FB7EA3"/>
    <w:rsid w:val="00FB7F70"/>
    <w:rsid w:val="00FC00FE"/>
    <w:rsid w:val="00FC1F97"/>
    <w:rsid w:val="00FC21A3"/>
    <w:rsid w:val="00FC2FC9"/>
    <w:rsid w:val="00FC3025"/>
    <w:rsid w:val="00FC342C"/>
    <w:rsid w:val="00FC38A3"/>
    <w:rsid w:val="00FC3C80"/>
    <w:rsid w:val="00FC3E77"/>
    <w:rsid w:val="00FC425D"/>
    <w:rsid w:val="00FC4C3F"/>
    <w:rsid w:val="00FC507E"/>
    <w:rsid w:val="00FC61B5"/>
    <w:rsid w:val="00FC6668"/>
    <w:rsid w:val="00FC6C56"/>
    <w:rsid w:val="00FC7FA1"/>
    <w:rsid w:val="00FD0A9B"/>
    <w:rsid w:val="00FD0B34"/>
    <w:rsid w:val="00FD14FD"/>
    <w:rsid w:val="00FD16FB"/>
    <w:rsid w:val="00FD1A72"/>
    <w:rsid w:val="00FD28C5"/>
    <w:rsid w:val="00FD2A6D"/>
    <w:rsid w:val="00FD2DFD"/>
    <w:rsid w:val="00FD3B40"/>
    <w:rsid w:val="00FD3F88"/>
    <w:rsid w:val="00FD4467"/>
    <w:rsid w:val="00FD4A0F"/>
    <w:rsid w:val="00FD4FDB"/>
    <w:rsid w:val="00FD524A"/>
    <w:rsid w:val="00FD5499"/>
    <w:rsid w:val="00FD5BB2"/>
    <w:rsid w:val="00FD5CAA"/>
    <w:rsid w:val="00FD65FB"/>
    <w:rsid w:val="00FD7A7E"/>
    <w:rsid w:val="00FE0335"/>
    <w:rsid w:val="00FE064E"/>
    <w:rsid w:val="00FE065E"/>
    <w:rsid w:val="00FE07EB"/>
    <w:rsid w:val="00FE09B2"/>
    <w:rsid w:val="00FE0FE5"/>
    <w:rsid w:val="00FE167F"/>
    <w:rsid w:val="00FE1BED"/>
    <w:rsid w:val="00FE2856"/>
    <w:rsid w:val="00FE2D75"/>
    <w:rsid w:val="00FE2F8E"/>
    <w:rsid w:val="00FE3726"/>
    <w:rsid w:val="00FE3D55"/>
    <w:rsid w:val="00FE40B8"/>
    <w:rsid w:val="00FE460F"/>
    <w:rsid w:val="00FE4EF9"/>
    <w:rsid w:val="00FE5222"/>
    <w:rsid w:val="00FE546B"/>
    <w:rsid w:val="00FE6160"/>
    <w:rsid w:val="00FE6830"/>
    <w:rsid w:val="00FE6AA1"/>
    <w:rsid w:val="00FE6CC5"/>
    <w:rsid w:val="00FE71A6"/>
    <w:rsid w:val="00FF0432"/>
    <w:rsid w:val="00FF1B28"/>
    <w:rsid w:val="00FF1D07"/>
    <w:rsid w:val="00FF1D22"/>
    <w:rsid w:val="00FF20AA"/>
    <w:rsid w:val="00FF2297"/>
    <w:rsid w:val="00FF29AB"/>
    <w:rsid w:val="00FF2FF5"/>
    <w:rsid w:val="00FF39F0"/>
    <w:rsid w:val="00FF3ABB"/>
    <w:rsid w:val="00FF4188"/>
    <w:rsid w:val="00FF43E4"/>
    <w:rsid w:val="00FF44CF"/>
    <w:rsid w:val="00FF4873"/>
    <w:rsid w:val="00FF5873"/>
    <w:rsid w:val="00FF6A83"/>
    <w:rsid w:val="00FF71D3"/>
    <w:rsid w:val="00FF7307"/>
    <w:rsid w:val="00FF78B8"/>
    <w:rsid w:val="00FF7915"/>
    <w:rsid w:val="00FF7DDE"/>
    <w:rsid w:val="0113C4CD"/>
    <w:rsid w:val="0125118F"/>
    <w:rsid w:val="012C8BAE"/>
    <w:rsid w:val="012C9BA8"/>
    <w:rsid w:val="0131A618"/>
    <w:rsid w:val="0132FBA8"/>
    <w:rsid w:val="0134A8BE"/>
    <w:rsid w:val="0136AFAE"/>
    <w:rsid w:val="014D1B43"/>
    <w:rsid w:val="016574F0"/>
    <w:rsid w:val="016B2F26"/>
    <w:rsid w:val="016CFCF9"/>
    <w:rsid w:val="01737B4E"/>
    <w:rsid w:val="017D347C"/>
    <w:rsid w:val="0182654F"/>
    <w:rsid w:val="018E1553"/>
    <w:rsid w:val="0190900F"/>
    <w:rsid w:val="0190CF4E"/>
    <w:rsid w:val="01B0F477"/>
    <w:rsid w:val="01C0A43E"/>
    <w:rsid w:val="01D204B8"/>
    <w:rsid w:val="01DF97D8"/>
    <w:rsid w:val="01EA125E"/>
    <w:rsid w:val="01ED9A25"/>
    <w:rsid w:val="01F55372"/>
    <w:rsid w:val="0202F821"/>
    <w:rsid w:val="02052C61"/>
    <w:rsid w:val="02123108"/>
    <w:rsid w:val="021C068B"/>
    <w:rsid w:val="02245330"/>
    <w:rsid w:val="0225D0E5"/>
    <w:rsid w:val="022A1BE2"/>
    <w:rsid w:val="02333E7B"/>
    <w:rsid w:val="02370631"/>
    <w:rsid w:val="023D3B9F"/>
    <w:rsid w:val="023EA119"/>
    <w:rsid w:val="024B4DAB"/>
    <w:rsid w:val="024F6C72"/>
    <w:rsid w:val="025B55DF"/>
    <w:rsid w:val="025F01F4"/>
    <w:rsid w:val="026F6EB3"/>
    <w:rsid w:val="029CB574"/>
    <w:rsid w:val="02A7BB26"/>
    <w:rsid w:val="02A976E2"/>
    <w:rsid w:val="02ABFA9D"/>
    <w:rsid w:val="02AE6016"/>
    <w:rsid w:val="02D68E17"/>
    <w:rsid w:val="02E1802E"/>
    <w:rsid w:val="02F4642F"/>
    <w:rsid w:val="0303D31D"/>
    <w:rsid w:val="031315B6"/>
    <w:rsid w:val="03155D6F"/>
    <w:rsid w:val="0319E25B"/>
    <w:rsid w:val="0325BCBC"/>
    <w:rsid w:val="032D0E44"/>
    <w:rsid w:val="03308111"/>
    <w:rsid w:val="0335ECDF"/>
    <w:rsid w:val="03413519"/>
    <w:rsid w:val="03581286"/>
    <w:rsid w:val="03593725"/>
    <w:rsid w:val="03608506"/>
    <w:rsid w:val="0363261D"/>
    <w:rsid w:val="03722345"/>
    <w:rsid w:val="037297AD"/>
    <w:rsid w:val="0378571A"/>
    <w:rsid w:val="0383929F"/>
    <w:rsid w:val="0390B3CE"/>
    <w:rsid w:val="0393BB7E"/>
    <w:rsid w:val="03973E12"/>
    <w:rsid w:val="03A90571"/>
    <w:rsid w:val="03A91F6E"/>
    <w:rsid w:val="03B223CC"/>
    <w:rsid w:val="03B373D2"/>
    <w:rsid w:val="03CCDC3D"/>
    <w:rsid w:val="03D3F8B6"/>
    <w:rsid w:val="03D71935"/>
    <w:rsid w:val="03D9AA85"/>
    <w:rsid w:val="03DF86F0"/>
    <w:rsid w:val="03E68988"/>
    <w:rsid w:val="03F88391"/>
    <w:rsid w:val="03FBE449"/>
    <w:rsid w:val="04042DFB"/>
    <w:rsid w:val="040BA645"/>
    <w:rsid w:val="041DAA6A"/>
    <w:rsid w:val="042A34EB"/>
    <w:rsid w:val="042AF639"/>
    <w:rsid w:val="042D7C12"/>
    <w:rsid w:val="042EB94C"/>
    <w:rsid w:val="0432DD2A"/>
    <w:rsid w:val="0446DD43"/>
    <w:rsid w:val="0453741D"/>
    <w:rsid w:val="04581CAF"/>
    <w:rsid w:val="0459E341"/>
    <w:rsid w:val="046D6263"/>
    <w:rsid w:val="047112BE"/>
    <w:rsid w:val="04751D18"/>
    <w:rsid w:val="0477DE94"/>
    <w:rsid w:val="047B20B9"/>
    <w:rsid w:val="047FED58"/>
    <w:rsid w:val="048B0266"/>
    <w:rsid w:val="048F5B93"/>
    <w:rsid w:val="0495117E"/>
    <w:rsid w:val="04A5599C"/>
    <w:rsid w:val="04A59628"/>
    <w:rsid w:val="04ACB2CC"/>
    <w:rsid w:val="04B2E12F"/>
    <w:rsid w:val="04B41BBE"/>
    <w:rsid w:val="04BB884B"/>
    <w:rsid w:val="04C67CCE"/>
    <w:rsid w:val="04C9200D"/>
    <w:rsid w:val="04D09A04"/>
    <w:rsid w:val="04D63DC8"/>
    <w:rsid w:val="04D66991"/>
    <w:rsid w:val="04DEEACD"/>
    <w:rsid w:val="04E6D681"/>
    <w:rsid w:val="04E765CD"/>
    <w:rsid w:val="04F4FE61"/>
    <w:rsid w:val="04FDFC2D"/>
    <w:rsid w:val="0506E0F6"/>
    <w:rsid w:val="050BCCEE"/>
    <w:rsid w:val="050F245C"/>
    <w:rsid w:val="05117C99"/>
    <w:rsid w:val="05147C9B"/>
    <w:rsid w:val="0516658B"/>
    <w:rsid w:val="051C1496"/>
    <w:rsid w:val="051DFD90"/>
    <w:rsid w:val="052DC542"/>
    <w:rsid w:val="0537CBF8"/>
    <w:rsid w:val="053B4A4E"/>
    <w:rsid w:val="053BEB49"/>
    <w:rsid w:val="0549923F"/>
    <w:rsid w:val="054B8150"/>
    <w:rsid w:val="0566ABAF"/>
    <w:rsid w:val="05695D9D"/>
    <w:rsid w:val="05730405"/>
    <w:rsid w:val="057ECCCE"/>
    <w:rsid w:val="0581B87F"/>
    <w:rsid w:val="05881FBD"/>
    <w:rsid w:val="058A9667"/>
    <w:rsid w:val="0591083A"/>
    <w:rsid w:val="0596FDC3"/>
    <w:rsid w:val="05A3BEC4"/>
    <w:rsid w:val="05AEDF79"/>
    <w:rsid w:val="05B97ACB"/>
    <w:rsid w:val="05BD5DD4"/>
    <w:rsid w:val="05BD6A60"/>
    <w:rsid w:val="05C157AC"/>
    <w:rsid w:val="05CA28B5"/>
    <w:rsid w:val="05D4B8AB"/>
    <w:rsid w:val="05EBB82B"/>
    <w:rsid w:val="05F2E27D"/>
    <w:rsid w:val="05F52D71"/>
    <w:rsid w:val="05F6F11E"/>
    <w:rsid w:val="05FF80B3"/>
    <w:rsid w:val="060F5333"/>
    <w:rsid w:val="06430F38"/>
    <w:rsid w:val="0645ECAB"/>
    <w:rsid w:val="064DC22E"/>
    <w:rsid w:val="066622AD"/>
    <w:rsid w:val="0680E609"/>
    <w:rsid w:val="06812FC6"/>
    <w:rsid w:val="068324B6"/>
    <w:rsid w:val="068A2D2D"/>
    <w:rsid w:val="068BAF5B"/>
    <w:rsid w:val="0691841C"/>
    <w:rsid w:val="0693129C"/>
    <w:rsid w:val="06A430EA"/>
    <w:rsid w:val="06A9EF7F"/>
    <w:rsid w:val="06B74B33"/>
    <w:rsid w:val="06BA3356"/>
    <w:rsid w:val="06CAC2B3"/>
    <w:rsid w:val="06D35C30"/>
    <w:rsid w:val="06EC5C54"/>
    <w:rsid w:val="06F0C543"/>
    <w:rsid w:val="06F52D6C"/>
    <w:rsid w:val="0700010B"/>
    <w:rsid w:val="071D39F1"/>
    <w:rsid w:val="072666C8"/>
    <w:rsid w:val="07485796"/>
    <w:rsid w:val="07601F2D"/>
    <w:rsid w:val="0764031E"/>
    <w:rsid w:val="0766EFA3"/>
    <w:rsid w:val="076C3C26"/>
    <w:rsid w:val="076C8FE4"/>
    <w:rsid w:val="076CDDF3"/>
    <w:rsid w:val="0775EA9F"/>
    <w:rsid w:val="077DE584"/>
    <w:rsid w:val="0787888C"/>
    <w:rsid w:val="078ACFDB"/>
    <w:rsid w:val="078B9E81"/>
    <w:rsid w:val="079A28F9"/>
    <w:rsid w:val="079B2A66"/>
    <w:rsid w:val="07A14F76"/>
    <w:rsid w:val="07A6BB69"/>
    <w:rsid w:val="07B85FE8"/>
    <w:rsid w:val="07D0110E"/>
    <w:rsid w:val="07DED0B9"/>
    <w:rsid w:val="07E1A929"/>
    <w:rsid w:val="07E653A6"/>
    <w:rsid w:val="07EC0888"/>
    <w:rsid w:val="07EC6399"/>
    <w:rsid w:val="07EDC42D"/>
    <w:rsid w:val="07EFDAF0"/>
    <w:rsid w:val="07EFFA3D"/>
    <w:rsid w:val="07F1C224"/>
    <w:rsid w:val="07F744EC"/>
    <w:rsid w:val="07F9A399"/>
    <w:rsid w:val="07FAC3F1"/>
    <w:rsid w:val="07FD6354"/>
    <w:rsid w:val="07FE3F74"/>
    <w:rsid w:val="07FFE9B7"/>
    <w:rsid w:val="080115C7"/>
    <w:rsid w:val="080BB91A"/>
    <w:rsid w:val="081020E9"/>
    <w:rsid w:val="0831415E"/>
    <w:rsid w:val="0831B374"/>
    <w:rsid w:val="0832EEFE"/>
    <w:rsid w:val="0834F469"/>
    <w:rsid w:val="08538253"/>
    <w:rsid w:val="08579F70"/>
    <w:rsid w:val="0859CF44"/>
    <w:rsid w:val="0863CFC0"/>
    <w:rsid w:val="08682D01"/>
    <w:rsid w:val="086EA4AD"/>
    <w:rsid w:val="0870C2B8"/>
    <w:rsid w:val="0870F293"/>
    <w:rsid w:val="08783FB1"/>
    <w:rsid w:val="087AA874"/>
    <w:rsid w:val="0880AE2F"/>
    <w:rsid w:val="088458B7"/>
    <w:rsid w:val="0885E02A"/>
    <w:rsid w:val="088B9F1B"/>
    <w:rsid w:val="0895F41B"/>
    <w:rsid w:val="089BD16C"/>
    <w:rsid w:val="08A1F6C0"/>
    <w:rsid w:val="08A67D97"/>
    <w:rsid w:val="08A89237"/>
    <w:rsid w:val="08AA3324"/>
    <w:rsid w:val="08AEA577"/>
    <w:rsid w:val="08B7540A"/>
    <w:rsid w:val="08B8FDAF"/>
    <w:rsid w:val="08C72E80"/>
    <w:rsid w:val="08C86041"/>
    <w:rsid w:val="08D14A74"/>
    <w:rsid w:val="08D2819E"/>
    <w:rsid w:val="08D9C0E2"/>
    <w:rsid w:val="08DB188A"/>
    <w:rsid w:val="08F37DE3"/>
    <w:rsid w:val="08F7058D"/>
    <w:rsid w:val="08FD9E9E"/>
    <w:rsid w:val="0901280A"/>
    <w:rsid w:val="09183FEF"/>
    <w:rsid w:val="09189303"/>
    <w:rsid w:val="091AA821"/>
    <w:rsid w:val="0929EB30"/>
    <w:rsid w:val="09302374"/>
    <w:rsid w:val="093737A1"/>
    <w:rsid w:val="0938D299"/>
    <w:rsid w:val="093C7CCE"/>
    <w:rsid w:val="093D907E"/>
    <w:rsid w:val="0942B0F3"/>
    <w:rsid w:val="0944FA13"/>
    <w:rsid w:val="0946A580"/>
    <w:rsid w:val="094BA5D2"/>
    <w:rsid w:val="0955BFD4"/>
    <w:rsid w:val="095E0D6F"/>
    <w:rsid w:val="097B7589"/>
    <w:rsid w:val="097C2F51"/>
    <w:rsid w:val="097E9449"/>
    <w:rsid w:val="09883325"/>
    <w:rsid w:val="0994D863"/>
    <w:rsid w:val="099573FA"/>
    <w:rsid w:val="0997C068"/>
    <w:rsid w:val="099ACAE7"/>
    <w:rsid w:val="09A1E79D"/>
    <w:rsid w:val="09B036A4"/>
    <w:rsid w:val="09B103F0"/>
    <w:rsid w:val="09B9D6B4"/>
    <w:rsid w:val="09BA3401"/>
    <w:rsid w:val="09CA5BCF"/>
    <w:rsid w:val="09D38C05"/>
    <w:rsid w:val="09D3CBB4"/>
    <w:rsid w:val="09E556CC"/>
    <w:rsid w:val="0A03013A"/>
    <w:rsid w:val="0A0F2E5A"/>
    <w:rsid w:val="0A127C4B"/>
    <w:rsid w:val="0A135121"/>
    <w:rsid w:val="0A13F633"/>
    <w:rsid w:val="0A1B70BD"/>
    <w:rsid w:val="0A208A4D"/>
    <w:rsid w:val="0A26EBD7"/>
    <w:rsid w:val="0A2745B9"/>
    <w:rsid w:val="0A28A67F"/>
    <w:rsid w:val="0A2923ED"/>
    <w:rsid w:val="0A29E54C"/>
    <w:rsid w:val="0A2A3455"/>
    <w:rsid w:val="0A3E809D"/>
    <w:rsid w:val="0A3EA1F0"/>
    <w:rsid w:val="0A4E43A4"/>
    <w:rsid w:val="0A52FC91"/>
    <w:rsid w:val="0A58F645"/>
    <w:rsid w:val="0A657821"/>
    <w:rsid w:val="0A6E51FF"/>
    <w:rsid w:val="0A770FCC"/>
    <w:rsid w:val="0A7750E6"/>
    <w:rsid w:val="0A7EBA53"/>
    <w:rsid w:val="0A7EC3CB"/>
    <w:rsid w:val="0A846577"/>
    <w:rsid w:val="0A87E7AA"/>
    <w:rsid w:val="0A90F198"/>
    <w:rsid w:val="0A9A6F7F"/>
    <w:rsid w:val="0AB058E3"/>
    <w:rsid w:val="0AC2CE7D"/>
    <w:rsid w:val="0ACBB613"/>
    <w:rsid w:val="0ACF3E99"/>
    <w:rsid w:val="0AD1074E"/>
    <w:rsid w:val="0AD50364"/>
    <w:rsid w:val="0AD72D0D"/>
    <w:rsid w:val="0ADD4884"/>
    <w:rsid w:val="0AEFD970"/>
    <w:rsid w:val="0AF8CE52"/>
    <w:rsid w:val="0AFA9402"/>
    <w:rsid w:val="0AFA9D5C"/>
    <w:rsid w:val="0B055A49"/>
    <w:rsid w:val="0B188C94"/>
    <w:rsid w:val="0B22C4C5"/>
    <w:rsid w:val="0B247717"/>
    <w:rsid w:val="0B276360"/>
    <w:rsid w:val="0B356E70"/>
    <w:rsid w:val="0B35F971"/>
    <w:rsid w:val="0B4A4581"/>
    <w:rsid w:val="0B4C3D1C"/>
    <w:rsid w:val="0B530BBB"/>
    <w:rsid w:val="0B543687"/>
    <w:rsid w:val="0B55A58D"/>
    <w:rsid w:val="0B590DBB"/>
    <w:rsid w:val="0B654A87"/>
    <w:rsid w:val="0B90E789"/>
    <w:rsid w:val="0BA33DAB"/>
    <w:rsid w:val="0BA38C33"/>
    <w:rsid w:val="0BA407C9"/>
    <w:rsid w:val="0BC6FB35"/>
    <w:rsid w:val="0BC92AE3"/>
    <w:rsid w:val="0BCBBBAF"/>
    <w:rsid w:val="0BD0781D"/>
    <w:rsid w:val="0BD96EE4"/>
    <w:rsid w:val="0BE522B0"/>
    <w:rsid w:val="0BE753A5"/>
    <w:rsid w:val="0C0022AD"/>
    <w:rsid w:val="0C0F971C"/>
    <w:rsid w:val="0C10B44A"/>
    <w:rsid w:val="0C130048"/>
    <w:rsid w:val="0C17F924"/>
    <w:rsid w:val="0C180BE4"/>
    <w:rsid w:val="0C1A8AB4"/>
    <w:rsid w:val="0C2A225A"/>
    <w:rsid w:val="0C34A170"/>
    <w:rsid w:val="0C4EDAF8"/>
    <w:rsid w:val="0C53BD13"/>
    <w:rsid w:val="0C5B4977"/>
    <w:rsid w:val="0C5CAE5F"/>
    <w:rsid w:val="0C687FBB"/>
    <w:rsid w:val="0C6B091F"/>
    <w:rsid w:val="0C6CA280"/>
    <w:rsid w:val="0C7FDA2A"/>
    <w:rsid w:val="0C804DB6"/>
    <w:rsid w:val="0C99C5BC"/>
    <w:rsid w:val="0C9F3221"/>
    <w:rsid w:val="0CA4EFE1"/>
    <w:rsid w:val="0CA9F9DD"/>
    <w:rsid w:val="0CBD45E5"/>
    <w:rsid w:val="0CC8B1E8"/>
    <w:rsid w:val="0CD2714E"/>
    <w:rsid w:val="0CE26D60"/>
    <w:rsid w:val="0CE2AEE9"/>
    <w:rsid w:val="0CE6B348"/>
    <w:rsid w:val="0CFAF42E"/>
    <w:rsid w:val="0CFD46D0"/>
    <w:rsid w:val="0D0D0294"/>
    <w:rsid w:val="0D0F09E8"/>
    <w:rsid w:val="0D187D87"/>
    <w:rsid w:val="0D1D2763"/>
    <w:rsid w:val="0D35D8A3"/>
    <w:rsid w:val="0D43B925"/>
    <w:rsid w:val="0D48B6CB"/>
    <w:rsid w:val="0D4F9042"/>
    <w:rsid w:val="0D4FA92B"/>
    <w:rsid w:val="0D549D83"/>
    <w:rsid w:val="0D55852E"/>
    <w:rsid w:val="0D5A2E92"/>
    <w:rsid w:val="0D5E07B8"/>
    <w:rsid w:val="0D624883"/>
    <w:rsid w:val="0D68316D"/>
    <w:rsid w:val="0D7002DA"/>
    <w:rsid w:val="0D75B24C"/>
    <w:rsid w:val="0D7645F9"/>
    <w:rsid w:val="0D7ABAE2"/>
    <w:rsid w:val="0D7B30CF"/>
    <w:rsid w:val="0D8A9C15"/>
    <w:rsid w:val="0D9AB9C7"/>
    <w:rsid w:val="0DA606F9"/>
    <w:rsid w:val="0DAD3205"/>
    <w:rsid w:val="0DB0557D"/>
    <w:rsid w:val="0DB821FD"/>
    <w:rsid w:val="0DCD420B"/>
    <w:rsid w:val="0DCEB8A3"/>
    <w:rsid w:val="0DD05027"/>
    <w:rsid w:val="0DDD22FF"/>
    <w:rsid w:val="0DDF662C"/>
    <w:rsid w:val="0DE36E47"/>
    <w:rsid w:val="0DF1775D"/>
    <w:rsid w:val="0E02E4A3"/>
    <w:rsid w:val="0E0356D5"/>
    <w:rsid w:val="0E06A0E2"/>
    <w:rsid w:val="0E18F791"/>
    <w:rsid w:val="0E20C7F5"/>
    <w:rsid w:val="0E2CEDCB"/>
    <w:rsid w:val="0E2EE9D9"/>
    <w:rsid w:val="0E6493CD"/>
    <w:rsid w:val="0E6A28B5"/>
    <w:rsid w:val="0E6B4D2B"/>
    <w:rsid w:val="0E6EFA00"/>
    <w:rsid w:val="0E804646"/>
    <w:rsid w:val="0E8F085E"/>
    <w:rsid w:val="0E92F575"/>
    <w:rsid w:val="0E949855"/>
    <w:rsid w:val="0E9D9ADC"/>
    <w:rsid w:val="0EA04EC8"/>
    <w:rsid w:val="0EA4D620"/>
    <w:rsid w:val="0EA86381"/>
    <w:rsid w:val="0EADF4A0"/>
    <w:rsid w:val="0EC35B4F"/>
    <w:rsid w:val="0ECD899C"/>
    <w:rsid w:val="0ED77526"/>
    <w:rsid w:val="0EF0C3EA"/>
    <w:rsid w:val="0EF356D5"/>
    <w:rsid w:val="0EF86B52"/>
    <w:rsid w:val="0F081D55"/>
    <w:rsid w:val="0F0873FB"/>
    <w:rsid w:val="0F0B009F"/>
    <w:rsid w:val="0F0D0DBA"/>
    <w:rsid w:val="0F22EBF8"/>
    <w:rsid w:val="0F236466"/>
    <w:rsid w:val="0F238D77"/>
    <w:rsid w:val="0F2496A1"/>
    <w:rsid w:val="0F350D0F"/>
    <w:rsid w:val="0F41F695"/>
    <w:rsid w:val="0F44AEA1"/>
    <w:rsid w:val="0F490266"/>
    <w:rsid w:val="0F580B86"/>
    <w:rsid w:val="0F586D40"/>
    <w:rsid w:val="0F603C23"/>
    <w:rsid w:val="0F629B0E"/>
    <w:rsid w:val="0F684A97"/>
    <w:rsid w:val="0F6B1624"/>
    <w:rsid w:val="0F6F4C5F"/>
    <w:rsid w:val="0F856D0A"/>
    <w:rsid w:val="0F8D4D87"/>
    <w:rsid w:val="0F9FC043"/>
    <w:rsid w:val="0FA4A635"/>
    <w:rsid w:val="0FAB48EB"/>
    <w:rsid w:val="0FADF1F7"/>
    <w:rsid w:val="0FAE3B31"/>
    <w:rsid w:val="0FB46886"/>
    <w:rsid w:val="0FC2C8F2"/>
    <w:rsid w:val="0FC7CDAD"/>
    <w:rsid w:val="0FE44512"/>
    <w:rsid w:val="0FF4C7DD"/>
    <w:rsid w:val="0FF9EE5B"/>
    <w:rsid w:val="0FFAECD5"/>
    <w:rsid w:val="0FFCAF84"/>
    <w:rsid w:val="100399AA"/>
    <w:rsid w:val="1005CF02"/>
    <w:rsid w:val="100A3831"/>
    <w:rsid w:val="100DADA5"/>
    <w:rsid w:val="101E304E"/>
    <w:rsid w:val="1029D734"/>
    <w:rsid w:val="102B8A82"/>
    <w:rsid w:val="10356FF9"/>
    <w:rsid w:val="10389AC2"/>
    <w:rsid w:val="103AF7A7"/>
    <w:rsid w:val="103C1F29"/>
    <w:rsid w:val="1040A681"/>
    <w:rsid w:val="10454BB7"/>
    <w:rsid w:val="1057ECA4"/>
    <w:rsid w:val="105CEABC"/>
    <w:rsid w:val="1060B6CF"/>
    <w:rsid w:val="10621C09"/>
    <w:rsid w:val="10723545"/>
    <w:rsid w:val="10765A5A"/>
    <w:rsid w:val="10801EA2"/>
    <w:rsid w:val="10888FC8"/>
    <w:rsid w:val="108C7869"/>
    <w:rsid w:val="1097A51E"/>
    <w:rsid w:val="10A0BC33"/>
    <w:rsid w:val="10A1F578"/>
    <w:rsid w:val="10B31D62"/>
    <w:rsid w:val="10C5BB58"/>
    <w:rsid w:val="10D35922"/>
    <w:rsid w:val="10D7612B"/>
    <w:rsid w:val="10E4CEC4"/>
    <w:rsid w:val="10E9EF76"/>
    <w:rsid w:val="10FF8825"/>
    <w:rsid w:val="11000D64"/>
    <w:rsid w:val="11018D52"/>
    <w:rsid w:val="11033E9E"/>
    <w:rsid w:val="11057280"/>
    <w:rsid w:val="11091A14"/>
    <w:rsid w:val="110C8494"/>
    <w:rsid w:val="111A192D"/>
    <w:rsid w:val="111BAA2C"/>
    <w:rsid w:val="111DC8A0"/>
    <w:rsid w:val="112CEF92"/>
    <w:rsid w:val="11668989"/>
    <w:rsid w:val="11671611"/>
    <w:rsid w:val="1169D60C"/>
    <w:rsid w:val="1170A74A"/>
    <w:rsid w:val="1185FB59"/>
    <w:rsid w:val="11910BDB"/>
    <w:rsid w:val="1195574B"/>
    <w:rsid w:val="119DD523"/>
    <w:rsid w:val="119F732F"/>
    <w:rsid w:val="11A22DC3"/>
    <w:rsid w:val="11A4895A"/>
    <w:rsid w:val="11A6F429"/>
    <w:rsid w:val="11A81561"/>
    <w:rsid w:val="11A921EC"/>
    <w:rsid w:val="11A9222A"/>
    <w:rsid w:val="11AA7177"/>
    <w:rsid w:val="11AEBE19"/>
    <w:rsid w:val="11BC56C3"/>
    <w:rsid w:val="11C75AE3"/>
    <w:rsid w:val="11C9C2B9"/>
    <w:rsid w:val="11CDFC4D"/>
    <w:rsid w:val="11CF2FFB"/>
    <w:rsid w:val="11DBAF3B"/>
    <w:rsid w:val="11DC76E2"/>
    <w:rsid w:val="11DCA17A"/>
    <w:rsid w:val="11E9DE2D"/>
    <w:rsid w:val="11EE0C64"/>
    <w:rsid w:val="11F3B5EE"/>
    <w:rsid w:val="1208E418"/>
    <w:rsid w:val="12090DFB"/>
    <w:rsid w:val="120A8AE4"/>
    <w:rsid w:val="1211BEB3"/>
    <w:rsid w:val="1212BD7B"/>
    <w:rsid w:val="12164A76"/>
    <w:rsid w:val="121C1A39"/>
    <w:rsid w:val="12280BAA"/>
    <w:rsid w:val="122FAAB0"/>
    <w:rsid w:val="12332D17"/>
    <w:rsid w:val="123512AB"/>
    <w:rsid w:val="1237ED0D"/>
    <w:rsid w:val="123F7299"/>
    <w:rsid w:val="1245B35F"/>
    <w:rsid w:val="124AB278"/>
    <w:rsid w:val="124FFEB1"/>
    <w:rsid w:val="1257A30B"/>
    <w:rsid w:val="125A91A4"/>
    <w:rsid w:val="125EC8FD"/>
    <w:rsid w:val="1262B1F8"/>
    <w:rsid w:val="12642162"/>
    <w:rsid w:val="12692903"/>
    <w:rsid w:val="126C39D9"/>
    <w:rsid w:val="1271DCA1"/>
    <w:rsid w:val="1276D7FB"/>
    <w:rsid w:val="1278DE9A"/>
    <w:rsid w:val="127F539D"/>
    <w:rsid w:val="1280A328"/>
    <w:rsid w:val="12854C54"/>
    <w:rsid w:val="128C27FA"/>
    <w:rsid w:val="129BBB00"/>
    <w:rsid w:val="12B98DBA"/>
    <w:rsid w:val="12BB4889"/>
    <w:rsid w:val="12C23C00"/>
    <w:rsid w:val="12C3E342"/>
    <w:rsid w:val="12C89F1B"/>
    <w:rsid w:val="12CA8AFB"/>
    <w:rsid w:val="12D939C8"/>
    <w:rsid w:val="12DFA43F"/>
    <w:rsid w:val="12E466C4"/>
    <w:rsid w:val="12EF8647"/>
    <w:rsid w:val="12FA4AA3"/>
    <w:rsid w:val="12FB813E"/>
    <w:rsid w:val="12FFBE47"/>
    <w:rsid w:val="1304E2A5"/>
    <w:rsid w:val="1308006B"/>
    <w:rsid w:val="13102443"/>
    <w:rsid w:val="131B758D"/>
    <w:rsid w:val="13232F55"/>
    <w:rsid w:val="132FB9E4"/>
    <w:rsid w:val="133785EB"/>
    <w:rsid w:val="13451014"/>
    <w:rsid w:val="13491C6D"/>
    <w:rsid w:val="134A02E7"/>
    <w:rsid w:val="13584C24"/>
    <w:rsid w:val="1359217D"/>
    <w:rsid w:val="1363D661"/>
    <w:rsid w:val="13648EC1"/>
    <w:rsid w:val="136C68F7"/>
    <w:rsid w:val="13743A7A"/>
    <w:rsid w:val="1388DB57"/>
    <w:rsid w:val="138C93B9"/>
    <w:rsid w:val="139965AA"/>
    <w:rsid w:val="139CE843"/>
    <w:rsid w:val="13A57F27"/>
    <w:rsid w:val="13A71B9C"/>
    <w:rsid w:val="13ABD2E0"/>
    <w:rsid w:val="13B7241F"/>
    <w:rsid w:val="13C4C6B2"/>
    <w:rsid w:val="13CADF5C"/>
    <w:rsid w:val="13D04831"/>
    <w:rsid w:val="13D3BE0A"/>
    <w:rsid w:val="13D4B7E0"/>
    <w:rsid w:val="13DA9EEF"/>
    <w:rsid w:val="13DC1CB8"/>
    <w:rsid w:val="13DD291A"/>
    <w:rsid w:val="13E8FB67"/>
    <w:rsid w:val="13E9F737"/>
    <w:rsid w:val="13EA55CB"/>
    <w:rsid w:val="13EF0CC7"/>
    <w:rsid w:val="14021296"/>
    <w:rsid w:val="1403B25D"/>
    <w:rsid w:val="14060553"/>
    <w:rsid w:val="1426734F"/>
    <w:rsid w:val="142797FE"/>
    <w:rsid w:val="14326062"/>
    <w:rsid w:val="14345CA0"/>
    <w:rsid w:val="14355223"/>
    <w:rsid w:val="1439E053"/>
    <w:rsid w:val="143B316E"/>
    <w:rsid w:val="143C4672"/>
    <w:rsid w:val="14409982"/>
    <w:rsid w:val="14448672"/>
    <w:rsid w:val="14449758"/>
    <w:rsid w:val="145034DF"/>
    <w:rsid w:val="1461252A"/>
    <w:rsid w:val="14633B8E"/>
    <w:rsid w:val="1479E707"/>
    <w:rsid w:val="1483C830"/>
    <w:rsid w:val="148DEACA"/>
    <w:rsid w:val="1490DF80"/>
    <w:rsid w:val="14A42202"/>
    <w:rsid w:val="14A4E2DF"/>
    <w:rsid w:val="14AC01D7"/>
    <w:rsid w:val="14BD9C1B"/>
    <w:rsid w:val="14BF9399"/>
    <w:rsid w:val="14C40447"/>
    <w:rsid w:val="14D18675"/>
    <w:rsid w:val="14DDA954"/>
    <w:rsid w:val="14DE9404"/>
    <w:rsid w:val="14E115CC"/>
    <w:rsid w:val="14E179A0"/>
    <w:rsid w:val="14E3ABCD"/>
    <w:rsid w:val="14E79B6C"/>
    <w:rsid w:val="14E9A7B4"/>
    <w:rsid w:val="14F50C31"/>
    <w:rsid w:val="150C5DE7"/>
    <w:rsid w:val="150CA687"/>
    <w:rsid w:val="15139DAF"/>
    <w:rsid w:val="1545141F"/>
    <w:rsid w:val="15543DE6"/>
    <w:rsid w:val="155603C8"/>
    <w:rsid w:val="155C00EB"/>
    <w:rsid w:val="155C0981"/>
    <w:rsid w:val="1560D145"/>
    <w:rsid w:val="15642047"/>
    <w:rsid w:val="15729B9B"/>
    <w:rsid w:val="157305B5"/>
    <w:rsid w:val="15782634"/>
    <w:rsid w:val="158207BA"/>
    <w:rsid w:val="158A1245"/>
    <w:rsid w:val="159E00CF"/>
    <w:rsid w:val="15A0EB82"/>
    <w:rsid w:val="15A35B47"/>
    <w:rsid w:val="15A4A613"/>
    <w:rsid w:val="15A7508E"/>
    <w:rsid w:val="15B465D5"/>
    <w:rsid w:val="15BA4CF6"/>
    <w:rsid w:val="15BB3AFE"/>
    <w:rsid w:val="15BBD279"/>
    <w:rsid w:val="15BE6A5A"/>
    <w:rsid w:val="15C429EB"/>
    <w:rsid w:val="15C77681"/>
    <w:rsid w:val="15D1D1D3"/>
    <w:rsid w:val="15D5F7A3"/>
    <w:rsid w:val="15D70D8C"/>
    <w:rsid w:val="15E129E5"/>
    <w:rsid w:val="15E2BCC5"/>
    <w:rsid w:val="15E48931"/>
    <w:rsid w:val="15EA2F7C"/>
    <w:rsid w:val="15EE5AE2"/>
    <w:rsid w:val="15F7B640"/>
    <w:rsid w:val="15FDE40F"/>
    <w:rsid w:val="1605B070"/>
    <w:rsid w:val="160A3079"/>
    <w:rsid w:val="160F18F0"/>
    <w:rsid w:val="16178D6E"/>
    <w:rsid w:val="1618B6FF"/>
    <w:rsid w:val="16212432"/>
    <w:rsid w:val="16215594"/>
    <w:rsid w:val="162283BB"/>
    <w:rsid w:val="16261AC3"/>
    <w:rsid w:val="1626F3A6"/>
    <w:rsid w:val="1649F15D"/>
    <w:rsid w:val="164B0477"/>
    <w:rsid w:val="164E2834"/>
    <w:rsid w:val="165509DB"/>
    <w:rsid w:val="1659BCAB"/>
    <w:rsid w:val="165A58EB"/>
    <w:rsid w:val="165B4D56"/>
    <w:rsid w:val="165C9ED9"/>
    <w:rsid w:val="1660AFF8"/>
    <w:rsid w:val="166E93F2"/>
    <w:rsid w:val="167AA63B"/>
    <w:rsid w:val="167E7D47"/>
    <w:rsid w:val="169D347B"/>
    <w:rsid w:val="16A13524"/>
    <w:rsid w:val="16A63770"/>
    <w:rsid w:val="16B32E23"/>
    <w:rsid w:val="16BD6D7E"/>
    <w:rsid w:val="16C67C30"/>
    <w:rsid w:val="16C73306"/>
    <w:rsid w:val="16CB457E"/>
    <w:rsid w:val="16D29648"/>
    <w:rsid w:val="16D4F0E1"/>
    <w:rsid w:val="16D637A8"/>
    <w:rsid w:val="16DC44DC"/>
    <w:rsid w:val="16EA690F"/>
    <w:rsid w:val="16FC6774"/>
    <w:rsid w:val="16FE93C3"/>
    <w:rsid w:val="16FFF0A8"/>
    <w:rsid w:val="1713C83D"/>
    <w:rsid w:val="17163BBF"/>
    <w:rsid w:val="171A24D4"/>
    <w:rsid w:val="17414471"/>
    <w:rsid w:val="1743750E"/>
    <w:rsid w:val="1748E1A4"/>
    <w:rsid w:val="17519464"/>
    <w:rsid w:val="17566353"/>
    <w:rsid w:val="1759E157"/>
    <w:rsid w:val="175D96FE"/>
    <w:rsid w:val="176639D2"/>
    <w:rsid w:val="17692C47"/>
    <w:rsid w:val="1775669C"/>
    <w:rsid w:val="177720CA"/>
    <w:rsid w:val="177739F7"/>
    <w:rsid w:val="177E2B71"/>
    <w:rsid w:val="1781B271"/>
    <w:rsid w:val="178633F3"/>
    <w:rsid w:val="17872003"/>
    <w:rsid w:val="17872951"/>
    <w:rsid w:val="178A2B43"/>
    <w:rsid w:val="178F7462"/>
    <w:rsid w:val="17979EE1"/>
    <w:rsid w:val="179C0F57"/>
    <w:rsid w:val="17A1055A"/>
    <w:rsid w:val="17A6DC49"/>
    <w:rsid w:val="17A7D917"/>
    <w:rsid w:val="17C7A7E3"/>
    <w:rsid w:val="17C7CA24"/>
    <w:rsid w:val="17CB76B8"/>
    <w:rsid w:val="17CEAC74"/>
    <w:rsid w:val="17DB19D1"/>
    <w:rsid w:val="17E6D865"/>
    <w:rsid w:val="17ECD65D"/>
    <w:rsid w:val="1802D815"/>
    <w:rsid w:val="180E3F48"/>
    <w:rsid w:val="18121335"/>
    <w:rsid w:val="1813884D"/>
    <w:rsid w:val="181BF0FF"/>
    <w:rsid w:val="1820AE22"/>
    <w:rsid w:val="18376810"/>
    <w:rsid w:val="18383259"/>
    <w:rsid w:val="1838B320"/>
    <w:rsid w:val="183ADB0E"/>
    <w:rsid w:val="183CE526"/>
    <w:rsid w:val="1840A748"/>
    <w:rsid w:val="184364B3"/>
    <w:rsid w:val="18476656"/>
    <w:rsid w:val="1850198B"/>
    <w:rsid w:val="1855ACF8"/>
    <w:rsid w:val="18566E08"/>
    <w:rsid w:val="18658700"/>
    <w:rsid w:val="186D2DEE"/>
    <w:rsid w:val="1870D928"/>
    <w:rsid w:val="18732522"/>
    <w:rsid w:val="187E42E3"/>
    <w:rsid w:val="188B1058"/>
    <w:rsid w:val="1896CEBC"/>
    <w:rsid w:val="189F84F4"/>
    <w:rsid w:val="18AC3461"/>
    <w:rsid w:val="18C28D08"/>
    <w:rsid w:val="18C3FE76"/>
    <w:rsid w:val="18C45905"/>
    <w:rsid w:val="18CD1A27"/>
    <w:rsid w:val="18DB99C5"/>
    <w:rsid w:val="18DDA0BE"/>
    <w:rsid w:val="18E13C42"/>
    <w:rsid w:val="18E3C13B"/>
    <w:rsid w:val="18F5B1B8"/>
    <w:rsid w:val="19033359"/>
    <w:rsid w:val="19075F1F"/>
    <w:rsid w:val="1907F677"/>
    <w:rsid w:val="190BB4F8"/>
    <w:rsid w:val="191BF2EF"/>
    <w:rsid w:val="191DD37D"/>
    <w:rsid w:val="1927E61C"/>
    <w:rsid w:val="19299B2A"/>
    <w:rsid w:val="19309712"/>
    <w:rsid w:val="193A78AD"/>
    <w:rsid w:val="193EFC69"/>
    <w:rsid w:val="19463AA3"/>
    <w:rsid w:val="19465D06"/>
    <w:rsid w:val="19514B19"/>
    <w:rsid w:val="19518122"/>
    <w:rsid w:val="196450A3"/>
    <w:rsid w:val="196CF02C"/>
    <w:rsid w:val="197384D9"/>
    <w:rsid w:val="197D72C8"/>
    <w:rsid w:val="198B61C0"/>
    <w:rsid w:val="198E23CF"/>
    <w:rsid w:val="19989440"/>
    <w:rsid w:val="199B47DA"/>
    <w:rsid w:val="19A480B7"/>
    <w:rsid w:val="19A4AAA1"/>
    <w:rsid w:val="19B07A7F"/>
    <w:rsid w:val="19B1BE16"/>
    <w:rsid w:val="19B2F589"/>
    <w:rsid w:val="19E22A53"/>
    <w:rsid w:val="19EA2EB3"/>
    <w:rsid w:val="19F0D2C7"/>
    <w:rsid w:val="19F99478"/>
    <w:rsid w:val="19FBD53D"/>
    <w:rsid w:val="1A00798B"/>
    <w:rsid w:val="1A080E5E"/>
    <w:rsid w:val="1A18CEB5"/>
    <w:rsid w:val="1A19B08C"/>
    <w:rsid w:val="1A1D1407"/>
    <w:rsid w:val="1A2CC6FA"/>
    <w:rsid w:val="1A411B1D"/>
    <w:rsid w:val="1A51C596"/>
    <w:rsid w:val="1A617689"/>
    <w:rsid w:val="1A6E27E0"/>
    <w:rsid w:val="1A71DB49"/>
    <w:rsid w:val="1A79F1BB"/>
    <w:rsid w:val="1A7FDCB7"/>
    <w:rsid w:val="1A833E9F"/>
    <w:rsid w:val="1A8D7852"/>
    <w:rsid w:val="1A964982"/>
    <w:rsid w:val="1A9896CA"/>
    <w:rsid w:val="1A9D6601"/>
    <w:rsid w:val="1AA1C250"/>
    <w:rsid w:val="1AA97B79"/>
    <w:rsid w:val="1AB27B5E"/>
    <w:rsid w:val="1AC83AF4"/>
    <w:rsid w:val="1ADBB992"/>
    <w:rsid w:val="1AE28374"/>
    <w:rsid w:val="1AED1F4B"/>
    <w:rsid w:val="1AEE24E6"/>
    <w:rsid w:val="1AF21BBF"/>
    <w:rsid w:val="1AF6F82B"/>
    <w:rsid w:val="1B001451"/>
    <w:rsid w:val="1B041655"/>
    <w:rsid w:val="1B04F3F3"/>
    <w:rsid w:val="1B085443"/>
    <w:rsid w:val="1B0FAEE0"/>
    <w:rsid w:val="1B17F079"/>
    <w:rsid w:val="1B1964DF"/>
    <w:rsid w:val="1B1A7DED"/>
    <w:rsid w:val="1B1F5E27"/>
    <w:rsid w:val="1B29BDE8"/>
    <w:rsid w:val="1B4F7964"/>
    <w:rsid w:val="1B612B7E"/>
    <w:rsid w:val="1B7455E1"/>
    <w:rsid w:val="1B74E583"/>
    <w:rsid w:val="1B756172"/>
    <w:rsid w:val="1B779182"/>
    <w:rsid w:val="1B79A893"/>
    <w:rsid w:val="1B7CA95D"/>
    <w:rsid w:val="1B7CECD2"/>
    <w:rsid w:val="1B85FF78"/>
    <w:rsid w:val="1BA1B501"/>
    <w:rsid w:val="1BB6900D"/>
    <w:rsid w:val="1BB8E468"/>
    <w:rsid w:val="1BBF3F33"/>
    <w:rsid w:val="1BC2A44F"/>
    <w:rsid w:val="1BCDD4D9"/>
    <w:rsid w:val="1BD8A18B"/>
    <w:rsid w:val="1BDA7D60"/>
    <w:rsid w:val="1BE13022"/>
    <w:rsid w:val="1BE5F84C"/>
    <w:rsid w:val="1BE7B32B"/>
    <w:rsid w:val="1BE8249D"/>
    <w:rsid w:val="1BECDB61"/>
    <w:rsid w:val="1BFCA6A4"/>
    <w:rsid w:val="1BFE443C"/>
    <w:rsid w:val="1C0A01BE"/>
    <w:rsid w:val="1C0D0127"/>
    <w:rsid w:val="1C257599"/>
    <w:rsid w:val="1C367C21"/>
    <w:rsid w:val="1C3FB824"/>
    <w:rsid w:val="1C458B8E"/>
    <w:rsid w:val="1C47F240"/>
    <w:rsid w:val="1C51F337"/>
    <w:rsid w:val="1C61681E"/>
    <w:rsid w:val="1C6396D0"/>
    <w:rsid w:val="1C77A5BB"/>
    <w:rsid w:val="1C7BB41F"/>
    <w:rsid w:val="1C7BF383"/>
    <w:rsid w:val="1C7D3686"/>
    <w:rsid w:val="1C7E38DC"/>
    <w:rsid w:val="1C87BD7E"/>
    <w:rsid w:val="1C8D412E"/>
    <w:rsid w:val="1C95A0EE"/>
    <w:rsid w:val="1C9F28C6"/>
    <w:rsid w:val="1CA4BA8D"/>
    <w:rsid w:val="1CA58271"/>
    <w:rsid w:val="1CA5F5D1"/>
    <w:rsid w:val="1CA81F8D"/>
    <w:rsid w:val="1CAF6B3E"/>
    <w:rsid w:val="1CB6D953"/>
    <w:rsid w:val="1CBD718B"/>
    <w:rsid w:val="1CBF8871"/>
    <w:rsid w:val="1CC221E2"/>
    <w:rsid w:val="1CC79A27"/>
    <w:rsid w:val="1CCF3780"/>
    <w:rsid w:val="1CCF5045"/>
    <w:rsid w:val="1CD96FDD"/>
    <w:rsid w:val="1CEA042B"/>
    <w:rsid w:val="1CFF3D53"/>
    <w:rsid w:val="1D042461"/>
    <w:rsid w:val="1D0FE613"/>
    <w:rsid w:val="1D13E4E4"/>
    <w:rsid w:val="1D2189D4"/>
    <w:rsid w:val="1D230F3D"/>
    <w:rsid w:val="1D264540"/>
    <w:rsid w:val="1D27A0AF"/>
    <w:rsid w:val="1D31D855"/>
    <w:rsid w:val="1D361CDC"/>
    <w:rsid w:val="1D3BD56D"/>
    <w:rsid w:val="1D3FFEE6"/>
    <w:rsid w:val="1D417B09"/>
    <w:rsid w:val="1D4991D5"/>
    <w:rsid w:val="1D50DDC9"/>
    <w:rsid w:val="1D60449B"/>
    <w:rsid w:val="1D70BD47"/>
    <w:rsid w:val="1D72E530"/>
    <w:rsid w:val="1D75F4D9"/>
    <w:rsid w:val="1D7C43B3"/>
    <w:rsid w:val="1D80F2DF"/>
    <w:rsid w:val="1D814239"/>
    <w:rsid w:val="1D8176B7"/>
    <w:rsid w:val="1D887F98"/>
    <w:rsid w:val="1DA08D4B"/>
    <w:rsid w:val="1DA77C21"/>
    <w:rsid w:val="1DAA20B7"/>
    <w:rsid w:val="1DB13A02"/>
    <w:rsid w:val="1DB170D8"/>
    <w:rsid w:val="1DB34311"/>
    <w:rsid w:val="1DB42D38"/>
    <w:rsid w:val="1DC20DCE"/>
    <w:rsid w:val="1DC355CF"/>
    <w:rsid w:val="1DD0CC3F"/>
    <w:rsid w:val="1DDC3A4B"/>
    <w:rsid w:val="1DDFE93B"/>
    <w:rsid w:val="1DEA1A6B"/>
    <w:rsid w:val="1DEB5A64"/>
    <w:rsid w:val="1DEC63E9"/>
    <w:rsid w:val="1DED81A6"/>
    <w:rsid w:val="1DEE867E"/>
    <w:rsid w:val="1DF9F498"/>
    <w:rsid w:val="1E18FDB2"/>
    <w:rsid w:val="1E22C659"/>
    <w:rsid w:val="1E37C1C6"/>
    <w:rsid w:val="1E38AF9C"/>
    <w:rsid w:val="1E404DC8"/>
    <w:rsid w:val="1E45B3F0"/>
    <w:rsid w:val="1E49C472"/>
    <w:rsid w:val="1E5218A2"/>
    <w:rsid w:val="1E5976FF"/>
    <w:rsid w:val="1E6B88BC"/>
    <w:rsid w:val="1E7631E9"/>
    <w:rsid w:val="1E8D7DF4"/>
    <w:rsid w:val="1E902DF1"/>
    <w:rsid w:val="1E96CF9F"/>
    <w:rsid w:val="1E98BB54"/>
    <w:rsid w:val="1E9A98DD"/>
    <w:rsid w:val="1E9BE625"/>
    <w:rsid w:val="1E9E5796"/>
    <w:rsid w:val="1EAA5AB9"/>
    <w:rsid w:val="1EB9F5E2"/>
    <w:rsid w:val="1EBF8BC0"/>
    <w:rsid w:val="1ECCBAC7"/>
    <w:rsid w:val="1ED4F269"/>
    <w:rsid w:val="1EE052B8"/>
    <w:rsid w:val="1EFDCB55"/>
    <w:rsid w:val="1EFF25A9"/>
    <w:rsid w:val="1F09C333"/>
    <w:rsid w:val="1F29EE36"/>
    <w:rsid w:val="1F2E5037"/>
    <w:rsid w:val="1F4DB23A"/>
    <w:rsid w:val="1F57E6EC"/>
    <w:rsid w:val="1F5D164A"/>
    <w:rsid w:val="1F61C23C"/>
    <w:rsid w:val="1F657F99"/>
    <w:rsid w:val="1F7BB99C"/>
    <w:rsid w:val="1F814BDF"/>
    <w:rsid w:val="1F837B89"/>
    <w:rsid w:val="1F917C37"/>
    <w:rsid w:val="1F9E9886"/>
    <w:rsid w:val="1FA8D3EE"/>
    <w:rsid w:val="1FB3FD83"/>
    <w:rsid w:val="1FB527DC"/>
    <w:rsid w:val="1FB5A46D"/>
    <w:rsid w:val="1FBC6AD8"/>
    <w:rsid w:val="1FC0FCC7"/>
    <w:rsid w:val="1FC86077"/>
    <w:rsid w:val="1FCF7526"/>
    <w:rsid w:val="1FD166A7"/>
    <w:rsid w:val="1FD58DCF"/>
    <w:rsid w:val="1FDBD6D5"/>
    <w:rsid w:val="1FDC5B4F"/>
    <w:rsid w:val="1FE5BC6A"/>
    <w:rsid w:val="1FF0A901"/>
    <w:rsid w:val="1FF7E842"/>
    <w:rsid w:val="20173319"/>
    <w:rsid w:val="201B8E0E"/>
    <w:rsid w:val="2022F83F"/>
    <w:rsid w:val="2026A51F"/>
    <w:rsid w:val="2027BDAD"/>
    <w:rsid w:val="202B4443"/>
    <w:rsid w:val="2030809A"/>
    <w:rsid w:val="20314AE9"/>
    <w:rsid w:val="203CCF50"/>
    <w:rsid w:val="2041DA72"/>
    <w:rsid w:val="2053FEBB"/>
    <w:rsid w:val="2068777A"/>
    <w:rsid w:val="206A64A1"/>
    <w:rsid w:val="2074FF42"/>
    <w:rsid w:val="2098278D"/>
    <w:rsid w:val="20A668B9"/>
    <w:rsid w:val="20A8C391"/>
    <w:rsid w:val="20AE0E35"/>
    <w:rsid w:val="20BE8E13"/>
    <w:rsid w:val="20C04C84"/>
    <w:rsid w:val="20CD3E34"/>
    <w:rsid w:val="20F24218"/>
    <w:rsid w:val="20FAF691"/>
    <w:rsid w:val="20FAFBDE"/>
    <w:rsid w:val="21046A05"/>
    <w:rsid w:val="2108F722"/>
    <w:rsid w:val="211103D4"/>
    <w:rsid w:val="211789FD"/>
    <w:rsid w:val="2118629E"/>
    <w:rsid w:val="21216FEA"/>
    <w:rsid w:val="21290914"/>
    <w:rsid w:val="212924C2"/>
    <w:rsid w:val="213981F8"/>
    <w:rsid w:val="214729C4"/>
    <w:rsid w:val="214C855C"/>
    <w:rsid w:val="214CE97C"/>
    <w:rsid w:val="215DFF1C"/>
    <w:rsid w:val="215EBB95"/>
    <w:rsid w:val="2162547F"/>
    <w:rsid w:val="216726F6"/>
    <w:rsid w:val="2173845C"/>
    <w:rsid w:val="21818CCB"/>
    <w:rsid w:val="2181EA8A"/>
    <w:rsid w:val="218889EB"/>
    <w:rsid w:val="21895681"/>
    <w:rsid w:val="2192D60F"/>
    <w:rsid w:val="2194FDDD"/>
    <w:rsid w:val="21AEF86C"/>
    <w:rsid w:val="21AF5724"/>
    <w:rsid w:val="21B954FA"/>
    <w:rsid w:val="21BFBF1B"/>
    <w:rsid w:val="21C8B5A9"/>
    <w:rsid w:val="21CB7417"/>
    <w:rsid w:val="21D1B892"/>
    <w:rsid w:val="21F7E294"/>
    <w:rsid w:val="22031C76"/>
    <w:rsid w:val="220C233D"/>
    <w:rsid w:val="2214CD29"/>
    <w:rsid w:val="22198261"/>
    <w:rsid w:val="222EA6DB"/>
    <w:rsid w:val="2233DE29"/>
    <w:rsid w:val="2238146B"/>
    <w:rsid w:val="223B6C3B"/>
    <w:rsid w:val="22593064"/>
    <w:rsid w:val="22686F06"/>
    <w:rsid w:val="228793BF"/>
    <w:rsid w:val="22942A63"/>
    <w:rsid w:val="22973668"/>
    <w:rsid w:val="229D901D"/>
    <w:rsid w:val="22A3ADAB"/>
    <w:rsid w:val="22A7BBE0"/>
    <w:rsid w:val="22A90433"/>
    <w:rsid w:val="22AA0597"/>
    <w:rsid w:val="22B16EBF"/>
    <w:rsid w:val="22B66B8C"/>
    <w:rsid w:val="22C6AD2B"/>
    <w:rsid w:val="22CA4796"/>
    <w:rsid w:val="22D95383"/>
    <w:rsid w:val="22E89CA9"/>
    <w:rsid w:val="22E98002"/>
    <w:rsid w:val="22ED539D"/>
    <w:rsid w:val="23026050"/>
    <w:rsid w:val="230C6AA0"/>
    <w:rsid w:val="23102BB9"/>
    <w:rsid w:val="2313260B"/>
    <w:rsid w:val="231E1851"/>
    <w:rsid w:val="232CE822"/>
    <w:rsid w:val="232E4793"/>
    <w:rsid w:val="233327C2"/>
    <w:rsid w:val="23382EA6"/>
    <w:rsid w:val="23417165"/>
    <w:rsid w:val="23594E57"/>
    <w:rsid w:val="23653E25"/>
    <w:rsid w:val="236D1AD4"/>
    <w:rsid w:val="237CA3F2"/>
    <w:rsid w:val="237DDE93"/>
    <w:rsid w:val="2380CA37"/>
    <w:rsid w:val="2394127F"/>
    <w:rsid w:val="23AD1032"/>
    <w:rsid w:val="23BE0E82"/>
    <w:rsid w:val="23BEACFF"/>
    <w:rsid w:val="23C68959"/>
    <w:rsid w:val="23D09C7A"/>
    <w:rsid w:val="23D7BEEE"/>
    <w:rsid w:val="23D9D053"/>
    <w:rsid w:val="23DE41DA"/>
    <w:rsid w:val="23E8F0AC"/>
    <w:rsid w:val="23EE4D81"/>
    <w:rsid w:val="23EEC280"/>
    <w:rsid w:val="23F7A78A"/>
    <w:rsid w:val="23FBFCCE"/>
    <w:rsid w:val="2414EF3B"/>
    <w:rsid w:val="241A3BB6"/>
    <w:rsid w:val="241AC0C4"/>
    <w:rsid w:val="2425C9B5"/>
    <w:rsid w:val="24364333"/>
    <w:rsid w:val="244D9AC2"/>
    <w:rsid w:val="2452044E"/>
    <w:rsid w:val="24533840"/>
    <w:rsid w:val="24538E61"/>
    <w:rsid w:val="24568533"/>
    <w:rsid w:val="245C1720"/>
    <w:rsid w:val="2460B229"/>
    <w:rsid w:val="246DA4C2"/>
    <w:rsid w:val="24770071"/>
    <w:rsid w:val="247D987B"/>
    <w:rsid w:val="247D9EFB"/>
    <w:rsid w:val="248559C4"/>
    <w:rsid w:val="2493B840"/>
    <w:rsid w:val="2494EF5A"/>
    <w:rsid w:val="24A736EE"/>
    <w:rsid w:val="24AE9D50"/>
    <w:rsid w:val="24BB8AA1"/>
    <w:rsid w:val="24C8B150"/>
    <w:rsid w:val="24CF5810"/>
    <w:rsid w:val="24E8BAE1"/>
    <w:rsid w:val="24E9674A"/>
    <w:rsid w:val="24F055D5"/>
    <w:rsid w:val="2519D90E"/>
    <w:rsid w:val="25286C86"/>
    <w:rsid w:val="252F6646"/>
    <w:rsid w:val="252FD482"/>
    <w:rsid w:val="25323149"/>
    <w:rsid w:val="25335EF6"/>
    <w:rsid w:val="25376DDC"/>
    <w:rsid w:val="253A761F"/>
    <w:rsid w:val="253DF9A1"/>
    <w:rsid w:val="25424088"/>
    <w:rsid w:val="2550A565"/>
    <w:rsid w:val="2559B672"/>
    <w:rsid w:val="256438A6"/>
    <w:rsid w:val="25650668"/>
    <w:rsid w:val="257356A8"/>
    <w:rsid w:val="2577D0C1"/>
    <w:rsid w:val="257BC1C6"/>
    <w:rsid w:val="257C5BF2"/>
    <w:rsid w:val="257D0285"/>
    <w:rsid w:val="25827982"/>
    <w:rsid w:val="258C7278"/>
    <w:rsid w:val="25923B83"/>
    <w:rsid w:val="259DE02A"/>
    <w:rsid w:val="259F5535"/>
    <w:rsid w:val="25A011FF"/>
    <w:rsid w:val="25A8A79E"/>
    <w:rsid w:val="25AAA92A"/>
    <w:rsid w:val="25AB71CA"/>
    <w:rsid w:val="25AF46EA"/>
    <w:rsid w:val="25B4F2BF"/>
    <w:rsid w:val="25B53C6F"/>
    <w:rsid w:val="25BADC0C"/>
    <w:rsid w:val="25BE3CF2"/>
    <w:rsid w:val="25BF8C91"/>
    <w:rsid w:val="25C38EB9"/>
    <w:rsid w:val="25C6203E"/>
    <w:rsid w:val="25C6DB3D"/>
    <w:rsid w:val="25CE67B4"/>
    <w:rsid w:val="25D05479"/>
    <w:rsid w:val="25D175E3"/>
    <w:rsid w:val="25D9162E"/>
    <w:rsid w:val="25E9288F"/>
    <w:rsid w:val="25F465C6"/>
    <w:rsid w:val="25F67635"/>
    <w:rsid w:val="25F688CE"/>
    <w:rsid w:val="25FD68C1"/>
    <w:rsid w:val="26035BD5"/>
    <w:rsid w:val="26131A63"/>
    <w:rsid w:val="26155B2A"/>
    <w:rsid w:val="26357172"/>
    <w:rsid w:val="263B2CD9"/>
    <w:rsid w:val="263FBDFD"/>
    <w:rsid w:val="264684E9"/>
    <w:rsid w:val="2647CC7B"/>
    <w:rsid w:val="264B9CD3"/>
    <w:rsid w:val="264C01CB"/>
    <w:rsid w:val="2652CB5A"/>
    <w:rsid w:val="26575B02"/>
    <w:rsid w:val="265A8DB0"/>
    <w:rsid w:val="265CF99B"/>
    <w:rsid w:val="265FA0AC"/>
    <w:rsid w:val="2665C335"/>
    <w:rsid w:val="266B6AD3"/>
    <w:rsid w:val="266DDE6C"/>
    <w:rsid w:val="268ABD7E"/>
    <w:rsid w:val="26908BDE"/>
    <w:rsid w:val="2691A4D6"/>
    <w:rsid w:val="2694B685"/>
    <w:rsid w:val="269F11E2"/>
    <w:rsid w:val="269FB4F9"/>
    <w:rsid w:val="26A377E7"/>
    <w:rsid w:val="26A4F81D"/>
    <w:rsid w:val="26AB4B95"/>
    <w:rsid w:val="26AD117A"/>
    <w:rsid w:val="26AF882D"/>
    <w:rsid w:val="26B04988"/>
    <w:rsid w:val="26B3CAAD"/>
    <w:rsid w:val="26B70FA4"/>
    <w:rsid w:val="26BC343F"/>
    <w:rsid w:val="26BEEF23"/>
    <w:rsid w:val="26C05CF5"/>
    <w:rsid w:val="26DFCDBB"/>
    <w:rsid w:val="26E2262A"/>
    <w:rsid w:val="26EF7898"/>
    <w:rsid w:val="26F79EC8"/>
    <w:rsid w:val="26FAC938"/>
    <w:rsid w:val="27001482"/>
    <w:rsid w:val="270282DC"/>
    <w:rsid w:val="27062577"/>
    <w:rsid w:val="2719E330"/>
    <w:rsid w:val="271C9934"/>
    <w:rsid w:val="2726239C"/>
    <w:rsid w:val="27306905"/>
    <w:rsid w:val="273BE260"/>
    <w:rsid w:val="2743C106"/>
    <w:rsid w:val="2746798B"/>
    <w:rsid w:val="274F37BD"/>
    <w:rsid w:val="275106D4"/>
    <w:rsid w:val="2751DC78"/>
    <w:rsid w:val="275852D8"/>
    <w:rsid w:val="27590F2D"/>
    <w:rsid w:val="27640759"/>
    <w:rsid w:val="276658A6"/>
    <w:rsid w:val="27759A2B"/>
    <w:rsid w:val="2789A510"/>
    <w:rsid w:val="278F4049"/>
    <w:rsid w:val="279294D4"/>
    <w:rsid w:val="27A29BB1"/>
    <w:rsid w:val="27A9BF9B"/>
    <w:rsid w:val="27AB50CF"/>
    <w:rsid w:val="27AF3746"/>
    <w:rsid w:val="27B0F5BB"/>
    <w:rsid w:val="27B428AE"/>
    <w:rsid w:val="27C782A6"/>
    <w:rsid w:val="27DD6343"/>
    <w:rsid w:val="27E0DDD6"/>
    <w:rsid w:val="27E39CDC"/>
    <w:rsid w:val="27E4B7FC"/>
    <w:rsid w:val="27E55993"/>
    <w:rsid w:val="27F377E8"/>
    <w:rsid w:val="27F394F3"/>
    <w:rsid w:val="27F825E1"/>
    <w:rsid w:val="27FB123F"/>
    <w:rsid w:val="28009144"/>
    <w:rsid w:val="281076A0"/>
    <w:rsid w:val="28143A9C"/>
    <w:rsid w:val="2819C98D"/>
    <w:rsid w:val="281C2F90"/>
    <w:rsid w:val="2827E73E"/>
    <w:rsid w:val="2833FECF"/>
    <w:rsid w:val="28373030"/>
    <w:rsid w:val="283D9367"/>
    <w:rsid w:val="283FAC6F"/>
    <w:rsid w:val="284212A1"/>
    <w:rsid w:val="28560F8C"/>
    <w:rsid w:val="285FB28F"/>
    <w:rsid w:val="28620E6D"/>
    <w:rsid w:val="28637E43"/>
    <w:rsid w:val="286B5386"/>
    <w:rsid w:val="28754259"/>
    <w:rsid w:val="287DE860"/>
    <w:rsid w:val="28877FE7"/>
    <w:rsid w:val="28A60F8B"/>
    <w:rsid w:val="28A8DE07"/>
    <w:rsid w:val="28AD75AB"/>
    <w:rsid w:val="28B3FB70"/>
    <w:rsid w:val="28BCEE37"/>
    <w:rsid w:val="28BD9D5F"/>
    <w:rsid w:val="28CB3BAC"/>
    <w:rsid w:val="28DDF174"/>
    <w:rsid w:val="28DE187A"/>
    <w:rsid w:val="28E7A664"/>
    <w:rsid w:val="28FB7660"/>
    <w:rsid w:val="28FC562C"/>
    <w:rsid w:val="28FD44DE"/>
    <w:rsid w:val="29005C4D"/>
    <w:rsid w:val="29046C50"/>
    <w:rsid w:val="290BBFA5"/>
    <w:rsid w:val="291287EF"/>
    <w:rsid w:val="291A36FB"/>
    <w:rsid w:val="2931A4AC"/>
    <w:rsid w:val="29330FB6"/>
    <w:rsid w:val="293A3442"/>
    <w:rsid w:val="293AAAA0"/>
    <w:rsid w:val="293F63B1"/>
    <w:rsid w:val="294243B0"/>
    <w:rsid w:val="2949E631"/>
    <w:rsid w:val="29655D2A"/>
    <w:rsid w:val="2965B46D"/>
    <w:rsid w:val="2967DEDA"/>
    <w:rsid w:val="296B5793"/>
    <w:rsid w:val="29737DA1"/>
    <w:rsid w:val="297E62EA"/>
    <w:rsid w:val="29814AB1"/>
    <w:rsid w:val="298395B5"/>
    <w:rsid w:val="298EFBC4"/>
    <w:rsid w:val="299FC85A"/>
    <w:rsid w:val="29BCAAB1"/>
    <w:rsid w:val="29C4FEDC"/>
    <w:rsid w:val="29D1CA04"/>
    <w:rsid w:val="29D8051D"/>
    <w:rsid w:val="29D8DF0E"/>
    <w:rsid w:val="29E01336"/>
    <w:rsid w:val="29EB1D78"/>
    <w:rsid w:val="29EDE335"/>
    <w:rsid w:val="29F0216F"/>
    <w:rsid w:val="29F2A31A"/>
    <w:rsid w:val="29FF387A"/>
    <w:rsid w:val="2A091AF5"/>
    <w:rsid w:val="2A139549"/>
    <w:rsid w:val="2A15E0F9"/>
    <w:rsid w:val="2A272F18"/>
    <w:rsid w:val="2A331620"/>
    <w:rsid w:val="2A35F472"/>
    <w:rsid w:val="2A3C09BF"/>
    <w:rsid w:val="2A4205B6"/>
    <w:rsid w:val="2A423ED6"/>
    <w:rsid w:val="2A4638EC"/>
    <w:rsid w:val="2A514B95"/>
    <w:rsid w:val="2A6C9203"/>
    <w:rsid w:val="2A6EC807"/>
    <w:rsid w:val="2A706935"/>
    <w:rsid w:val="2A77FE8D"/>
    <w:rsid w:val="2A7E72AE"/>
    <w:rsid w:val="2A81E811"/>
    <w:rsid w:val="2A82322B"/>
    <w:rsid w:val="2A889449"/>
    <w:rsid w:val="2A981ECA"/>
    <w:rsid w:val="2AA74D87"/>
    <w:rsid w:val="2AAB7637"/>
    <w:rsid w:val="2AAD3A02"/>
    <w:rsid w:val="2AB50464"/>
    <w:rsid w:val="2AB8AAD1"/>
    <w:rsid w:val="2AB8F6F7"/>
    <w:rsid w:val="2AC418F9"/>
    <w:rsid w:val="2AC4F34C"/>
    <w:rsid w:val="2AC62E4F"/>
    <w:rsid w:val="2AD52C28"/>
    <w:rsid w:val="2AD73BF3"/>
    <w:rsid w:val="2AD9ADA3"/>
    <w:rsid w:val="2AF08D98"/>
    <w:rsid w:val="2AFA1465"/>
    <w:rsid w:val="2AFBECBD"/>
    <w:rsid w:val="2B012D8B"/>
    <w:rsid w:val="2B10923B"/>
    <w:rsid w:val="2B11721F"/>
    <w:rsid w:val="2B1278A9"/>
    <w:rsid w:val="2B2114C6"/>
    <w:rsid w:val="2B23457F"/>
    <w:rsid w:val="2B340F24"/>
    <w:rsid w:val="2B37CA7A"/>
    <w:rsid w:val="2B3A9AE9"/>
    <w:rsid w:val="2B3C8241"/>
    <w:rsid w:val="2B3D826B"/>
    <w:rsid w:val="2B423997"/>
    <w:rsid w:val="2B42818E"/>
    <w:rsid w:val="2B42E5BA"/>
    <w:rsid w:val="2B50A0B6"/>
    <w:rsid w:val="2B57AC54"/>
    <w:rsid w:val="2B5D2616"/>
    <w:rsid w:val="2B5D2DFC"/>
    <w:rsid w:val="2B765C20"/>
    <w:rsid w:val="2B77E974"/>
    <w:rsid w:val="2B78C9E9"/>
    <w:rsid w:val="2B7D7001"/>
    <w:rsid w:val="2B7F4518"/>
    <w:rsid w:val="2B87ED0B"/>
    <w:rsid w:val="2B892AC6"/>
    <w:rsid w:val="2B9017B4"/>
    <w:rsid w:val="2B915B51"/>
    <w:rsid w:val="2B9BBB9E"/>
    <w:rsid w:val="2BAD2A79"/>
    <w:rsid w:val="2BB91515"/>
    <w:rsid w:val="2BBBFCC9"/>
    <w:rsid w:val="2BBD3D4B"/>
    <w:rsid w:val="2BCD9C46"/>
    <w:rsid w:val="2BD02B62"/>
    <w:rsid w:val="2BE24F2A"/>
    <w:rsid w:val="2BE2821E"/>
    <w:rsid w:val="2BE338B4"/>
    <w:rsid w:val="2BF1F5D0"/>
    <w:rsid w:val="2BF3961B"/>
    <w:rsid w:val="2BFF0603"/>
    <w:rsid w:val="2C015FB3"/>
    <w:rsid w:val="2C0B9CEC"/>
    <w:rsid w:val="2C0F22D3"/>
    <w:rsid w:val="2C1D6ED9"/>
    <w:rsid w:val="2C399A11"/>
    <w:rsid w:val="2C3A0544"/>
    <w:rsid w:val="2C3B5D04"/>
    <w:rsid w:val="2C447FE4"/>
    <w:rsid w:val="2C4596BE"/>
    <w:rsid w:val="2C5EB538"/>
    <w:rsid w:val="2C611242"/>
    <w:rsid w:val="2C676AD6"/>
    <w:rsid w:val="2C6C5DCB"/>
    <w:rsid w:val="2C7349C5"/>
    <w:rsid w:val="2C7B99A3"/>
    <w:rsid w:val="2C7C33B7"/>
    <w:rsid w:val="2C7DC982"/>
    <w:rsid w:val="2C87DC35"/>
    <w:rsid w:val="2C968C59"/>
    <w:rsid w:val="2C9F215F"/>
    <w:rsid w:val="2CA0D55C"/>
    <w:rsid w:val="2CBC6374"/>
    <w:rsid w:val="2CC4E166"/>
    <w:rsid w:val="2CCBD599"/>
    <w:rsid w:val="2CCC192E"/>
    <w:rsid w:val="2CD0CACC"/>
    <w:rsid w:val="2CD5DE54"/>
    <w:rsid w:val="2CE2EC6F"/>
    <w:rsid w:val="2CE9E227"/>
    <w:rsid w:val="2CEC2A0F"/>
    <w:rsid w:val="2CF2B26C"/>
    <w:rsid w:val="2CF708CC"/>
    <w:rsid w:val="2CFB6972"/>
    <w:rsid w:val="2CFFC9B3"/>
    <w:rsid w:val="2D078905"/>
    <w:rsid w:val="2D14EC46"/>
    <w:rsid w:val="2D33AA10"/>
    <w:rsid w:val="2D4A14F7"/>
    <w:rsid w:val="2D4D2B50"/>
    <w:rsid w:val="2D4E5AC6"/>
    <w:rsid w:val="2D521E04"/>
    <w:rsid w:val="2D554BC6"/>
    <w:rsid w:val="2D62D719"/>
    <w:rsid w:val="2D67CDD6"/>
    <w:rsid w:val="2D692654"/>
    <w:rsid w:val="2D6EE74F"/>
    <w:rsid w:val="2D72C619"/>
    <w:rsid w:val="2D7C076A"/>
    <w:rsid w:val="2D828BCF"/>
    <w:rsid w:val="2D82CA98"/>
    <w:rsid w:val="2D8FC0A3"/>
    <w:rsid w:val="2D93F649"/>
    <w:rsid w:val="2D9741AE"/>
    <w:rsid w:val="2D99A730"/>
    <w:rsid w:val="2DA24116"/>
    <w:rsid w:val="2DA3AC83"/>
    <w:rsid w:val="2DC78D5B"/>
    <w:rsid w:val="2DCF7083"/>
    <w:rsid w:val="2DD5F632"/>
    <w:rsid w:val="2DDC5A9B"/>
    <w:rsid w:val="2DE65539"/>
    <w:rsid w:val="2DEBBD9E"/>
    <w:rsid w:val="2E0096E8"/>
    <w:rsid w:val="2E0B6091"/>
    <w:rsid w:val="2E0D1D81"/>
    <w:rsid w:val="2E1725B1"/>
    <w:rsid w:val="2E23616C"/>
    <w:rsid w:val="2E236A32"/>
    <w:rsid w:val="2E2599FF"/>
    <w:rsid w:val="2E4A2329"/>
    <w:rsid w:val="2E4CCC8B"/>
    <w:rsid w:val="2E50AE3C"/>
    <w:rsid w:val="2E54E23F"/>
    <w:rsid w:val="2E5A7584"/>
    <w:rsid w:val="2E5BB161"/>
    <w:rsid w:val="2E61CE98"/>
    <w:rsid w:val="2E6344A5"/>
    <w:rsid w:val="2E63B477"/>
    <w:rsid w:val="2E691598"/>
    <w:rsid w:val="2E6A22F1"/>
    <w:rsid w:val="2EA02692"/>
    <w:rsid w:val="2EA6485D"/>
    <w:rsid w:val="2EACD4EB"/>
    <w:rsid w:val="2EAF0212"/>
    <w:rsid w:val="2EAF3471"/>
    <w:rsid w:val="2EBA8FF1"/>
    <w:rsid w:val="2EBF1BED"/>
    <w:rsid w:val="2EC055AC"/>
    <w:rsid w:val="2EC33CBC"/>
    <w:rsid w:val="2ED0FABF"/>
    <w:rsid w:val="2ED403C6"/>
    <w:rsid w:val="2EE0C378"/>
    <w:rsid w:val="2EE4B827"/>
    <w:rsid w:val="2EEC3CEE"/>
    <w:rsid w:val="2EF09ADD"/>
    <w:rsid w:val="2EF64248"/>
    <w:rsid w:val="2EFB7E9D"/>
    <w:rsid w:val="2EFBAAF3"/>
    <w:rsid w:val="2EFC88C0"/>
    <w:rsid w:val="2EFF4F08"/>
    <w:rsid w:val="2F1B4524"/>
    <w:rsid w:val="2F1FD151"/>
    <w:rsid w:val="2F22E8C5"/>
    <w:rsid w:val="2F241101"/>
    <w:rsid w:val="2F31F341"/>
    <w:rsid w:val="2F369543"/>
    <w:rsid w:val="2F45AFCC"/>
    <w:rsid w:val="2F49444A"/>
    <w:rsid w:val="2F4CD641"/>
    <w:rsid w:val="2F55E1DE"/>
    <w:rsid w:val="2F632AEB"/>
    <w:rsid w:val="2F6616D2"/>
    <w:rsid w:val="2F6C43A8"/>
    <w:rsid w:val="2F6D9389"/>
    <w:rsid w:val="2F77B4CD"/>
    <w:rsid w:val="2F7D813F"/>
    <w:rsid w:val="2F8A3420"/>
    <w:rsid w:val="2F8C11E0"/>
    <w:rsid w:val="2F8F6CFD"/>
    <w:rsid w:val="2F954028"/>
    <w:rsid w:val="2FA1A45D"/>
    <w:rsid w:val="2FA730F2"/>
    <w:rsid w:val="2FA851BC"/>
    <w:rsid w:val="2FB09F33"/>
    <w:rsid w:val="2FB52351"/>
    <w:rsid w:val="2FB728FE"/>
    <w:rsid w:val="2FB7F05B"/>
    <w:rsid w:val="2FB9E1AD"/>
    <w:rsid w:val="2FBF31CD"/>
    <w:rsid w:val="2FC8189E"/>
    <w:rsid w:val="2FC97326"/>
    <w:rsid w:val="2FDE68A9"/>
    <w:rsid w:val="2FE36B92"/>
    <w:rsid w:val="2FF586A0"/>
    <w:rsid w:val="30040ACA"/>
    <w:rsid w:val="30054AA0"/>
    <w:rsid w:val="30214EB9"/>
    <w:rsid w:val="302E45C5"/>
    <w:rsid w:val="302EDE12"/>
    <w:rsid w:val="302F4C8E"/>
    <w:rsid w:val="3035958D"/>
    <w:rsid w:val="3048A54C"/>
    <w:rsid w:val="304E48BC"/>
    <w:rsid w:val="3062F106"/>
    <w:rsid w:val="306DB51E"/>
    <w:rsid w:val="306F2FEB"/>
    <w:rsid w:val="30722DDA"/>
    <w:rsid w:val="307538FD"/>
    <w:rsid w:val="308CABEA"/>
    <w:rsid w:val="309282B5"/>
    <w:rsid w:val="30B6F981"/>
    <w:rsid w:val="30B71585"/>
    <w:rsid w:val="30BD68F4"/>
    <w:rsid w:val="30C475C6"/>
    <w:rsid w:val="30C4D9F5"/>
    <w:rsid w:val="30C6964E"/>
    <w:rsid w:val="30CC683F"/>
    <w:rsid w:val="30CF4663"/>
    <w:rsid w:val="30D080BB"/>
    <w:rsid w:val="30E2E45B"/>
    <w:rsid w:val="30FC8D4F"/>
    <w:rsid w:val="30FDFC5F"/>
    <w:rsid w:val="30FFA328"/>
    <w:rsid w:val="3109DF4A"/>
    <w:rsid w:val="311907E1"/>
    <w:rsid w:val="31228F41"/>
    <w:rsid w:val="312758F0"/>
    <w:rsid w:val="312834D2"/>
    <w:rsid w:val="312A175A"/>
    <w:rsid w:val="312C1DCA"/>
    <w:rsid w:val="31339531"/>
    <w:rsid w:val="313BDB83"/>
    <w:rsid w:val="315892C5"/>
    <w:rsid w:val="315BBB38"/>
    <w:rsid w:val="317CA0FF"/>
    <w:rsid w:val="318D75AA"/>
    <w:rsid w:val="318E4F7A"/>
    <w:rsid w:val="31979CCB"/>
    <w:rsid w:val="3197B28F"/>
    <w:rsid w:val="3198B02A"/>
    <w:rsid w:val="319BB912"/>
    <w:rsid w:val="31A4E42B"/>
    <w:rsid w:val="31A9737B"/>
    <w:rsid w:val="31AE75A6"/>
    <w:rsid w:val="31BEF598"/>
    <w:rsid w:val="31C1B8EE"/>
    <w:rsid w:val="31C5549B"/>
    <w:rsid w:val="31C88BBF"/>
    <w:rsid w:val="31C9203F"/>
    <w:rsid w:val="31C9B3A4"/>
    <w:rsid w:val="31CB1360"/>
    <w:rsid w:val="31D33AD6"/>
    <w:rsid w:val="31E30F6F"/>
    <w:rsid w:val="31ED0C10"/>
    <w:rsid w:val="31F65B40"/>
    <w:rsid w:val="31F6B879"/>
    <w:rsid w:val="31F83DC5"/>
    <w:rsid w:val="31FD86DA"/>
    <w:rsid w:val="320CA754"/>
    <w:rsid w:val="320EB4DB"/>
    <w:rsid w:val="32110538"/>
    <w:rsid w:val="321A93B4"/>
    <w:rsid w:val="3222785C"/>
    <w:rsid w:val="3232A1F4"/>
    <w:rsid w:val="3246373C"/>
    <w:rsid w:val="32476E0A"/>
    <w:rsid w:val="324E16A9"/>
    <w:rsid w:val="3250F50D"/>
    <w:rsid w:val="32577213"/>
    <w:rsid w:val="3258D296"/>
    <w:rsid w:val="325E6877"/>
    <w:rsid w:val="3263EC3F"/>
    <w:rsid w:val="326E0AAA"/>
    <w:rsid w:val="327D28C8"/>
    <w:rsid w:val="32805F76"/>
    <w:rsid w:val="329C3307"/>
    <w:rsid w:val="32A7DE38"/>
    <w:rsid w:val="32B125F3"/>
    <w:rsid w:val="32B1BE0E"/>
    <w:rsid w:val="32C05E6F"/>
    <w:rsid w:val="32C481C5"/>
    <w:rsid w:val="32C4F044"/>
    <w:rsid w:val="32D1BE7D"/>
    <w:rsid w:val="32D605BE"/>
    <w:rsid w:val="32D9A877"/>
    <w:rsid w:val="32DB891D"/>
    <w:rsid w:val="32DBE29C"/>
    <w:rsid w:val="32E22D26"/>
    <w:rsid w:val="32E8F500"/>
    <w:rsid w:val="32E96AB7"/>
    <w:rsid w:val="32EB9745"/>
    <w:rsid w:val="32EBBED6"/>
    <w:rsid w:val="32F6CB70"/>
    <w:rsid w:val="32F8859D"/>
    <w:rsid w:val="32FD7FE6"/>
    <w:rsid w:val="3303BF31"/>
    <w:rsid w:val="330EAD84"/>
    <w:rsid w:val="3311C92E"/>
    <w:rsid w:val="331CB5AD"/>
    <w:rsid w:val="332071F2"/>
    <w:rsid w:val="33223255"/>
    <w:rsid w:val="332FA4BB"/>
    <w:rsid w:val="3330B5C5"/>
    <w:rsid w:val="3337259A"/>
    <w:rsid w:val="333BB2A4"/>
    <w:rsid w:val="33490FCC"/>
    <w:rsid w:val="3352C073"/>
    <w:rsid w:val="3358AFCF"/>
    <w:rsid w:val="335C9936"/>
    <w:rsid w:val="336A384B"/>
    <w:rsid w:val="336B6977"/>
    <w:rsid w:val="337AFE1F"/>
    <w:rsid w:val="3381A6AA"/>
    <w:rsid w:val="33946204"/>
    <w:rsid w:val="3399F420"/>
    <w:rsid w:val="339DDFB1"/>
    <w:rsid w:val="33A064C1"/>
    <w:rsid w:val="33A514DD"/>
    <w:rsid w:val="33A7E691"/>
    <w:rsid w:val="33AC102C"/>
    <w:rsid w:val="33ADCF4B"/>
    <w:rsid w:val="33BB9CD3"/>
    <w:rsid w:val="33BC6DAD"/>
    <w:rsid w:val="33C30743"/>
    <w:rsid w:val="33D06FF7"/>
    <w:rsid w:val="33DEAF6C"/>
    <w:rsid w:val="33F3C53A"/>
    <w:rsid w:val="33FE88BB"/>
    <w:rsid w:val="33FF570C"/>
    <w:rsid w:val="3404C77D"/>
    <w:rsid w:val="34246D89"/>
    <w:rsid w:val="34260DE8"/>
    <w:rsid w:val="342D8132"/>
    <w:rsid w:val="343199F6"/>
    <w:rsid w:val="34389048"/>
    <w:rsid w:val="34430518"/>
    <w:rsid w:val="345E8FF3"/>
    <w:rsid w:val="345EF9B2"/>
    <w:rsid w:val="34605409"/>
    <w:rsid w:val="3477A93F"/>
    <w:rsid w:val="3478A650"/>
    <w:rsid w:val="34847155"/>
    <w:rsid w:val="348CC2AA"/>
    <w:rsid w:val="3493A1C8"/>
    <w:rsid w:val="349EDFE2"/>
    <w:rsid w:val="34A29EBE"/>
    <w:rsid w:val="34A30383"/>
    <w:rsid w:val="34AD4BD7"/>
    <w:rsid w:val="34B53F3D"/>
    <w:rsid w:val="34B71900"/>
    <w:rsid w:val="34BBE250"/>
    <w:rsid w:val="34C4C5EB"/>
    <w:rsid w:val="34C50E62"/>
    <w:rsid w:val="34D6789B"/>
    <w:rsid w:val="34D7736D"/>
    <w:rsid w:val="34DA315B"/>
    <w:rsid w:val="34DD8333"/>
    <w:rsid w:val="34E0C31D"/>
    <w:rsid w:val="34E5663D"/>
    <w:rsid w:val="35078612"/>
    <w:rsid w:val="35153514"/>
    <w:rsid w:val="351827F9"/>
    <w:rsid w:val="351A5C20"/>
    <w:rsid w:val="351DD19D"/>
    <w:rsid w:val="352403F5"/>
    <w:rsid w:val="3525EAFE"/>
    <w:rsid w:val="3526FC85"/>
    <w:rsid w:val="352D32B4"/>
    <w:rsid w:val="352DF256"/>
    <w:rsid w:val="352F039B"/>
    <w:rsid w:val="3530E59F"/>
    <w:rsid w:val="35368A5A"/>
    <w:rsid w:val="3537718C"/>
    <w:rsid w:val="353D2922"/>
    <w:rsid w:val="354A0687"/>
    <w:rsid w:val="355A0D9B"/>
    <w:rsid w:val="355E8C31"/>
    <w:rsid w:val="355EA744"/>
    <w:rsid w:val="355EB50E"/>
    <w:rsid w:val="35769CB3"/>
    <w:rsid w:val="35876275"/>
    <w:rsid w:val="3599F1A6"/>
    <w:rsid w:val="359AF72A"/>
    <w:rsid w:val="35A1CCE2"/>
    <w:rsid w:val="35A2E0C6"/>
    <w:rsid w:val="35B1F8E9"/>
    <w:rsid w:val="35B30784"/>
    <w:rsid w:val="35B86D7D"/>
    <w:rsid w:val="35B8D66B"/>
    <w:rsid w:val="35C0AB5F"/>
    <w:rsid w:val="35D04CA9"/>
    <w:rsid w:val="35E915BC"/>
    <w:rsid w:val="35F26E9D"/>
    <w:rsid w:val="35FD97A6"/>
    <w:rsid w:val="3601D308"/>
    <w:rsid w:val="360B1E73"/>
    <w:rsid w:val="360ECEB7"/>
    <w:rsid w:val="361A0FBA"/>
    <w:rsid w:val="361FA344"/>
    <w:rsid w:val="3648B069"/>
    <w:rsid w:val="36495222"/>
    <w:rsid w:val="365DECAA"/>
    <w:rsid w:val="3667C7E8"/>
    <w:rsid w:val="366A59CE"/>
    <w:rsid w:val="36734F26"/>
    <w:rsid w:val="367D36B5"/>
    <w:rsid w:val="36803755"/>
    <w:rsid w:val="36811473"/>
    <w:rsid w:val="368DD329"/>
    <w:rsid w:val="36938E0E"/>
    <w:rsid w:val="369439F8"/>
    <w:rsid w:val="36A03242"/>
    <w:rsid w:val="36A31423"/>
    <w:rsid w:val="36AD708D"/>
    <w:rsid w:val="36AE489F"/>
    <w:rsid w:val="36B45C52"/>
    <w:rsid w:val="36D2328A"/>
    <w:rsid w:val="36E017A7"/>
    <w:rsid w:val="36E060A1"/>
    <w:rsid w:val="36ED230D"/>
    <w:rsid w:val="36EE3FED"/>
    <w:rsid w:val="36FF7F85"/>
    <w:rsid w:val="3712DE09"/>
    <w:rsid w:val="3714D72C"/>
    <w:rsid w:val="371BEDE4"/>
    <w:rsid w:val="371E304F"/>
    <w:rsid w:val="372ACEA0"/>
    <w:rsid w:val="372D41F0"/>
    <w:rsid w:val="3730A398"/>
    <w:rsid w:val="37314354"/>
    <w:rsid w:val="3731D9B0"/>
    <w:rsid w:val="374AF918"/>
    <w:rsid w:val="3751393B"/>
    <w:rsid w:val="3757308B"/>
    <w:rsid w:val="37589F2B"/>
    <w:rsid w:val="37700B8E"/>
    <w:rsid w:val="3774C06D"/>
    <w:rsid w:val="377506C7"/>
    <w:rsid w:val="37756F63"/>
    <w:rsid w:val="37884965"/>
    <w:rsid w:val="378A2B9E"/>
    <w:rsid w:val="3790A276"/>
    <w:rsid w:val="37914E56"/>
    <w:rsid w:val="379220F2"/>
    <w:rsid w:val="37976F47"/>
    <w:rsid w:val="379DBF73"/>
    <w:rsid w:val="37BD6AB0"/>
    <w:rsid w:val="37C53A0A"/>
    <w:rsid w:val="37C6D4CC"/>
    <w:rsid w:val="37C8A611"/>
    <w:rsid w:val="37E57B79"/>
    <w:rsid w:val="37EB634E"/>
    <w:rsid w:val="37F73428"/>
    <w:rsid w:val="37FA5EEF"/>
    <w:rsid w:val="37FD1F9F"/>
    <w:rsid w:val="37FE52FB"/>
    <w:rsid w:val="38065C58"/>
    <w:rsid w:val="38113609"/>
    <w:rsid w:val="38231204"/>
    <w:rsid w:val="3825C63C"/>
    <w:rsid w:val="382625B5"/>
    <w:rsid w:val="382754FE"/>
    <w:rsid w:val="382F1AA7"/>
    <w:rsid w:val="38353013"/>
    <w:rsid w:val="383A9780"/>
    <w:rsid w:val="38407723"/>
    <w:rsid w:val="38429AD8"/>
    <w:rsid w:val="38481BF9"/>
    <w:rsid w:val="384D02DA"/>
    <w:rsid w:val="385087BA"/>
    <w:rsid w:val="3855000D"/>
    <w:rsid w:val="3863BE10"/>
    <w:rsid w:val="38665AB0"/>
    <w:rsid w:val="386EA9ED"/>
    <w:rsid w:val="3879041F"/>
    <w:rsid w:val="38861856"/>
    <w:rsid w:val="3887505E"/>
    <w:rsid w:val="3887F6AA"/>
    <w:rsid w:val="38888B1C"/>
    <w:rsid w:val="38AA3C00"/>
    <w:rsid w:val="38AD36BE"/>
    <w:rsid w:val="38B903AB"/>
    <w:rsid w:val="38BEFCB4"/>
    <w:rsid w:val="38D034D1"/>
    <w:rsid w:val="38E6C979"/>
    <w:rsid w:val="38FEF4BC"/>
    <w:rsid w:val="3930A848"/>
    <w:rsid w:val="3935656A"/>
    <w:rsid w:val="393D2D7C"/>
    <w:rsid w:val="39429F5A"/>
    <w:rsid w:val="3947C226"/>
    <w:rsid w:val="39568044"/>
    <w:rsid w:val="39675EB9"/>
    <w:rsid w:val="3969D09A"/>
    <w:rsid w:val="396F5F38"/>
    <w:rsid w:val="397D5742"/>
    <w:rsid w:val="39823768"/>
    <w:rsid w:val="39877ECC"/>
    <w:rsid w:val="398BCE5D"/>
    <w:rsid w:val="3992F19E"/>
    <w:rsid w:val="399B2B82"/>
    <w:rsid w:val="39A02FE3"/>
    <w:rsid w:val="39A99BD4"/>
    <w:rsid w:val="39AA85FB"/>
    <w:rsid w:val="39AE7B59"/>
    <w:rsid w:val="39AF59C8"/>
    <w:rsid w:val="39B5C721"/>
    <w:rsid w:val="39BC1CAD"/>
    <w:rsid w:val="39BE3170"/>
    <w:rsid w:val="39CD6DF7"/>
    <w:rsid w:val="39CEF60F"/>
    <w:rsid w:val="39D1DFF6"/>
    <w:rsid w:val="39DC1972"/>
    <w:rsid w:val="39E1FC0A"/>
    <w:rsid w:val="39EFFE66"/>
    <w:rsid w:val="39F3AD2B"/>
    <w:rsid w:val="39FFE4C8"/>
    <w:rsid w:val="3A018964"/>
    <w:rsid w:val="3A146E5F"/>
    <w:rsid w:val="3A160F07"/>
    <w:rsid w:val="3A1DED10"/>
    <w:rsid w:val="3A40466B"/>
    <w:rsid w:val="3A46C1B2"/>
    <w:rsid w:val="3A4B477E"/>
    <w:rsid w:val="3A4C6EB9"/>
    <w:rsid w:val="3A4CD9F2"/>
    <w:rsid w:val="3A4E0015"/>
    <w:rsid w:val="3A4E8296"/>
    <w:rsid w:val="3A514921"/>
    <w:rsid w:val="3A554D80"/>
    <w:rsid w:val="3A62606D"/>
    <w:rsid w:val="3A6A9321"/>
    <w:rsid w:val="3A6DFBF3"/>
    <w:rsid w:val="3A6FAF4D"/>
    <w:rsid w:val="3A71F53D"/>
    <w:rsid w:val="3A737054"/>
    <w:rsid w:val="3A792B15"/>
    <w:rsid w:val="3A7A531B"/>
    <w:rsid w:val="3A7EA69B"/>
    <w:rsid w:val="3A8283B5"/>
    <w:rsid w:val="3A87CF1A"/>
    <w:rsid w:val="3A91E6C1"/>
    <w:rsid w:val="3A91F6FE"/>
    <w:rsid w:val="3A92444C"/>
    <w:rsid w:val="3A9A9CD6"/>
    <w:rsid w:val="3A9D61E5"/>
    <w:rsid w:val="3AA1F109"/>
    <w:rsid w:val="3AA5D0C0"/>
    <w:rsid w:val="3AA9241A"/>
    <w:rsid w:val="3AAC29A8"/>
    <w:rsid w:val="3AACEA64"/>
    <w:rsid w:val="3AB07F9D"/>
    <w:rsid w:val="3AB26FB2"/>
    <w:rsid w:val="3ABA359B"/>
    <w:rsid w:val="3AC19038"/>
    <w:rsid w:val="3AC1DB11"/>
    <w:rsid w:val="3ACA40A6"/>
    <w:rsid w:val="3AD06B69"/>
    <w:rsid w:val="3AD31787"/>
    <w:rsid w:val="3ADFAC5C"/>
    <w:rsid w:val="3AE2135B"/>
    <w:rsid w:val="3AE6F9D4"/>
    <w:rsid w:val="3AE8F4B5"/>
    <w:rsid w:val="3AF9D955"/>
    <w:rsid w:val="3AFF645F"/>
    <w:rsid w:val="3B035661"/>
    <w:rsid w:val="3B06EED9"/>
    <w:rsid w:val="3B0CC6A0"/>
    <w:rsid w:val="3B0DE83B"/>
    <w:rsid w:val="3B1EACE3"/>
    <w:rsid w:val="3B1F7941"/>
    <w:rsid w:val="3B278DCC"/>
    <w:rsid w:val="3B293DD6"/>
    <w:rsid w:val="3B2F9F40"/>
    <w:rsid w:val="3B3CB980"/>
    <w:rsid w:val="3B5F1980"/>
    <w:rsid w:val="3B789575"/>
    <w:rsid w:val="3B7A3B9A"/>
    <w:rsid w:val="3B7CE1BB"/>
    <w:rsid w:val="3B89C175"/>
    <w:rsid w:val="3B8D93EB"/>
    <w:rsid w:val="3B8DD35B"/>
    <w:rsid w:val="3B9232EC"/>
    <w:rsid w:val="3B964E7C"/>
    <w:rsid w:val="3BA097C8"/>
    <w:rsid w:val="3BA38131"/>
    <w:rsid w:val="3BA44A8E"/>
    <w:rsid w:val="3BAA11F0"/>
    <w:rsid w:val="3BAC092B"/>
    <w:rsid w:val="3BACFA32"/>
    <w:rsid w:val="3BBB5DC0"/>
    <w:rsid w:val="3BBF40E3"/>
    <w:rsid w:val="3BBFD36F"/>
    <w:rsid w:val="3BC29720"/>
    <w:rsid w:val="3BDAA0EF"/>
    <w:rsid w:val="3BE18475"/>
    <w:rsid w:val="3BF2F9A9"/>
    <w:rsid w:val="3BF5B903"/>
    <w:rsid w:val="3BF76876"/>
    <w:rsid w:val="3BF78F81"/>
    <w:rsid w:val="3C055E17"/>
    <w:rsid w:val="3C06719F"/>
    <w:rsid w:val="3C06858B"/>
    <w:rsid w:val="3C071FA7"/>
    <w:rsid w:val="3C164925"/>
    <w:rsid w:val="3C171252"/>
    <w:rsid w:val="3C22ACFD"/>
    <w:rsid w:val="3C3B166E"/>
    <w:rsid w:val="3C44306C"/>
    <w:rsid w:val="3C45FF5C"/>
    <w:rsid w:val="3C4BF85E"/>
    <w:rsid w:val="3C4ECD2E"/>
    <w:rsid w:val="3C502D82"/>
    <w:rsid w:val="3C50A778"/>
    <w:rsid w:val="3C53A161"/>
    <w:rsid w:val="3C54D187"/>
    <w:rsid w:val="3C5E14B5"/>
    <w:rsid w:val="3C5F5D0B"/>
    <w:rsid w:val="3C637665"/>
    <w:rsid w:val="3C69A1D8"/>
    <w:rsid w:val="3C6B78BB"/>
    <w:rsid w:val="3C71FC01"/>
    <w:rsid w:val="3C7386FD"/>
    <w:rsid w:val="3C79EF80"/>
    <w:rsid w:val="3C7DB984"/>
    <w:rsid w:val="3C7F1AA1"/>
    <w:rsid w:val="3C849237"/>
    <w:rsid w:val="3C92AFCF"/>
    <w:rsid w:val="3C976960"/>
    <w:rsid w:val="3CA43F77"/>
    <w:rsid w:val="3CB68B43"/>
    <w:rsid w:val="3CBC0839"/>
    <w:rsid w:val="3CD63F46"/>
    <w:rsid w:val="3CEA5C1E"/>
    <w:rsid w:val="3CEAE79B"/>
    <w:rsid w:val="3CEC906E"/>
    <w:rsid w:val="3CF815C4"/>
    <w:rsid w:val="3D0ECF58"/>
    <w:rsid w:val="3D2AA908"/>
    <w:rsid w:val="3D32DC0F"/>
    <w:rsid w:val="3D3DC02E"/>
    <w:rsid w:val="3D54B191"/>
    <w:rsid w:val="3D5DF379"/>
    <w:rsid w:val="3D5E78ED"/>
    <w:rsid w:val="3D606D0E"/>
    <w:rsid w:val="3D65797E"/>
    <w:rsid w:val="3D66F916"/>
    <w:rsid w:val="3D6CE267"/>
    <w:rsid w:val="3D738F53"/>
    <w:rsid w:val="3D7CCE73"/>
    <w:rsid w:val="3D8196C0"/>
    <w:rsid w:val="3D8867D4"/>
    <w:rsid w:val="3D9A24BA"/>
    <w:rsid w:val="3D9C090A"/>
    <w:rsid w:val="3D9F3C83"/>
    <w:rsid w:val="3DA3B863"/>
    <w:rsid w:val="3DA7CC5F"/>
    <w:rsid w:val="3DADE8F7"/>
    <w:rsid w:val="3DAF038C"/>
    <w:rsid w:val="3DB48370"/>
    <w:rsid w:val="3DBFD521"/>
    <w:rsid w:val="3DBFEA69"/>
    <w:rsid w:val="3DEB2FBB"/>
    <w:rsid w:val="3E09695F"/>
    <w:rsid w:val="3E0981D2"/>
    <w:rsid w:val="3E0BB18F"/>
    <w:rsid w:val="3E15174A"/>
    <w:rsid w:val="3E17B720"/>
    <w:rsid w:val="3E18753B"/>
    <w:rsid w:val="3E18CDB1"/>
    <w:rsid w:val="3E1A8F8E"/>
    <w:rsid w:val="3E1C321E"/>
    <w:rsid w:val="3E2666D8"/>
    <w:rsid w:val="3E291DF8"/>
    <w:rsid w:val="3E34FF0B"/>
    <w:rsid w:val="3E452AE1"/>
    <w:rsid w:val="3E49042C"/>
    <w:rsid w:val="3E49CECE"/>
    <w:rsid w:val="3E5D2A67"/>
    <w:rsid w:val="3E5EC769"/>
    <w:rsid w:val="3E61126E"/>
    <w:rsid w:val="3E68DF16"/>
    <w:rsid w:val="3E6F8A38"/>
    <w:rsid w:val="3E7705AC"/>
    <w:rsid w:val="3E898BAE"/>
    <w:rsid w:val="3E8E2FB4"/>
    <w:rsid w:val="3E92A54B"/>
    <w:rsid w:val="3E94C069"/>
    <w:rsid w:val="3EB531A5"/>
    <w:rsid w:val="3EB551EA"/>
    <w:rsid w:val="3EB94F46"/>
    <w:rsid w:val="3EB9D757"/>
    <w:rsid w:val="3EC748E1"/>
    <w:rsid w:val="3ECCA6B0"/>
    <w:rsid w:val="3ED16169"/>
    <w:rsid w:val="3EE79B8D"/>
    <w:rsid w:val="3EECE919"/>
    <w:rsid w:val="3EF86F78"/>
    <w:rsid w:val="3EF90AF1"/>
    <w:rsid w:val="3EF93202"/>
    <w:rsid w:val="3EFC1EF1"/>
    <w:rsid w:val="3F08C927"/>
    <w:rsid w:val="3F12310C"/>
    <w:rsid w:val="3F191F2C"/>
    <w:rsid w:val="3F232853"/>
    <w:rsid w:val="3F2C14C6"/>
    <w:rsid w:val="3F2E0795"/>
    <w:rsid w:val="3F34B220"/>
    <w:rsid w:val="3F3E6567"/>
    <w:rsid w:val="3F402A13"/>
    <w:rsid w:val="3F44B7E0"/>
    <w:rsid w:val="3F469712"/>
    <w:rsid w:val="3F5D0BD0"/>
    <w:rsid w:val="3F60AA1E"/>
    <w:rsid w:val="3F656821"/>
    <w:rsid w:val="3F7677F0"/>
    <w:rsid w:val="3F7BA09D"/>
    <w:rsid w:val="3F7F0C2D"/>
    <w:rsid w:val="3F840B75"/>
    <w:rsid w:val="3F8D27B3"/>
    <w:rsid w:val="3F8E4EC6"/>
    <w:rsid w:val="3F9EFF60"/>
    <w:rsid w:val="3FAAA1DB"/>
    <w:rsid w:val="3FAC8FBB"/>
    <w:rsid w:val="3FB81C43"/>
    <w:rsid w:val="3FC42386"/>
    <w:rsid w:val="3FE23D7A"/>
    <w:rsid w:val="3FE94170"/>
    <w:rsid w:val="3FEDBCCB"/>
    <w:rsid w:val="4007500B"/>
    <w:rsid w:val="40114849"/>
    <w:rsid w:val="4019D64B"/>
    <w:rsid w:val="4019DFDE"/>
    <w:rsid w:val="401C61B3"/>
    <w:rsid w:val="401D1233"/>
    <w:rsid w:val="4032FA84"/>
    <w:rsid w:val="40359FD9"/>
    <w:rsid w:val="40391D7E"/>
    <w:rsid w:val="40481CD1"/>
    <w:rsid w:val="40496A45"/>
    <w:rsid w:val="404C6986"/>
    <w:rsid w:val="405392C9"/>
    <w:rsid w:val="4064CBC1"/>
    <w:rsid w:val="4066FD3A"/>
    <w:rsid w:val="406CEBD2"/>
    <w:rsid w:val="40819B8A"/>
    <w:rsid w:val="408C1B4E"/>
    <w:rsid w:val="408F173D"/>
    <w:rsid w:val="40949D01"/>
    <w:rsid w:val="40A14EB1"/>
    <w:rsid w:val="40A86105"/>
    <w:rsid w:val="40B71A5C"/>
    <w:rsid w:val="40B8FE57"/>
    <w:rsid w:val="40CEE16A"/>
    <w:rsid w:val="40D97EC9"/>
    <w:rsid w:val="40E9C023"/>
    <w:rsid w:val="40F1709C"/>
    <w:rsid w:val="40F29EA9"/>
    <w:rsid w:val="4103C29A"/>
    <w:rsid w:val="411EBFE8"/>
    <w:rsid w:val="4120B813"/>
    <w:rsid w:val="4126F83C"/>
    <w:rsid w:val="4128C40F"/>
    <w:rsid w:val="414AEE77"/>
    <w:rsid w:val="41574AD5"/>
    <w:rsid w:val="4161CFCE"/>
    <w:rsid w:val="416599FB"/>
    <w:rsid w:val="4166B963"/>
    <w:rsid w:val="41691AD9"/>
    <w:rsid w:val="4184AAE3"/>
    <w:rsid w:val="4193ADFD"/>
    <w:rsid w:val="419588FD"/>
    <w:rsid w:val="41973A1F"/>
    <w:rsid w:val="419D471D"/>
    <w:rsid w:val="419EAEF8"/>
    <w:rsid w:val="41A6F0B6"/>
    <w:rsid w:val="41AAF7EF"/>
    <w:rsid w:val="41AE982D"/>
    <w:rsid w:val="41B2DE0F"/>
    <w:rsid w:val="41B82C53"/>
    <w:rsid w:val="41BB3B3F"/>
    <w:rsid w:val="41C809AB"/>
    <w:rsid w:val="41C92749"/>
    <w:rsid w:val="41D704D1"/>
    <w:rsid w:val="41D9142B"/>
    <w:rsid w:val="41DDBF46"/>
    <w:rsid w:val="41E105B2"/>
    <w:rsid w:val="41E15885"/>
    <w:rsid w:val="41FBA65F"/>
    <w:rsid w:val="4212B3E4"/>
    <w:rsid w:val="4216C7C2"/>
    <w:rsid w:val="421E8FFE"/>
    <w:rsid w:val="4221A1F8"/>
    <w:rsid w:val="4234A864"/>
    <w:rsid w:val="423DD83E"/>
    <w:rsid w:val="4243C250"/>
    <w:rsid w:val="4260D87F"/>
    <w:rsid w:val="4263B946"/>
    <w:rsid w:val="4268C346"/>
    <w:rsid w:val="426D9B82"/>
    <w:rsid w:val="4271788E"/>
    <w:rsid w:val="42816B0D"/>
    <w:rsid w:val="4290453D"/>
    <w:rsid w:val="429F3B16"/>
    <w:rsid w:val="42A46213"/>
    <w:rsid w:val="42B62874"/>
    <w:rsid w:val="42BCA423"/>
    <w:rsid w:val="42C2AC22"/>
    <w:rsid w:val="42CAC82F"/>
    <w:rsid w:val="42CC65E5"/>
    <w:rsid w:val="42D76134"/>
    <w:rsid w:val="42E80143"/>
    <w:rsid w:val="42ED7832"/>
    <w:rsid w:val="42F0BBAD"/>
    <w:rsid w:val="42F356D5"/>
    <w:rsid w:val="42F57F64"/>
    <w:rsid w:val="42F75628"/>
    <w:rsid w:val="43027889"/>
    <w:rsid w:val="43046C53"/>
    <w:rsid w:val="4304925D"/>
    <w:rsid w:val="4313E0F2"/>
    <w:rsid w:val="43163C98"/>
    <w:rsid w:val="431CE207"/>
    <w:rsid w:val="43350E04"/>
    <w:rsid w:val="433FAA17"/>
    <w:rsid w:val="43444B5C"/>
    <w:rsid w:val="43454EBE"/>
    <w:rsid w:val="43641886"/>
    <w:rsid w:val="4366A7E3"/>
    <w:rsid w:val="4375F09B"/>
    <w:rsid w:val="43834B80"/>
    <w:rsid w:val="43893BF0"/>
    <w:rsid w:val="4389A2AC"/>
    <w:rsid w:val="438C92FA"/>
    <w:rsid w:val="438E0CE9"/>
    <w:rsid w:val="439618C4"/>
    <w:rsid w:val="43966225"/>
    <w:rsid w:val="439E1AE5"/>
    <w:rsid w:val="43AEE79A"/>
    <w:rsid w:val="43AFA366"/>
    <w:rsid w:val="43B29342"/>
    <w:rsid w:val="43B47B65"/>
    <w:rsid w:val="43D69CB6"/>
    <w:rsid w:val="43D7D687"/>
    <w:rsid w:val="43D81AA6"/>
    <w:rsid w:val="43D8ABA8"/>
    <w:rsid w:val="43E0B705"/>
    <w:rsid w:val="43E1358A"/>
    <w:rsid w:val="43EA1670"/>
    <w:rsid w:val="43F975FE"/>
    <w:rsid w:val="440AFD10"/>
    <w:rsid w:val="441ADE3B"/>
    <w:rsid w:val="44223921"/>
    <w:rsid w:val="44295446"/>
    <w:rsid w:val="4429E586"/>
    <w:rsid w:val="442A4062"/>
    <w:rsid w:val="442E8346"/>
    <w:rsid w:val="4433B748"/>
    <w:rsid w:val="44388BA5"/>
    <w:rsid w:val="4439F6B3"/>
    <w:rsid w:val="44577C98"/>
    <w:rsid w:val="446DE44B"/>
    <w:rsid w:val="446F8995"/>
    <w:rsid w:val="446FCD44"/>
    <w:rsid w:val="448C8C0E"/>
    <w:rsid w:val="44902175"/>
    <w:rsid w:val="449360EB"/>
    <w:rsid w:val="4493F22E"/>
    <w:rsid w:val="4495F014"/>
    <w:rsid w:val="4497C578"/>
    <w:rsid w:val="44989581"/>
    <w:rsid w:val="449AA89F"/>
    <w:rsid w:val="449C4D96"/>
    <w:rsid w:val="449D19F7"/>
    <w:rsid w:val="44A0BB9B"/>
    <w:rsid w:val="44ACDCFB"/>
    <w:rsid w:val="44B272C6"/>
    <w:rsid w:val="44B36876"/>
    <w:rsid w:val="44C42EFB"/>
    <w:rsid w:val="44C5A53F"/>
    <w:rsid w:val="44D097E6"/>
    <w:rsid w:val="44D66A4F"/>
    <w:rsid w:val="44DC92AF"/>
    <w:rsid w:val="44F5DEDE"/>
    <w:rsid w:val="4503385B"/>
    <w:rsid w:val="45034660"/>
    <w:rsid w:val="451A59D6"/>
    <w:rsid w:val="451C07DA"/>
    <w:rsid w:val="45258505"/>
    <w:rsid w:val="452E0BFC"/>
    <w:rsid w:val="45338110"/>
    <w:rsid w:val="4539C57D"/>
    <w:rsid w:val="45420B34"/>
    <w:rsid w:val="454FB305"/>
    <w:rsid w:val="4555EEC2"/>
    <w:rsid w:val="4559357C"/>
    <w:rsid w:val="4567B0FC"/>
    <w:rsid w:val="456EDD35"/>
    <w:rsid w:val="4570F4AE"/>
    <w:rsid w:val="4571FE48"/>
    <w:rsid w:val="457495F2"/>
    <w:rsid w:val="4579AB32"/>
    <w:rsid w:val="457EA138"/>
    <w:rsid w:val="458DF7F8"/>
    <w:rsid w:val="4592779E"/>
    <w:rsid w:val="45944C72"/>
    <w:rsid w:val="4598D4AC"/>
    <w:rsid w:val="45A6CD71"/>
    <w:rsid w:val="45AC2424"/>
    <w:rsid w:val="45BAE83A"/>
    <w:rsid w:val="45C131D9"/>
    <w:rsid w:val="45C222FF"/>
    <w:rsid w:val="45C8AF11"/>
    <w:rsid w:val="45C8EAE2"/>
    <w:rsid w:val="45CCB9C9"/>
    <w:rsid w:val="45CF87A9"/>
    <w:rsid w:val="45D596BC"/>
    <w:rsid w:val="45DAD3FE"/>
    <w:rsid w:val="45E5B5E1"/>
    <w:rsid w:val="45F2765F"/>
    <w:rsid w:val="45FB48C1"/>
    <w:rsid w:val="4601B807"/>
    <w:rsid w:val="4607270C"/>
    <w:rsid w:val="460A184B"/>
    <w:rsid w:val="4614C68D"/>
    <w:rsid w:val="4635691B"/>
    <w:rsid w:val="463B5BE9"/>
    <w:rsid w:val="463BACCA"/>
    <w:rsid w:val="464B6999"/>
    <w:rsid w:val="465A495C"/>
    <w:rsid w:val="465AF85A"/>
    <w:rsid w:val="465C4551"/>
    <w:rsid w:val="4664216F"/>
    <w:rsid w:val="46682FEF"/>
    <w:rsid w:val="466A0CE6"/>
    <w:rsid w:val="467FD135"/>
    <w:rsid w:val="46885587"/>
    <w:rsid w:val="46897B6F"/>
    <w:rsid w:val="469316BD"/>
    <w:rsid w:val="4693ECB2"/>
    <w:rsid w:val="46B06405"/>
    <w:rsid w:val="46B2220E"/>
    <w:rsid w:val="46C2330A"/>
    <w:rsid w:val="46CD939E"/>
    <w:rsid w:val="46CF5171"/>
    <w:rsid w:val="46CFE904"/>
    <w:rsid w:val="46D521ED"/>
    <w:rsid w:val="46D5BBA7"/>
    <w:rsid w:val="46D71B7D"/>
    <w:rsid w:val="46E0A707"/>
    <w:rsid w:val="46E49807"/>
    <w:rsid w:val="46E69648"/>
    <w:rsid w:val="46E75439"/>
    <w:rsid w:val="46E8E54C"/>
    <w:rsid w:val="46F4A00E"/>
    <w:rsid w:val="47062444"/>
    <w:rsid w:val="4707767F"/>
    <w:rsid w:val="470DA712"/>
    <w:rsid w:val="4717B616"/>
    <w:rsid w:val="471F1071"/>
    <w:rsid w:val="4722A12A"/>
    <w:rsid w:val="473021DF"/>
    <w:rsid w:val="473F4BE3"/>
    <w:rsid w:val="4754FBE2"/>
    <w:rsid w:val="476E361C"/>
    <w:rsid w:val="476E3F36"/>
    <w:rsid w:val="47861269"/>
    <w:rsid w:val="478B8166"/>
    <w:rsid w:val="478EA096"/>
    <w:rsid w:val="47954251"/>
    <w:rsid w:val="47C202D1"/>
    <w:rsid w:val="47C5D6EB"/>
    <w:rsid w:val="47C91949"/>
    <w:rsid w:val="47D1943E"/>
    <w:rsid w:val="47D22548"/>
    <w:rsid w:val="47DB1C9F"/>
    <w:rsid w:val="47DB6820"/>
    <w:rsid w:val="47DF8940"/>
    <w:rsid w:val="47DFFC27"/>
    <w:rsid w:val="47E27120"/>
    <w:rsid w:val="47E4EE72"/>
    <w:rsid w:val="47E5E227"/>
    <w:rsid w:val="47EC8BAD"/>
    <w:rsid w:val="48083291"/>
    <w:rsid w:val="4814E0D1"/>
    <w:rsid w:val="48160B9F"/>
    <w:rsid w:val="4834BAAB"/>
    <w:rsid w:val="483F3D15"/>
    <w:rsid w:val="484A5530"/>
    <w:rsid w:val="4861200F"/>
    <w:rsid w:val="48624247"/>
    <w:rsid w:val="48635D59"/>
    <w:rsid w:val="487B1A05"/>
    <w:rsid w:val="4883884F"/>
    <w:rsid w:val="4884744B"/>
    <w:rsid w:val="4886E682"/>
    <w:rsid w:val="48A5460B"/>
    <w:rsid w:val="48B3F4D4"/>
    <w:rsid w:val="48B49B03"/>
    <w:rsid w:val="48C0DB3D"/>
    <w:rsid w:val="48C10C9C"/>
    <w:rsid w:val="48C2A84D"/>
    <w:rsid w:val="48C2EF98"/>
    <w:rsid w:val="48F7C1D0"/>
    <w:rsid w:val="48FF7668"/>
    <w:rsid w:val="490030A8"/>
    <w:rsid w:val="490F3B5F"/>
    <w:rsid w:val="4912AA32"/>
    <w:rsid w:val="4913A397"/>
    <w:rsid w:val="4917E571"/>
    <w:rsid w:val="4918EF00"/>
    <w:rsid w:val="491D143C"/>
    <w:rsid w:val="491E0017"/>
    <w:rsid w:val="49257C61"/>
    <w:rsid w:val="49405287"/>
    <w:rsid w:val="49460D68"/>
    <w:rsid w:val="49473EB4"/>
    <w:rsid w:val="49474967"/>
    <w:rsid w:val="494FC9C6"/>
    <w:rsid w:val="495BAD61"/>
    <w:rsid w:val="496A9D51"/>
    <w:rsid w:val="496B4E8A"/>
    <w:rsid w:val="496C8EE0"/>
    <w:rsid w:val="4974FE9A"/>
    <w:rsid w:val="49826CBD"/>
    <w:rsid w:val="4984BD75"/>
    <w:rsid w:val="4991BEC3"/>
    <w:rsid w:val="49AA4F76"/>
    <w:rsid w:val="49B493EF"/>
    <w:rsid w:val="49C8F700"/>
    <w:rsid w:val="49D2F90E"/>
    <w:rsid w:val="49D30F07"/>
    <w:rsid w:val="49F81FD4"/>
    <w:rsid w:val="49FCE035"/>
    <w:rsid w:val="49FCF865"/>
    <w:rsid w:val="4A102C76"/>
    <w:rsid w:val="4A1D0B0E"/>
    <w:rsid w:val="4A1FB9AD"/>
    <w:rsid w:val="4A210323"/>
    <w:rsid w:val="4A21D4C6"/>
    <w:rsid w:val="4A230A02"/>
    <w:rsid w:val="4A231106"/>
    <w:rsid w:val="4A24B73F"/>
    <w:rsid w:val="4A2B26D4"/>
    <w:rsid w:val="4A383D41"/>
    <w:rsid w:val="4A3FF76C"/>
    <w:rsid w:val="4A402A42"/>
    <w:rsid w:val="4A41B5F1"/>
    <w:rsid w:val="4A49E638"/>
    <w:rsid w:val="4A503937"/>
    <w:rsid w:val="4A50FE75"/>
    <w:rsid w:val="4A52A55C"/>
    <w:rsid w:val="4A65A75E"/>
    <w:rsid w:val="4A6A29D3"/>
    <w:rsid w:val="4A6F3452"/>
    <w:rsid w:val="4A736178"/>
    <w:rsid w:val="4A8D021A"/>
    <w:rsid w:val="4A9543B5"/>
    <w:rsid w:val="4A96D3D0"/>
    <w:rsid w:val="4A9818BD"/>
    <w:rsid w:val="4A985247"/>
    <w:rsid w:val="4A98AC0C"/>
    <w:rsid w:val="4AAD9A38"/>
    <w:rsid w:val="4AB7CC99"/>
    <w:rsid w:val="4AB8B962"/>
    <w:rsid w:val="4ABA2361"/>
    <w:rsid w:val="4AC84F4A"/>
    <w:rsid w:val="4ACB695B"/>
    <w:rsid w:val="4AE13960"/>
    <w:rsid w:val="4AE881CA"/>
    <w:rsid w:val="4AF17EA3"/>
    <w:rsid w:val="4AFA91AC"/>
    <w:rsid w:val="4B023889"/>
    <w:rsid w:val="4B12B71A"/>
    <w:rsid w:val="4B14BE43"/>
    <w:rsid w:val="4B198286"/>
    <w:rsid w:val="4B20C8B7"/>
    <w:rsid w:val="4B2158FB"/>
    <w:rsid w:val="4B2C19F5"/>
    <w:rsid w:val="4B302F6B"/>
    <w:rsid w:val="4B3FD353"/>
    <w:rsid w:val="4B4B41BD"/>
    <w:rsid w:val="4B4C2CF7"/>
    <w:rsid w:val="4B4FD7FE"/>
    <w:rsid w:val="4B54176B"/>
    <w:rsid w:val="4B5E1C29"/>
    <w:rsid w:val="4B646715"/>
    <w:rsid w:val="4B734F1D"/>
    <w:rsid w:val="4B7475A4"/>
    <w:rsid w:val="4B8D6CED"/>
    <w:rsid w:val="4B9040E6"/>
    <w:rsid w:val="4B918420"/>
    <w:rsid w:val="4B9B0EB9"/>
    <w:rsid w:val="4B9BB380"/>
    <w:rsid w:val="4BAAB21F"/>
    <w:rsid w:val="4BB118D2"/>
    <w:rsid w:val="4BB2BAC7"/>
    <w:rsid w:val="4BBA9199"/>
    <w:rsid w:val="4BBAFF06"/>
    <w:rsid w:val="4BBBAEBE"/>
    <w:rsid w:val="4BC8176F"/>
    <w:rsid w:val="4BD728E1"/>
    <w:rsid w:val="4BD81200"/>
    <w:rsid w:val="4BDB3764"/>
    <w:rsid w:val="4BE335AF"/>
    <w:rsid w:val="4BEFCE47"/>
    <w:rsid w:val="4BFC5A53"/>
    <w:rsid w:val="4C05A29A"/>
    <w:rsid w:val="4C0BF92C"/>
    <w:rsid w:val="4C0D1A36"/>
    <w:rsid w:val="4C198A36"/>
    <w:rsid w:val="4C2D05DE"/>
    <w:rsid w:val="4C33E19B"/>
    <w:rsid w:val="4C380751"/>
    <w:rsid w:val="4C3CE3F3"/>
    <w:rsid w:val="4C438FF8"/>
    <w:rsid w:val="4C455AEA"/>
    <w:rsid w:val="4C45D883"/>
    <w:rsid w:val="4C47A4B7"/>
    <w:rsid w:val="4C5E7832"/>
    <w:rsid w:val="4C7A0846"/>
    <w:rsid w:val="4C7DA7FE"/>
    <w:rsid w:val="4C86810E"/>
    <w:rsid w:val="4C9D76D5"/>
    <w:rsid w:val="4C9FE903"/>
    <w:rsid w:val="4CA0DA1A"/>
    <w:rsid w:val="4CA12463"/>
    <w:rsid w:val="4CA6373D"/>
    <w:rsid w:val="4CAC3256"/>
    <w:rsid w:val="4CC023E9"/>
    <w:rsid w:val="4CC51054"/>
    <w:rsid w:val="4CD50F72"/>
    <w:rsid w:val="4CDA6D0C"/>
    <w:rsid w:val="4CDD4003"/>
    <w:rsid w:val="4CE488F9"/>
    <w:rsid w:val="4CF0733C"/>
    <w:rsid w:val="4CF1EE32"/>
    <w:rsid w:val="4CF2F119"/>
    <w:rsid w:val="4D0D6ACD"/>
    <w:rsid w:val="4D11CEBF"/>
    <w:rsid w:val="4D16335F"/>
    <w:rsid w:val="4D1732E3"/>
    <w:rsid w:val="4D1CC1BC"/>
    <w:rsid w:val="4D244C75"/>
    <w:rsid w:val="4D268700"/>
    <w:rsid w:val="4D2A4CFA"/>
    <w:rsid w:val="4D2E708A"/>
    <w:rsid w:val="4D42CA78"/>
    <w:rsid w:val="4D434081"/>
    <w:rsid w:val="4D4E6863"/>
    <w:rsid w:val="4D4F9890"/>
    <w:rsid w:val="4D5C541B"/>
    <w:rsid w:val="4D5D5674"/>
    <w:rsid w:val="4D75720F"/>
    <w:rsid w:val="4D81D6CB"/>
    <w:rsid w:val="4D8370D8"/>
    <w:rsid w:val="4D860701"/>
    <w:rsid w:val="4D86E40D"/>
    <w:rsid w:val="4DA1E13F"/>
    <w:rsid w:val="4DAFFF85"/>
    <w:rsid w:val="4DB092B6"/>
    <w:rsid w:val="4DBF9EB2"/>
    <w:rsid w:val="4DC3C641"/>
    <w:rsid w:val="4DC4EC28"/>
    <w:rsid w:val="4DC8EE93"/>
    <w:rsid w:val="4DCF713F"/>
    <w:rsid w:val="4DD091AC"/>
    <w:rsid w:val="4DD776C3"/>
    <w:rsid w:val="4DD8B454"/>
    <w:rsid w:val="4DDCD71E"/>
    <w:rsid w:val="4DDE4CCF"/>
    <w:rsid w:val="4DDFBB8A"/>
    <w:rsid w:val="4DE53681"/>
    <w:rsid w:val="4DE5460B"/>
    <w:rsid w:val="4DE7A815"/>
    <w:rsid w:val="4DE7E1D7"/>
    <w:rsid w:val="4DEE9A25"/>
    <w:rsid w:val="4DEF9F37"/>
    <w:rsid w:val="4DF529F5"/>
    <w:rsid w:val="4DF778AA"/>
    <w:rsid w:val="4E01924B"/>
    <w:rsid w:val="4E08943A"/>
    <w:rsid w:val="4E09B0DE"/>
    <w:rsid w:val="4E19A592"/>
    <w:rsid w:val="4E20107E"/>
    <w:rsid w:val="4E3908EB"/>
    <w:rsid w:val="4E5BF963"/>
    <w:rsid w:val="4E5D93AC"/>
    <w:rsid w:val="4E5F9062"/>
    <w:rsid w:val="4E67A9B7"/>
    <w:rsid w:val="4E6ED587"/>
    <w:rsid w:val="4E7232E9"/>
    <w:rsid w:val="4E734092"/>
    <w:rsid w:val="4E77A3AE"/>
    <w:rsid w:val="4E7DA436"/>
    <w:rsid w:val="4E866B6D"/>
    <w:rsid w:val="4E8FD195"/>
    <w:rsid w:val="4E91D994"/>
    <w:rsid w:val="4E9424A7"/>
    <w:rsid w:val="4E95505F"/>
    <w:rsid w:val="4E986F2C"/>
    <w:rsid w:val="4E9A8996"/>
    <w:rsid w:val="4E9E6D86"/>
    <w:rsid w:val="4EB34AFD"/>
    <w:rsid w:val="4EC2AFE8"/>
    <w:rsid w:val="4EC58E36"/>
    <w:rsid w:val="4ECF8BEA"/>
    <w:rsid w:val="4ED2B2CF"/>
    <w:rsid w:val="4EE8B994"/>
    <w:rsid w:val="4EE933F9"/>
    <w:rsid w:val="4EF30207"/>
    <w:rsid w:val="4EF984AA"/>
    <w:rsid w:val="4F16199D"/>
    <w:rsid w:val="4F16C53E"/>
    <w:rsid w:val="4F19939D"/>
    <w:rsid w:val="4F1E2B55"/>
    <w:rsid w:val="4F38B812"/>
    <w:rsid w:val="4F420FAE"/>
    <w:rsid w:val="4F566525"/>
    <w:rsid w:val="4F5B7D65"/>
    <w:rsid w:val="4F6B1738"/>
    <w:rsid w:val="4F6ECBB9"/>
    <w:rsid w:val="4F77EF8E"/>
    <w:rsid w:val="4F7FCCFC"/>
    <w:rsid w:val="4F85A7E3"/>
    <w:rsid w:val="4F8745D4"/>
    <w:rsid w:val="4F8E09CE"/>
    <w:rsid w:val="4F93643C"/>
    <w:rsid w:val="4F9F3768"/>
    <w:rsid w:val="4F9FE196"/>
    <w:rsid w:val="4FA1966C"/>
    <w:rsid w:val="4FA507A5"/>
    <w:rsid w:val="4FAA5C2C"/>
    <w:rsid w:val="4FAAF913"/>
    <w:rsid w:val="4FAE166A"/>
    <w:rsid w:val="4FB3BFC1"/>
    <w:rsid w:val="4FBE693A"/>
    <w:rsid w:val="4FCAA775"/>
    <w:rsid w:val="4FCF1232"/>
    <w:rsid w:val="4FD4D94C"/>
    <w:rsid w:val="4FDA1795"/>
    <w:rsid w:val="4FE4E521"/>
    <w:rsid w:val="4FE5AAF1"/>
    <w:rsid w:val="4FE908DC"/>
    <w:rsid w:val="4FF2C783"/>
    <w:rsid w:val="500402D6"/>
    <w:rsid w:val="50040D39"/>
    <w:rsid w:val="5007B50C"/>
    <w:rsid w:val="5017B1C9"/>
    <w:rsid w:val="5018AF67"/>
    <w:rsid w:val="501908AF"/>
    <w:rsid w:val="501B21AD"/>
    <w:rsid w:val="5020FB2F"/>
    <w:rsid w:val="502642D4"/>
    <w:rsid w:val="5029F683"/>
    <w:rsid w:val="502EA86F"/>
    <w:rsid w:val="504F9BFE"/>
    <w:rsid w:val="505498C6"/>
    <w:rsid w:val="505C96C1"/>
    <w:rsid w:val="505E8049"/>
    <w:rsid w:val="5061D4F5"/>
    <w:rsid w:val="5062CDD1"/>
    <w:rsid w:val="5066114C"/>
    <w:rsid w:val="50683C10"/>
    <w:rsid w:val="50871AE9"/>
    <w:rsid w:val="508EBFF9"/>
    <w:rsid w:val="508F6159"/>
    <w:rsid w:val="50919E21"/>
    <w:rsid w:val="5091FE2D"/>
    <w:rsid w:val="509B1DA4"/>
    <w:rsid w:val="50A4D3FD"/>
    <w:rsid w:val="50ABB635"/>
    <w:rsid w:val="50AD7C90"/>
    <w:rsid w:val="50B47B2C"/>
    <w:rsid w:val="50C2587B"/>
    <w:rsid w:val="50C3D46E"/>
    <w:rsid w:val="50C61D90"/>
    <w:rsid w:val="50CF636F"/>
    <w:rsid w:val="50D27500"/>
    <w:rsid w:val="50DCEAF1"/>
    <w:rsid w:val="50DE0BEB"/>
    <w:rsid w:val="50EB6EB8"/>
    <w:rsid w:val="51070769"/>
    <w:rsid w:val="510D2013"/>
    <w:rsid w:val="511168D7"/>
    <w:rsid w:val="51190E4B"/>
    <w:rsid w:val="51204027"/>
    <w:rsid w:val="51237FB9"/>
    <w:rsid w:val="5126D4D8"/>
    <w:rsid w:val="513A8ACF"/>
    <w:rsid w:val="513B7288"/>
    <w:rsid w:val="513E9AF1"/>
    <w:rsid w:val="5141932A"/>
    <w:rsid w:val="514BFB86"/>
    <w:rsid w:val="514CD46E"/>
    <w:rsid w:val="515142A4"/>
    <w:rsid w:val="515B5CB8"/>
    <w:rsid w:val="51632063"/>
    <w:rsid w:val="516CE787"/>
    <w:rsid w:val="51769DFA"/>
    <w:rsid w:val="51891E34"/>
    <w:rsid w:val="51901D6C"/>
    <w:rsid w:val="51909F3E"/>
    <w:rsid w:val="5198CF78"/>
    <w:rsid w:val="519A0DF4"/>
    <w:rsid w:val="519CFE24"/>
    <w:rsid w:val="519D296B"/>
    <w:rsid w:val="51A47A5B"/>
    <w:rsid w:val="51A69695"/>
    <w:rsid w:val="51B9DA14"/>
    <w:rsid w:val="51B9F054"/>
    <w:rsid w:val="51D6191F"/>
    <w:rsid w:val="51D84559"/>
    <w:rsid w:val="51E4D24C"/>
    <w:rsid w:val="51FB6D25"/>
    <w:rsid w:val="520173E7"/>
    <w:rsid w:val="5201E1AD"/>
    <w:rsid w:val="5206A1D3"/>
    <w:rsid w:val="5210F22A"/>
    <w:rsid w:val="521600D1"/>
    <w:rsid w:val="5218239C"/>
    <w:rsid w:val="521A6758"/>
    <w:rsid w:val="521ADD87"/>
    <w:rsid w:val="521D2899"/>
    <w:rsid w:val="52211062"/>
    <w:rsid w:val="52261EDB"/>
    <w:rsid w:val="5226B336"/>
    <w:rsid w:val="52285B3C"/>
    <w:rsid w:val="52350461"/>
    <w:rsid w:val="5245BFDE"/>
    <w:rsid w:val="5246ED43"/>
    <w:rsid w:val="52476EE5"/>
    <w:rsid w:val="524FD885"/>
    <w:rsid w:val="52554B3A"/>
    <w:rsid w:val="5262F39D"/>
    <w:rsid w:val="5266C8A6"/>
    <w:rsid w:val="5275A93B"/>
    <w:rsid w:val="5275BA5A"/>
    <w:rsid w:val="5277D402"/>
    <w:rsid w:val="528901E6"/>
    <w:rsid w:val="5295C8C5"/>
    <w:rsid w:val="529877D6"/>
    <w:rsid w:val="529C4924"/>
    <w:rsid w:val="529E78AD"/>
    <w:rsid w:val="52A19E52"/>
    <w:rsid w:val="52B01BDD"/>
    <w:rsid w:val="52B8A7A4"/>
    <w:rsid w:val="52C0F19D"/>
    <w:rsid w:val="52C1BF09"/>
    <w:rsid w:val="52CD7AE6"/>
    <w:rsid w:val="52D425CC"/>
    <w:rsid w:val="52D4EC16"/>
    <w:rsid w:val="52E0AAD5"/>
    <w:rsid w:val="52E2CE71"/>
    <w:rsid w:val="52E44F4C"/>
    <w:rsid w:val="52E896F5"/>
    <w:rsid w:val="52EB07FA"/>
    <w:rsid w:val="52F8D178"/>
    <w:rsid w:val="52FC52EA"/>
    <w:rsid w:val="5311C8D4"/>
    <w:rsid w:val="5312BBAA"/>
    <w:rsid w:val="5315604B"/>
    <w:rsid w:val="532B2899"/>
    <w:rsid w:val="53397122"/>
    <w:rsid w:val="53559665"/>
    <w:rsid w:val="53563458"/>
    <w:rsid w:val="5358AD46"/>
    <w:rsid w:val="536730BE"/>
    <w:rsid w:val="536F908C"/>
    <w:rsid w:val="5377709A"/>
    <w:rsid w:val="53881CCF"/>
    <w:rsid w:val="5389F002"/>
    <w:rsid w:val="538A0AB9"/>
    <w:rsid w:val="53919CEA"/>
    <w:rsid w:val="53A02D68"/>
    <w:rsid w:val="53A4B4D0"/>
    <w:rsid w:val="53B8EF16"/>
    <w:rsid w:val="53CB5E36"/>
    <w:rsid w:val="53CE9E0F"/>
    <w:rsid w:val="53D73F23"/>
    <w:rsid w:val="53E0420A"/>
    <w:rsid w:val="53E131F5"/>
    <w:rsid w:val="53E1AF61"/>
    <w:rsid w:val="53E60E6F"/>
    <w:rsid w:val="53F3AC05"/>
    <w:rsid w:val="53FD675E"/>
    <w:rsid w:val="5403617F"/>
    <w:rsid w:val="5410157B"/>
    <w:rsid w:val="5416C9BC"/>
    <w:rsid w:val="541F9D8F"/>
    <w:rsid w:val="54290E60"/>
    <w:rsid w:val="544BFDEC"/>
    <w:rsid w:val="544FAC1A"/>
    <w:rsid w:val="5459E461"/>
    <w:rsid w:val="545C8253"/>
    <w:rsid w:val="545CBFAF"/>
    <w:rsid w:val="5460274E"/>
    <w:rsid w:val="546B9474"/>
    <w:rsid w:val="546E1BAD"/>
    <w:rsid w:val="54772D8B"/>
    <w:rsid w:val="5497D057"/>
    <w:rsid w:val="54A1646E"/>
    <w:rsid w:val="54A1B459"/>
    <w:rsid w:val="54AA32BB"/>
    <w:rsid w:val="54AD7171"/>
    <w:rsid w:val="54B2AD04"/>
    <w:rsid w:val="54BA46E7"/>
    <w:rsid w:val="54BBA27D"/>
    <w:rsid w:val="54BD999B"/>
    <w:rsid w:val="54BECCEB"/>
    <w:rsid w:val="54BFCF42"/>
    <w:rsid w:val="54C4F92C"/>
    <w:rsid w:val="54C56514"/>
    <w:rsid w:val="54C5840E"/>
    <w:rsid w:val="54C7AB90"/>
    <w:rsid w:val="54DFBCC3"/>
    <w:rsid w:val="54E16355"/>
    <w:rsid w:val="54E70444"/>
    <w:rsid w:val="54F34870"/>
    <w:rsid w:val="54F43BE7"/>
    <w:rsid w:val="54F8B096"/>
    <w:rsid w:val="54FB8521"/>
    <w:rsid w:val="55024A32"/>
    <w:rsid w:val="550D0F85"/>
    <w:rsid w:val="550D864D"/>
    <w:rsid w:val="550DE22C"/>
    <w:rsid w:val="550F45F9"/>
    <w:rsid w:val="55205646"/>
    <w:rsid w:val="55253802"/>
    <w:rsid w:val="5529E33F"/>
    <w:rsid w:val="5529E637"/>
    <w:rsid w:val="552BB224"/>
    <w:rsid w:val="5535028B"/>
    <w:rsid w:val="5539C626"/>
    <w:rsid w:val="553BB697"/>
    <w:rsid w:val="5545BA3A"/>
    <w:rsid w:val="554CD070"/>
    <w:rsid w:val="5550E623"/>
    <w:rsid w:val="55578ACD"/>
    <w:rsid w:val="5557B0E9"/>
    <w:rsid w:val="555860A9"/>
    <w:rsid w:val="55608BA4"/>
    <w:rsid w:val="55696FB7"/>
    <w:rsid w:val="556A4A2F"/>
    <w:rsid w:val="556C9DF0"/>
    <w:rsid w:val="556DDA12"/>
    <w:rsid w:val="557F8D12"/>
    <w:rsid w:val="55875365"/>
    <w:rsid w:val="559C1038"/>
    <w:rsid w:val="559FB9FA"/>
    <w:rsid w:val="559FC829"/>
    <w:rsid w:val="55A385C6"/>
    <w:rsid w:val="55A87468"/>
    <w:rsid w:val="55B1FE82"/>
    <w:rsid w:val="55BB4ED7"/>
    <w:rsid w:val="55C85FB8"/>
    <w:rsid w:val="55DDED76"/>
    <w:rsid w:val="55E37FF7"/>
    <w:rsid w:val="55E9C11A"/>
    <w:rsid w:val="55EB05DC"/>
    <w:rsid w:val="55F3A0CC"/>
    <w:rsid w:val="55F51C25"/>
    <w:rsid w:val="55FD4172"/>
    <w:rsid w:val="56008AA5"/>
    <w:rsid w:val="56056DCF"/>
    <w:rsid w:val="5609A5B9"/>
    <w:rsid w:val="56141BBA"/>
    <w:rsid w:val="561E7529"/>
    <w:rsid w:val="5629A5C7"/>
    <w:rsid w:val="562D44DB"/>
    <w:rsid w:val="56343EA6"/>
    <w:rsid w:val="563EE749"/>
    <w:rsid w:val="5648123C"/>
    <w:rsid w:val="56566305"/>
    <w:rsid w:val="56566CB0"/>
    <w:rsid w:val="5657196E"/>
    <w:rsid w:val="5668617E"/>
    <w:rsid w:val="56739C91"/>
    <w:rsid w:val="56784075"/>
    <w:rsid w:val="56789FFA"/>
    <w:rsid w:val="5685157F"/>
    <w:rsid w:val="568DD40A"/>
    <w:rsid w:val="5694FF18"/>
    <w:rsid w:val="56A13B46"/>
    <w:rsid w:val="56A40200"/>
    <w:rsid w:val="56A4078F"/>
    <w:rsid w:val="56A66348"/>
    <w:rsid w:val="56A6AD76"/>
    <w:rsid w:val="56AB0FFA"/>
    <w:rsid w:val="56B70B60"/>
    <w:rsid w:val="56C56805"/>
    <w:rsid w:val="56D82FFE"/>
    <w:rsid w:val="56DB370E"/>
    <w:rsid w:val="56DC0189"/>
    <w:rsid w:val="56DC5592"/>
    <w:rsid w:val="56E33477"/>
    <w:rsid w:val="56FD2D0C"/>
    <w:rsid w:val="56FE3AD6"/>
    <w:rsid w:val="570AB046"/>
    <w:rsid w:val="570E5E9D"/>
    <w:rsid w:val="57203267"/>
    <w:rsid w:val="572DBC60"/>
    <w:rsid w:val="5735B3D9"/>
    <w:rsid w:val="5739B72C"/>
    <w:rsid w:val="573B5F00"/>
    <w:rsid w:val="573C6E3C"/>
    <w:rsid w:val="573D321B"/>
    <w:rsid w:val="574258D5"/>
    <w:rsid w:val="57433E1B"/>
    <w:rsid w:val="5746B10E"/>
    <w:rsid w:val="57485420"/>
    <w:rsid w:val="574FA3F7"/>
    <w:rsid w:val="57512AE6"/>
    <w:rsid w:val="5753E8FE"/>
    <w:rsid w:val="57555B47"/>
    <w:rsid w:val="57579136"/>
    <w:rsid w:val="575CD1B0"/>
    <w:rsid w:val="5760AF22"/>
    <w:rsid w:val="57613C40"/>
    <w:rsid w:val="577CF085"/>
    <w:rsid w:val="57853FA9"/>
    <w:rsid w:val="5785917B"/>
    <w:rsid w:val="5790429C"/>
    <w:rsid w:val="5793C809"/>
    <w:rsid w:val="57A01169"/>
    <w:rsid w:val="57A3E7BF"/>
    <w:rsid w:val="57B55651"/>
    <w:rsid w:val="57B8B8ED"/>
    <w:rsid w:val="57C03264"/>
    <w:rsid w:val="57CFE53F"/>
    <w:rsid w:val="57E8AF9D"/>
    <w:rsid w:val="57EA79B7"/>
    <w:rsid w:val="57F11666"/>
    <w:rsid w:val="58111793"/>
    <w:rsid w:val="5813FA85"/>
    <w:rsid w:val="581ED84A"/>
    <w:rsid w:val="581F9AF1"/>
    <w:rsid w:val="5827AA9C"/>
    <w:rsid w:val="5830CF79"/>
    <w:rsid w:val="5831C560"/>
    <w:rsid w:val="5832CD8C"/>
    <w:rsid w:val="58340F30"/>
    <w:rsid w:val="5834630C"/>
    <w:rsid w:val="583646DC"/>
    <w:rsid w:val="583D8F0C"/>
    <w:rsid w:val="5841EE51"/>
    <w:rsid w:val="584ECC2B"/>
    <w:rsid w:val="5852FA89"/>
    <w:rsid w:val="58549BE1"/>
    <w:rsid w:val="58624C88"/>
    <w:rsid w:val="586309FD"/>
    <w:rsid w:val="586BB166"/>
    <w:rsid w:val="587A846B"/>
    <w:rsid w:val="587B3323"/>
    <w:rsid w:val="587DB4EA"/>
    <w:rsid w:val="587E24BA"/>
    <w:rsid w:val="5880A981"/>
    <w:rsid w:val="58882CD1"/>
    <w:rsid w:val="58BDE022"/>
    <w:rsid w:val="58C42F9E"/>
    <w:rsid w:val="58C70B78"/>
    <w:rsid w:val="58CC4EFB"/>
    <w:rsid w:val="58DC6CAF"/>
    <w:rsid w:val="58EDEB4C"/>
    <w:rsid w:val="58F25BB7"/>
    <w:rsid w:val="58F3C192"/>
    <w:rsid w:val="58FE8B01"/>
    <w:rsid w:val="58FFAA39"/>
    <w:rsid w:val="5905A620"/>
    <w:rsid w:val="59090D9A"/>
    <w:rsid w:val="591065E7"/>
    <w:rsid w:val="59137197"/>
    <w:rsid w:val="59198D22"/>
    <w:rsid w:val="5929BC70"/>
    <w:rsid w:val="592D2F41"/>
    <w:rsid w:val="592FB55A"/>
    <w:rsid w:val="5934E78E"/>
    <w:rsid w:val="593F85E2"/>
    <w:rsid w:val="5946842A"/>
    <w:rsid w:val="5948D7FB"/>
    <w:rsid w:val="594F649D"/>
    <w:rsid w:val="59518EC9"/>
    <w:rsid w:val="595533C6"/>
    <w:rsid w:val="595AD974"/>
    <w:rsid w:val="5964B408"/>
    <w:rsid w:val="5971378A"/>
    <w:rsid w:val="59761E73"/>
    <w:rsid w:val="59934DE4"/>
    <w:rsid w:val="59A53ACF"/>
    <w:rsid w:val="59BEBBBF"/>
    <w:rsid w:val="59CBA44D"/>
    <w:rsid w:val="59CC9FDA"/>
    <w:rsid w:val="59D55496"/>
    <w:rsid w:val="59DE5FC6"/>
    <w:rsid w:val="59EFC598"/>
    <w:rsid w:val="59F214FC"/>
    <w:rsid w:val="59FE3D66"/>
    <w:rsid w:val="5A0909F7"/>
    <w:rsid w:val="5A115394"/>
    <w:rsid w:val="5A1746EC"/>
    <w:rsid w:val="5A17F7A9"/>
    <w:rsid w:val="5A1C3878"/>
    <w:rsid w:val="5A28FAE2"/>
    <w:rsid w:val="5A2B2543"/>
    <w:rsid w:val="5A2B6DB9"/>
    <w:rsid w:val="5A2EA950"/>
    <w:rsid w:val="5A34BDF1"/>
    <w:rsid w:val="5A3D02C3"/>
    <w:rsid w:val="5A470C94"/>
    <w:rsid w:val="5A4A808F"/>
    <w:rsid w:val="5A529B59"/>
    <w:rsid w:val="5A5978A8"/>
    <w:rsid w:val="5A607459"/>
    <w:rsid w:val="5A62BF25"/>
    <w:rsid w:val="5A749C78"/>
    <w:rsid w:val="5A7C2634"/>
    <w:rsid w:val="5A8107C7"/>
    <w:rsid w:val="5A845CF1"/>
    <w:rsid w:val="5A8E32AC"/>
    <w:rsid w:val="5A976733"/>
    <w:rsid w:val="5A981B3C"/>
    <w:rsid w:val="5A98C469"/>
    <w:rsid w:val="5A9AC6E1"/>
    <w:rsid w:val="5AA35664"/>
    <w:rsid w:val="5AC85B35"/>
    <w:rsid w:val="5ACDA450"/>
    <w:rsid w:val="5ADD24EB"/>
    <w:rsid w:val="5AE11F7E"/>
    <w:rsid w:val="5AE48B83"/>
    <w:rsid w:val="5AE51C24"/>
    <w:rsid w:val="5AE84667"/>
    <w:rsid w:val="5AF10427"/>
    <w:rsid w:val="5B158421"/>
    <w:rsid w:val="5B1B0C94"/>
    <w:rsid w:val="5B1B5B9B"/>
    <w:rsid w:val="5B1F2F2E"/>
    <w:rsid w:val="5B248FA4"/>
    <w:rsid w:val="5B363A7E"/>
    <w:rsid w:val="5B3B92C2"/>
    <w:rsid w:val="5B3DC0D1"/>
    <w:rsid w:val="5B3E8118"/>
    <w:rsid w:val="5B543249"/>
    <w:rsid w:val="5B545E74"/>
    <w:rsid w:val="5B5473CC"/>
    <w:rsid w:val="5B60DD1B"/>
    <w:rsid w:val="5B623136"/>
    <w:rsid w:val="5B66B656"/>
    <w:rsid w:val="5B6F3180"/>
    <w:rsid w:val="5B6F5788"/>
    <w:rsid w:val="5B7ADE1F"/>
    <w:rsid w:val="5B7B256D"/>
    <w:rsid w:val="5B7DBB1C"/>
    <w:rsid w:val="5B80B3B6"/>
    <w:rsid w:val="5B8C0529"/>
    <w:rsid w:val="5B959BE8"/>
    <w:rsid w:val="5BBAA266"/>
    <w:rsid w:val="5BBD8B9A"/>
    <w:rsid w:val="5BCEF645"/>
    <w:rsid w:val="5BD0CC17"/>
    <w:rsid w:val="5BD3B99D"/>
    <w:rsid w:val="5BD9D7BA"/>
    <w:rsid w:val="5BDF78F4"/>
    <w:rsid w:val="5BE733E6"/>
    <w:rsid w:val="5BE8F585"/>
    <w:rsid w:val="5BEABB8F"/>
    <w:rsid w:val="5BED4D1B"/>
    <w:rsid w:val="5BFD78FE"/>
    <w:rsid w:val="5C0557CB"/>
    <w:rsid w:val="5C0EFB7E"/>
    <w:rsid w:val="5C1023ED"/>
    <w:rsid w:val="5C1E69FE"/>
    <w:rsid w:val="5C1E78DF"/>
    <w:rsid w:val="5C209A5E"/>
    <w:rsid w:val="5C21F993"/>
    <w:rsid w:val="5C2B7F4B"/>
    <w:rsid w:val="5C342664"/>
    <w:rsid w:val="5C366A55"/>
    <w:rsid w:val="5C369742"/>
    <w:rsid w:val="5C3DC934"/>
    <w:rsid w:val="5C40642D"/>
    <w:rsid w:val="5C49BA10"/>
    <w:rsid w:val="5C56CCF7"/>
    <w:rsid w:val="5C5991AE"/>
    <w:rsid w:val="5C5E8998"/>
    <w:rsid w:val="5C62497F"/>
    <w:rsid w:val="5C64FB12"/>
    <w:rsid w:val="5C7D3EF7"/>
    <w:rsid w:val="5C8AA169"/>
    <w:rsid w:val="5C8F0EB4"/>
    <w:rsid w:val="5C9C86E6"/>
    <w:rsid w:val="5CA39FFC"/>
    <w:rsid w:val="5CA67372"/>
    <w:rsid w:val="5CA7CD2A"/>
    <w:rsid w:val="5CB11525"/>
    <w:rsid w:val="5CC9AF7C"/>
    <w:rsid w:val="5CD1DA22"/>
    <w:rsid w:val="5CD25F78"/>
    <w:rsid w:val="5CDAF9F4"/>
    <w:rsid w:val="5CDEA11C"/>
    <w:rsid w:val="5CE39BCD"/>
    <w:rsid w:val="5CE71E61"/>
    <w:rsid w:val="5CEF21B9"/>
    <w:rsid w:val="5CF4767E"/>
    <w:rsid w:val="5CFC3F77"/>
    <w:rsid w:val="5D0EA264"/>
    <w:rsid w:val="5D1B1EA0"/>
    <w:rsid w:val="5D2969E9"/>
    <w:rsid w:val="5D2A70BA"/>
    <w:rsid w:val="5D2EF503"/>
    <w:rsid w:val="5D497455"/>
    <w:rsid w:val="5D4DAF38"/>
    <w:rsid w:val="5D4F9CEF"/>
    <w:rsid w:val="5D503728"/>
    <w:rsid w:val="5D519AA2"/>
    <w:rsid w:val="5D59A174"/>
    <w:rsid w:val="5D684A6C"/>
    <w:rsid w:val="5D6D37C1"/>
    <w:rsid w:val="5D8C062B"/>
    <w:rsid w:val="5D917F91"/>
    <w:rsid w:val="5D939A9F"/>
    <w:rsid w:val="5D9A5813"/>
    <w:rsid w:val="5DA8F37D"/>
    <w:rsid w:val="5DB2A40F"/>
    <w:rsid w:val="5DB581B2"/>
    <w:rsid w:val="5DC86EB7"/>
    <w:rsid w:val="5DD0EAD6"/>
    <w:rsid w:val="5DD4E49E"/>
    <w:rsid w:val="5DE61F75"/>
    <w:rsid w:val="5DEEFBB3"/>
    <w:rsid w:val="5DF390A1"/>
    <w:rsid w:val="5DF4260E"/>
    <w:rsid w:val="5DFA5E80"/>
    <w:rsid w:val="5E086ABB"/>
    <w:rsid w:val="5E0BACB7"/>
    <w:rsid w:val="5E153C89"/>
    <w:rsid w:val="5E207EF6"/>
    <w:rsid w:val="5E2B3035"/>
    <w:rsid w:val="5E4828CE"/>
    <w:rsid w:val="5E4BED66"/>
    <w:rsid w:val="5E56587F"/>
    <w:rsid w:val="5E587BB5"/>
    <w:rsid w:val="5E59CAB4"/>
    <w:rsid w:val="5E5E9C18"/>
    <w:rsid w:val="5E665317"/>
    <w:rsid w:val="5E6E5407"/>
    <w:rsid w:val="5E6EDCC9"/>
    <w:rsid w:val="5E7888D9"/>
    <w:rsid w:val="5E7CA4A2"/>
    <w:rsid w:val="5E832861"/>
    <w:rsid w:val="5E84229B"/>
    <w:rsid w:val="5E9E5718"/>
    <w:rsid w:val="5E9FB9A5"/>
    <w:rsid w:val="5E9FF4B0"/>
    <w:rsid w:val="5EB0C865"/>
    <w:rsid w:val="5EBA5F0A"/>
    <w:rsid w:val="5ECC2879"/>
    <w:rsid w:val="5ED7273B"/>
    <w:rsid w:val="5ED9EA71"/>
    <w:rsid w:val="5EE0C138"/>
    <w:rsid w:val="5EE98DB7"/>
    <w:rsid w:val="5EEBF399"/>
    <w:rsid w:val="5EF02950"/>
    <w:rsid w:val="5EF62D42"/>
    <w:rsid w:val="5F0E68A9"/>
    <w:rsid w:val="5F13F5C2"/>
    <w:rsid w:val="5F2BDE4A"/>
    <w:rsid w:val="5F2BE752"/>
    <w:rsid w:val="5F2E84B2"/>
    <w:rsid w:val="5F2F783B"/>
    <w:rsid w:val="5F34C376"/>
    <w:rsid w:val="5F39E34E"/>
    <w:rsid w:val="5F3B1C83"/>
    <w:rsid w:val="5F3E1638"/>
    <w:rsid w:val="5F471631"/>
    <w:rsid w:val="5F47F13A"/>
    <w:rsid w:val="5F48149A"/>
    <w:rsid w:val="5F4AAED2"/>
    <w:rsid w:val="5F4B20A0"/>
    <w:rsid w:val="5F542BFB"/>
    <w:rsid w:val="5F5BE155"/>
    <w:rsid w:val="5F69BF14"/>
    <w:rsid w:val="5F6AC160"/>
    <w:rsid w:val="5F6E3470"/>
    <w:rsid w:val="5F6F4FFC"/>
    <w:rsid w:val="5F7DD995"/>
    <w:rsid w:val="5F8078FB"/>
    <w:rsid w:val="5F8C037A"/>
    <w:rsid w:val="5F8D3D1C"/>
    <w:rsid w:val="5FB3011C"/>
    <w:rsid w:val="5FBAA723"/>
    <w:rsid w:val="5FC2422B"/>
    <w:rsid w:val="5FC3D810"/>
    <w:rsid w:val="5FCFCF7F"/>
    <w:rsid w:val="5FD32275"/>
    <w:rsid w:val="5FDA58F4"/>
    <w:rsid w:val="5FE04623"/>
    <w:rsid w:val="5FE73581"/>
    <w:rsid w:val="5FE7ABF8"/>
    <w:rsid w:val="5FEEEB4D"/>
    <w:rsid w:val="5FF8651C"/>
    <w:rsid w:val="5FF8D5D0"/>
    <w:rsid w:val="6009A635"/>
    <w:rsid w:val="6012206E"/>
    <w:rsid w:val="6017EFA7"/>
    <w:rsid w:val="601AD34A"/>
    <w:rsid w:val="6020C83A"/>
    <w:rsid w:val="6023AEE8"/>
    <w:rsid w:val="604BBA2D"/>
    <w:rsid w:val="607A858D"/>
    <w:rsid w:val="607E4F93"/>
    <w:rsid w:val="607E8374"/>
    <w:rsid w:val="608BF9B1"/>
    <w:rsid w:val="608D8BF7"/>
    <w:rsid w:val="60965DCA"/>
    <w:rsid w:val="609A9902"/>
    <w:rsid w:val="60A26768"/>
    <w:rsid w:val="60ACB14D"/>
    <w:rsid w:val="60ADC83A"/>
    <w:rsid w:val="60AF279A"/>
    <w:rsid w:val="60B529C1"/>
    <w:rsid w:val="60B8F05C"/>
    <w:rsid w:val="60CB44EC"/>
    <w:rsid w:val="60D07E68"/>
    <w:rsid w:val="60D7759C"/>
    <w:rsid w:val="60DB1371"/>
    <w:rsid w:val="60DEF023"/>
    <w:rsid w:val="60EAF2BF"/>
    <w:rsid w:val="60EAF957"/>
    <w:rsid w:val="60EC593C"/>
    <w:rsid w:val="60F54E43"/>
    <w:rsid w:val="60FB5F03"/>
    <w:rsid w:val="60FB668C"/>
    <w:rsid w:val="60FBC2B7"/>
    <w:rsid w:val="6103A4CF"/>
    <w:rsid w:val="610C8560"/>
    <w:rsid w:val="6110AF8B"/>
    <w:rsid w:val="6114B74D"/>
    <w:rsid w:val="6114C312"/>
    <w:rsid w:val="61164BDA"/>
    <w:rsid w:val="611E3AA6"/>
    <w:rsid w:val="611EDA19"/>
    <w:rsid w:val="613F19D5"/>
    <w:rsid w:val="614425F4"/>
    <w:rsid w:val="61569D90"/>
    <w:rsid w:val="61594739"/>
    <w:rsid w:val="61662FA0"/>
    <w:rsid w:val="616EE1A2"/>
    <w:rsid w:val="6170DEB2"/>
    <w:rsid w:val="617AA516"/>
    <w:rsid w:val="617AB483"/>
    <w:rsid w:val="617FF8BA"/>
    <w:rsid w:val="618919EF"/>
    <w:rsid w:val="618F0B3A"/>
    <w:rsid w:val="61B24E0B"/>
    <w:rsid w:val="61B71172"/>
    <w:rsid w:val="61BD4B77"/>
    <w:rsid w:val="61BD6E86"/>
    <w:rsid w:val="61CEFA64"/>
    <w:rsid w:val="61DBA041"/>
    <w:rsid w:val="61E38E62"/>
    <w:rsid w:val="61EE8FC3"/>
    <w:rsid w:val="61F2BC03"/>
    <w:rsid w:val="61F72ACC"/>
    <w:rsid w:val="61FFD828"/>
    <w:rsid w:val="62081AAC"/>
    <w:rsid w:val="6211BDAC"/>
    <w:rsid w:val="6214176F"/>
    <w:rsid w:val="62255620"/>
    <w:rsid w:val="6226C279"/>
    <w:rsid w:val="622AF596"/>
    <w:rsid w:val="622B8AA1"/>
    <w:rsid w:val="622FF1EE"/>
    <w:rsid w:val="6234E257"/>
    <w:rsid w:val="623EC1FE"/>
    <w:rsid w:val="62537169"/>
    <w:rsid w:val="625A4FD5"/>
    <w:rsid w:val="626C6D0F"/>
    <w:rsid w:val="627D6E72"/>
    <w:rsid w:val="62802CF8"/>
    <w:rsid w:val="6286F770"/>
    <w:rsid w:val="6289AA9D"/>
    <w:rsid w:val="628C42E1"/>
    <w:rsid w:val="6291C8AD"/>
    <w:rsid w:val="62954882"/>
    <w:rsid w:val="629FD337"/>
    <w:rsid w:val="62A1AD6E"/>
    <w:rsid w:val="62A8354B"/>
    <w:rsid w:val="62AB556E"/>
    <w:rsid w:val="62BB0E61"/>
    <w:rsid w:val="62C4FB2B"/>
    <w:rsid w:val="62D51336"/>
    <w:rsid w:val="62D8E800"/>
    <w:rsid w:val="62DA37BA"/>
    <w:rsid w:val="62E7E3DB"/>
    <w:rsid w:val="62F040CA"/>
    <w:rsid w:val="62F2C9AE"/>
    <w:rsid w:val="62F48C90"/>
    <w:rsid w:val="62F5A7D9"/>
    <w:rsid w:val="62F605D0"/>
    <w:rsid w:val="62F82E50"/>
    <w:rsid w:val="62F87DF7"/>
    <w:rsid w:val="62F8BD06"/>
    <w:rsid w:val="630044D9"/>
    <w:rsid w:val="630AB203"/>
    <w:rsid w:val="631052FD"/>
    <w:rsid w:val="63162179"/>
    <w:rsid w:val="632D3BD7"/>
    <w:rsid w:val="6334BA43"/>
    <w:rsid w:val="63378FC3"/>
    <w:rsid w:val="633C9E2D"/>
    <w:rsid w:val="63484979"/>
    <w:rsid w:val="634DBE7A"/>
    <w:rsid w:val="6350E075"/>
    <w:rsid w:val="636C3D55"/>
    <w:rsid w:val="636CE3B3"/>
    <w:rsid w:val="637730D1"/>
    <w:rsid w:val="637A8613"/>
    <w:rsid w:val="637EE6C9"/>
    <w:rsid w:val="6386A27D"/>
    <w:rsid w:val="63877938"/>
    <w:rsid w:val="6387B385"/>
    <w:rsid w:val="6389D6A2"/>
    <w:rsid w:val="638DAB39"/>
    <w:rsid w:val="63973EA5"/>
    <w:rsid w:val="6399AED4"/>
    <w:rsid w:val="63A272E4"/>
    <w:rsid w:val="63A9B96A"/>
    <w:rsid w:val="63B5D11F"/>
    <w:rsid w:val="63B9BD4A"/>
    <w:rsid w:val="63BF333F"/>
    <w:rsid w:val="63DCB35E"/>
    <w:rsid w:val="63E681F4"/>
    <w:rsid w:val="63EBAA32"/>
    <w:rsid w:val="63EBE526"/>
    <w:rsid w:val="63EF4FA6"/>
    <w:rsid w:val="63FD88C9"/>
    <w:rsid w:val="6405E7B9"/>
    <w:rsid w:val="6418597D"/>
    <w:rsid w:val="641B680D"/>
    <w:rsid w:val="642E64D0"/>
    <w:rsid w:val="64320A6A"/>
    <w:rsid w:val="6432FCCC"/>
    <w:rsid w:val="64379A16"/>
    <w:rsid w:val="6438225B"/>
    <w:rsid w:val="64469FD0"/>
    <w:rsid w:val="645A3081"/>
    <w:rsid w:val="646097A6"/>
    <w:rsid w:val="6462987C"/>
    <w:rsid w:val="6462D225"/>
    <w:rsid w:val="6463B575"/>
    <w:rsid w:val="646AB0CD"/>
    <w:rsid w:val="6489E41A"/>
    <w:rsid w:val="648BCB42"/>
    <w:rsid w:val="648FC07A"/>
    <w:rsid w:val="6492A85E"/>
    <w:rsid w:val="64A012B5"/>
    <w:rsid w:val="64A99220"/>
    <w:rsid w:val="64AD637C"/>
    <w:rsid w:val="64B341F7"/>
    <w:rsid w:val="64B36B70"/>
    <w:rsid w:val="64B797BC"/>
    <w:rsid w:val="64BACBEF"/>
    <w:rsid w:val="64BB2432"/>
    <w:rsid w:val="64C4AE71"/>
    <w:rsid w:val="64C5D593"/>
    <w:rsid w:val="64C89C0C"/>
    <w:rsid w:val="64CD05F1"/>
    <w:rsid w:val="64D08AA4"/>
    <w:rsid w:val="64D1BE3B"/>
    <w:rsid w:val="64E487F1"/>
    <w:rsid w:val="64EDD0AF"/>
    <w:rsid w:val="64F0E6FC"/>
    <w:rsid w:val="650691EB"/>
    <w:rsid w:val="65122B6B"/>
    <w:rsid w:val="651576D2"/>
    <w:rsid w:val="6519C732"/>
    <w:rsid w:val="651C8DD8"/>
    <w:rsid w:val="6521C065"/>
    <w:rsid w:val="65232520"/>
    <w:rsid w:val="652ABF7D"/>
    <w:rsid w:val="65357F35"/>
    <w:rsid w:val="653C4863"/>
    <w:rsid w:val="653E7C17"/>
    <w:rsid w:val="65519653"/>
    <w:rsid w:val="655839F1"/>
    <w:rsid w:val="655BCC3B"/>
    <w:rsid w:val="655CF6E2"/>
    <w:rsid w:val="655F2572"/>
    <w:rsid w:val="656BFC70"/>
    <w:rsid w:val="6570C6CB"/>
    <w:rsid w:val="6575BEE4"/>
    <w:rsid w:val="657D9BCA"/>
    <w:rsid w:val="6580E483"/>
    <w:rsid w:val="6582CCAE"/>
    <w:rsid w:val="65966DE3"/>
    <w:rsid w:val="6597D204"/>
    <w:rsid w:val="65A07DE5"/>
    <w:rsid w:val="65A15E45"/>
    <w:rsid w:val="65AB2DE7"/>
    <w:rsid w:val="65B45798"/>
    <w:rsid w:val="65BB68AE"/>
    <w:rsid w:val="65BE9832"/>
    <w:rsid w:val="65C05FB1"/>
    <w:rsid w:val="65C17E65"/>
    <w:rsid w:val="65C42968"/>
    <w:rsid w:val="65C9C0F4"/>
    <w:rsid w:val="65D779EE"/>
    <w:rsid w:val="65D99D26"/>
    <w:rsid w:val="65D9CDBC"/>
    <w:rsid w:val="65DC2AAC"/>
    <w:rsid w:val="65E7EA7E"/>
    <w:rsid w:val="65E9BF13"/>
    <w:rsid w:val="65EC34BC"/>
    <w:rsid w:val="65EFC53F"/>
    <w:rsid w:val="65F1B23A"/>
    <w:rsid w:val="65F43107"/>
    <w:rsid w:val="65F57B3A"/>
    <w:rsid w:val="66101C87"/>
    <w:rsid w:val="6612CE6C"/>
    <w:rsid w:val="6613C1F8"/>
    <w:rsid w:val="66279902"/>
    <w:rsid w:val="662D84FC"/>
    <w:rsid w:val="6640B2BB"/>
    <w:rsid w:val="66797534"/>
    <w:rsid w:val="667CDBA2"/>
    <w:rsid w:val="6689FBE3"/>
    <w:rsid w:val="668E9C2D"/>
    <w:rsid w:val="66958A03"/>
    <w:rsid w:val="66960B1B"/>
    <w:rsid w:val="669EA15D"/>
    <w:rsid w:val="66A462B6"/>
    <w:rsid w:val="66A8D889"/>
    <w:rsid w:val="66AEE85E"/>
    <w:rsid w:val="66AF6F9E"/>
    <w:rsid w:val="66C7865E"/>
    <w:rsid w:val="66DAD510"/>
    <w:rsid w:val="66E0F8AD"/>
    <w:rsid w:val="66E84B22"/>
    <w:rsid w:val="66EDE78E"/>
    <w:rsid w:val="66EFD420"/>
    <w:rsid w:val="66F4479F"/>
    <w:rsid w:val="66F74DBC"/>
    <w:rsid w:val="67062B71"/>
    <w:rsid w:val="670B8E8A"/>
    <w:rsid w:val="670DBA2F"/>
    <w:rsid w:val="67152CEA"/>
    <w:rsid w:val="6715D3AC"/>
    <w:rsid w:val="67173148"/>
    <w:rsid w:val="67234AF4"/>
    <w:rsid w:val="67290397"/>
    <w:rsid w:val="672F9FDB"/>
    <w:rsid w:val="6738EEC1"/>
    <w:rsid w:val="673AE73E"/>
    <w:rsid w:val="67625619"/>
    <w:rsid w:val="6764F991"/>
    <w:rsid w:val="676DCEFF"/>
    <w:rsid w:val="677581AB"/>
    <w:rsid w:val="6777A6C5"/>
    <w:rsid w:val="677DC672"/>
    <w:rsid w:val="67816883"/>
    <w:rsid w:val="6794D8E1"/>
    <w:rsid w:val="6795644A"/>
    <w:rsid w:val="67A00A8D"/>
    <w:rsid w:val="67A1728E"/>
    <w:rsid w:val="67A7232E"/>
    <w:rsid w:val="67A97919"/>
    <w:rsid w:val="67B8C6B4"/>
    <w:rsid w:val="67BE3A0E"/>
    <w:rsid w:val="67CA33D3"/>
    <w:rsid w:val="67D98F0E"/>
    <w:rsid w:val="67DDFDA7"/>
    <w:rsid w:val="67F26A9D"/>
    <w:rsid w:val="67F6FF05"/>
    <w:rsid w:val="67F93498"/>
    <w:rsid w:val="67FAC2BC"/>
    <w:rsid w:val="680E8C67"/>
    <w:rsid w:val="6818B499"/>
    <w:rsid w:val="681DD2A4"/>
    <w:rsid w:val="6835C5CE"/>
    <w:rsid w:val="68412E31"/>
    <w:rsid w:val="6854EE79"/>
    <w:rsid w:val="6855D1D6"/>
    <w:rsid w:val="685DC130"/>
    <w:rsid w:val="686AB942"/>
    <w:rsid w:val="686BD8CF"/>
    <w:rsid w:val="68740E41"/>
    <w:rsid w:val="688C98C5"/>
    <w:rsid w:val="68BA6D70"/>
    <w:rsid w:val="68BF2227"/>
    <w:rsid w:val="68CB32E3"/>
    <w:rsid w:val="68CD56B5"/>
    <w:rsid w:val="68DEA116"/>
    <w:rsid w:val="68E2380A"/>
    <w:rsid w:val="68E54BE8"/>
    <w:rsid w:val="68FBEE59"/>
    <w:rsid w:val="6905147D"/>
    <w:rsid w:val="691661DA"/>
    <w:rsid w:val="6920E6A6"/>
    <w:rsid w:val="692B9476"/>
    <w:rsid w:val="692F3E45"/>
    <w:rsid w:val="6936416D"/>
    <w:rsid w:val="693E6899"/>
    <w:rsid w:val="6941E4D8"/>
    <w:rsid w:val="694E1704"/>
    <w:rsid w:val="69602644"/>
    <w:rsid w:val="696FC985"/>
    <w:rsid w:val="6971C6BE"/>
    <w:rsid w:val="697248CC"/>
    <w:rsid w:val="6975ED1E"/>
    <w:rsid w:val="697B624B"/>
    <w:rsid w:val="697E92D4"/>
    <w:rsid w:val="6984D054"/>
    <w:rsid w:val="6984F4D3"/>
    <w:rsid w:val="698975A1"/>
    <w:rsid w:val="698A898C"/>
    <w:rsid w:val="69AD14A6"/>
    <w:rsid w:val="69BA5514"/>
    <w:rsid w:val="69CDE26A"/>
    <w:rsid w:val="69CDE4AB"/>
    <w:rsid w:val="69D2048A"/>
    <w:rsid w:val="69E3CD12"/>
    <w:rsid w:val="69F0796C"/>
    <w:rsid w:val="69F58CC3"/>
    <w:rsid w:val="69F7302B"/>
    <w:rsid w:val="69F877BA"/>
    <w:rsid w:val="6A00EE5B"/>
    <w:rsid w:val="6A044E78"/>
    <w:rsid w:val="6A087030"/>
    <w:rsid w:val="6A0943A3"/>
    <w:rsid w:val="6A15D84E"/>
    <w:rsid w:val="6A1DAF1A"/>
    <w:rsid w:val="6A25B703"/>
    <w:rsid w:val="6A292069"/>
    <w:rsid w:val="6A2AF6C7"/>
    <w:rsid w:val="6A2BD94B"/>
    <w:rsid w:val="6A31D45E"/>
    <w:rsid w:val="6A33A32D"/>
    <w:rsid w:val="6A33FB7A"/>
    <w:rsid w:val="6A360D7D"/>
    <w:rsid w:val="6A3A1703"/>
    <w:rsid w:val="6A3F4EAD"/>
    <w:rsid w:val="6A40BE61"/>
    <w:rsid w:val="6A42501A"/>
    <w:rsid w:val="6A455AF1"/>
    <w:rsid w:val="6A4594F4"/>
    <w:rsid w:val="6A46C7F3"/>
    <w:rsid w:val="6A4C6B48"/>
    <w:rsid w:val="6A4D0FF4"/>
    <w:rsid w:val="6A4EC548"/>
    <w:rsid w:val="6A5C018B"/>
    <w:rsid w:val="6A70F8E5"/>
    <w:rsid w:val="6A87C8BB"/>
    <w:rsid w:val="6A907EDA"/>
    <w:rsid w:val="6A970480"/>
    <w:rsid w:val="6A97F5C4"/>
    <w:rsid w:val="6A9A45A7"/>
    <w:rsid w:val="6A9EB4C6"/>
    <w:rsid w:val="6AAFEE36"/>
    <w:rsid w:val="6AB2090A"/>
    <w:rsid w:val="6AB54987"/>
    <w:rsid w:val="6AC60613"/>
    <w:rsid w:val="6AC74064"/>
    <w:rsid w:val="6AD83A6C"/>
    <w:rsid w:val="6ADE68AF"/>
    <w:rsid w:val="6AE2EF3B"/>
    <w:rsid w:val="6AF2D23E"/>
    <w:rsid w:val="6AFB5B5B"/>
    <w:rsid w:val="6B13E863"/>
    <w:rsid w:val="6B19F698"/>
    <w:rsid w:val="6B281BC8"/>
    <w:rsid w:val="6B2EB7EE"/>
    <w:rsid w:val="6B3949DB"/>
    <w:rsid w:val="6B44170F"/>
    <w:rsid w:val="6B581832"/>
    <w:rsid w:val="6B58430B"/>
    <w:rsid w:val="6B5BA377"/>
    <w:rsid w:val="6B5C46CB"/>
    <w:rsid w:val="6B66520C"/>
    <w:rsid w:val="6B6DD35E"/>
    <w:rsid w:val="6B72E5BE"/>
    <w:rsid w:val="6B77109E"/>
    <w:rsid w:val="6B806483"/>
    <w:rsid w:val="6B883A8B"/>
    <w:rsid w:val="6B895709"/>
    <w:rsid w:val="6B9BC521"/>
    <w:rsid w:val="6B9D7B7D"/>
    <w:rsid w:val="6BB97490"/>
    <w:rsid w:val="6BCBBA71"/>
    <w:rsid w:val="6BCD9DCF"/>
    <w:rsid w:val="6BD98145"/>
    <w:rsid w:val="6BDECB2D"/>
    <w:rsid w:val="6BE47EC2"/>
    <w:rsid w:val="6BEBF465"/>
    <w:rsid w:val="6BED13AA"/>
    <w:rsid w:val="6BF963B2"/>
    <w:rsid w:val="6C036D4F"/>
    <w:rsid w:val="6C109839"/>
    <w:rsid w:val="6C115139"/>
    <w:rsid w:val="6C12F2C3"/>
    <w:rsid w:val="6C140314"/>
    <w:rsid w:val="6C15F3B2"/>
    <w:rsid w:val="6C1B48F1"/>
    <w:rsid w:val="6C1F1154"/>
    <w:rsid w:val="6C2AE377"/>
    <w:rsid w:val="6C3AFA54"/>
    <w:rsid w:val="6C4B8B4B"/>
    <w:rsid w:val="6C5237B4"/>
    <w:rsid w:val="6C58BFCF"/>
    <w:rsid w:val="6C5EB77B"/>
    <w:rsid w:val="6C5F3053"/>
    <w:rsid w:val="6C5F9D90"/>
    <w:rsid w:val="6C61D945"/>
    <w:rsid w:val="6C68F3B8"/>
    <w:rsid w:val="6C6DE40A"/>
    <w:rsid w:val="6C760068"/>
    <w:rsid w:val="6C789BF2"/>
    <w:rsid w:val="6C7E3097"/>
    <w:rsid w:val="6C88125C"/>
    <w:rsid w:val="6C9104D8"/>
    <w:rsid w:val="6CA051CF"/>
    <w:rsid w:val="6CA13B1C"/>
    <w:rsid w:val="6CA7CAD2"/>
    <w:rsid w:val="6CAA1915"/>
    <w:rsid w:val="6CAEAB52"/>
    <w:rsid w:val="6CBAA79D"/>
    <w:rsid w:val="6CBD421E"/>
    <w:rsid w:val="6CC0FE7B"/>
    <w:rsid w:val="6CC1FBB9"/>
    <w:rsid w:val="6CC3246E"/>
    <w:rsid w:val="6CCA8BDB"/>
    <w:rsid w:val="6CCB16A5"/>
    <w:rsid w:val="6CCCB459"/>
    <w:rsid w:val="6CD209B6"/>
    <w:rsid w:val="6CD344B4"/>
    <w:rsid w:val="6CD45EDD"/>
    <w:rsid w:val="6CDBD758"/>
    <w:rsid w:val="6CE67F51"/>
    <w:rsid w:val="6CF1B717"/>
    <w:rsid w:val="6CF5B8F2"/>
    <w:rsid w:val="6CF672AF"/>
    <w:rsid w:val="6CF72D8B"/>
    <w:rsid w:val="6CF9E35C"/>
    <w:rsid w:val="6D011782"/>
    <w:rsid w:val="6D12AF4E"/>
    <w:rsid w:val="6D147B0D"/>
    <w:rsid w:val="6D169B60"/>
    <w:rsid w:val="6D1F95CA"/>
    <w:rsid w:val="6D24ADF3"/>
    <w:rsid w:val="6D24CD62"/>
    <w:rsid w:val="6D3440F7"/>
    <w:rsid w:val="6D35C532"/>
    <w:rsid w:val="6D368513"/>
    <w:rsid w:val="6D3E22F5"/>
    <w:rsid w:val="6D41E17F"/>
    <w:rsid w:val="6D469A85"/>
    <w:rsid w:val="6D54807C"/>
    <w:rsid w:val="6D5544F1"/>
    <w:rsid w:val="6D5DC4AE"/>
    <w:rsid w:val="6D6B0477"/>
    <w:rsid w:val="6D6DAE3F"/>
    <w:rsid w:val="6D742CAE"/>
    <w:rsid w:val="6D79BF2C"/>
    <w:rsid w:val="6D7D037A"/>
    <w:rsid w:val="6D7D1783"/>
    <w:rsid w:val="6D81790F"/>
    <w:rsid w:val="6D820A3A"/>
    <w:rsid w:val="6D851530"/>
    <w:rsid w:val="6D89AED9"/>
    <w:rsid w:val="6D8ABE89"/>
    <w:rsid w:val="6D962410"/>
    <w:rsid w:val="6D964A78"/>
    <w:rsid w:val="6DA15029"/>
    <w:rsid w:val="6DA46EE2"/>
    <w:rsid w:val="6DAAA398"/>
    <w:rsid w:val="6DB16D78"/>
    <w:rsid w:val="6DB40303"/>
    <w:rsid w:val="6DCB6C95"/>
    <w:rsid w:val="6DD05245"/>
    <w:rsid w:val="6DD30E8E"/>
    <w:rsid w:val="6DE4BA0C"/>
    <w:rsid w:val="6DE92C04"/>
    <w:rsid w:val="6DF97DCF"/>
    <w:rsid w:val="6DFCFF92"/>
    <w:rsid w:val="6DFDD02E"/>
    <w:rsid w:val="6E0F1D40"/>
    <w:rsid w:val="6E146C53"/>
    <w:rsid w:val="6E1AC94B"/>
    <w:rsid w:val="6E203D35"/>
    <w:rsid w:val="6E2B8A4B"/>
    <w:rsid w:val="6E3AB53C"/>
    <w:rsid w:val="6E3AD289"/>
    <w:rsid w:val="6E42203B"/>
    <w:rsid w:val="6E4D62A5"/>
    <w:rsid w:val="6E6216A7"/>
    <w:rsid w:val="6E694C8E"/>
    <w:rsid w:val="6E6A6E37"/>
    <w:rsid w:val="6E6E75DE"/>
    <w:rsid w:val="6E72246F"/>
    <w:rsid w:val="6E73BE0E"/>
    <w:rsid w:val="6E7AADF7"/>
    <w:rsid w:val="6E89BB76"/>
    <w:rsid w:val="6E954172"/>
    <w:rsid w:val="6E980A4B"/>
    <w:rsid w:val="6EB30E99"/>
    <w:rsid w:val="6EBD1E98"/>
    <w:rsid w:val="6EBFE0F1"/>
    <w:rsid w:val="6EC7B02A"/>
    <w:rsid w:val="6ECFBA2B"/>
    <w:rsid w:val="6ED40E7B"/>
    <w:rsid w:val="6EDFDD2A"/>
    <w:rsid w:val="6EE748F8"/>
    <w:rsid w:val="6EEB4D7E"/>
    <w:rsid w:val="6EEC0C8F"/>
    <w:rsid w:val="6EF18E4C"/>
    <w:rsid w:val="6EF28A6B"/>
    <w:rsid w:val="6EFD819C"/>
    <w:rsid w:val="6F031905"/>
    <w:rsid w:val="6F082046"/>
    <w:rsid w:val="6F0A1F31"/>
    <w:rsid w:val="6F1052A6"/>
    <w:rsid w:val="6F11C551"/>
    <w:rsid w:val="6F199D8C"/>
    <w:rsid w:val="6F1C012F"/>
    <w:rsid w:val="6F1D1CAD"/>
    <w:rsid w:val="6F1E5975"/>
    <w:rsid w:val="6F20E591"/>
    <w:rsid w:val="6F23183B"/>
    <w:rsid w:val="6F3346F1"/>
    <w:rsid w:val="6F3F04DE"/>
    <w:rsid w:val="6F45D15F"/>
    <w:rsid w:val="6F4A060D"/>
    <w:rsid w:val="6F62F228"/>
    <w:rsid w:val="6F726489"/>
    <w:rsid w:val="6F767850"/>
    <w:rsid w:val="6F7D704B"/>
    <w:rsid w:val="6F7FC972"/>
    <w:rsid w:val="6F808A6D"/>
    <w:rsid w:val="6F9487A7"/>
    <w:rsid w:val="6F9B8543"/>
    <w:rsid w:val="6FAA5F3C"/>
    <w:rsid w:val="6FAB6322"/>
    <w:rsid w:val="6FB5F963"/>
    <w:rsid w:val="6FBDD27D"/>
    <w:rsid w:val="6FBF0DE8"/>
    <w:rsid w:val="6FC58E68"/>
    <w:rsid w:val="6FC7098F"/>
    <w:rsid w:val="6FC75AAC"/>
    <w:rsid w:val="6FE93306"/>
    <w:rsid w:val="6FF0C1C1"/>
    <w:rsid w:val="6FF4F6BD"/>
    <w:rsid w:val="6FF66E3A"/>
    <w:rsid w:val="6FF7B8A0"/>
    <w:rsid w:val="6FF8E878"/>
    <w:rsid w:val="6FFE8C1B"/>
    <w:rsid w:val="700568FC"/>
    <w:rsid w:val="700CBAFE"/>
    <w:rsid w:val="700E6F6C"/>
    <w:rsid w:val="7021B89B"/>
    <w:rsid w:val="7021D716"/>
    <w:rsid w:val="702453C8"/>
    <w:rsid w:val="70285C47"/>
    <w:rsid w:val="7037BAB8"/>
    <w:rsid w:val="703B9735"/>
    <w:rsid w:val="704CAE41"/>
    <w:rsid w:val="705A0B07"/>
    <w:rsid w:val="70740343"/>
    <w:rsid w:val="707836A9"/>
    <w:rsid w:val="7080CB49"/>
    <w:rsid w:val="708C26A4"/>
    <w:rsid w:val="70904837"/>
    <w:rsid w:val="7090E09E"/>
    <w:rsid w:val="70923EC6"/>
    <w:rsid w:val="70928A8D"/>
    <w:rsid w:val="7094F5DE"/>
    <w:rsid w:val="7096C60D"/>
    <w:rsid w:val="70AC105E"/>
    <w:rsid w:val="70AC2307"/>
    <w:rsid w:val="70C12290"/>
    <w:rsid w:val="70C4836C"/>
    <w:rsid w:val="70C4A808"/>
    <w:rsid w:val="70CFE5DD"/>
    <w:rsid w:val="70D58298"/>
    <w:rsid w:val="70D7D363"/>
    <w:rsid w:val="70DDEAEA"/>
    <w:rsid w:val="70E112BF"/>
    <w:rsid w:val="70ED766B"/>
    <w:rsid w:val="70EEBA14"/>
    <w:rsid w:val="70FEF6B2"/>
    <w:rsid w:val="71074F3F"/>
    <w:rsid w:val="7108B8F6"/>
    <w:rsid w:val="710C9458"/>
    <w:rsid w:val="71119A20"/>
    <w:rsid w:val="71184C8E"/>
    <w:rsid w:val="71312ADC"/>
    <w:rsid w:val="71394008"/>
    <w:rsid w:val="713DB544"/>
    <w:rsid w:val="7140F8E2"/>
    <w:rsid w:val="7149D68F"/>
    <w:rsid w:val="7158A052"/>
    <w:rsid w:val="71604845"/>
    <w:rsid w:val="71632B0D"/>
    <w:rsid w:val="71720E32"/>
    <w:rsid w:val="717B4261"/>
    <w:rsid w:val="717FD408"/>
    <w:rsid w:val="71A236C9"/>
    <w:rsid w:val="71ADB1A2"/>
    <w:rsid w:val="71B3F42B"/>
    <w:rsid w:val="71B4890D"/>
    <w:rsid w:val="71BCE2CC"/>
    <w:rsid w:val="71BD00E6"/>
    <w:rsid w:val="71C15237"/>
    <w:rsid w:val="71CCD4F7"/>
    <w:rsid w:val="71D45ED7"/>
    <w:rsid w:val="71D7347B"/>
    <w:rsid w:val="71D906A3"/>
    <w:rsid w:val="71E5862C"/>
    <w:rsid w:val="71E934F0"/>
    <w:rsid w:val="71FA440F"/>
    <w:rsid w:val="71FABD83"/>
    <w:rsid w:val="720AB911"/>
    <w:rsid w:val="720F3504"/>
    <w:rsid w:val="7213EF22"/>
    <w:rsid w:val="721642A5"/>
    <w:rsid w:val="722E8385"/>
    <w:rsid w:val="723E61D7"/>
    <w:rsid w:val="723EE92A"/>
    <w:rsid w:val="7240C7BD"/>
    <w:rsid w:val="7247F368"/>
    <w:rsid w:val="725265B0"/>
    <w:rsid w:val="725E5A7F"/>
    <w:rsid w:val="725FDED9"/>
    <w:rsid w:val="726A180C"/>
    <w:rsid w:val="726BB63E"/>
    <w:rsid w:val="726EBF7A"/>
    <w:rsid w:val="7273A3C4"/>
    <w:rsid w:val="7276A5A0"/>
    <w:rsid w:val="728C9D84"/>
    <w:rsid w:val="729502D8"/>
    <w:rsid w:val="72953195"/>
    <w:rsid w:val="7297D7C7"/>
    <w:rsid w:val="7299B984"/>
    <w:rsid w:val="729B9832"/>
    <w:rsid w:val="729D5F8D"/>
    <w:rsid w:val="72A2CFEA"/>
    <w:rsid w:val="72B7BA88"/>
    <w:rsid w:val="72BB45C7"/>
    <w:rsid w:val="72CB07DA"/>
    <w:rsid w:val="72D25249"/>
    <w:rsid w:val="72DCA346"/>
    <w:rsid w:val="72E04964"/>
    <w:rsid w:val="72E07382"/>
    <w:rsid w:val="72E1D7BD"/>
    <w:rsid w:val="72E63CC1"/>
    <w:rsid w:val="72EAE815"/>
    <w:rsid w:val="72F86106"/>
    <w:rsid w:val="730816A6"/>
    <w:rsid w:val="7315831C"/>
    <w:rsid w:val="731FEFE2"/>
    <w:rsid w:val="73246592"/>
    <w:rsid w:val="732EE3F8"/>
    <w:rsid w:val="732F0B9C"/>
    <w:rsid w:val="7335A377"/>
    <w:rsid w:val="733697A4"/>
    <w:rsid w:val="733E0947"/>
    <w:rsid w:val="73463930"/>
    <w:rsid w:val="734B6484"/>
    <w:rsid w:val="734C59BA"/>
    <w:rsid w:val="734D18E1"/>
    <w:rsid w:val="734F42A5"/>
    <w:rsid w:val="7358B32D"/>
    <w:rsid w:val="736587B0"/>
    <w:rsid w:val="736924E0"/>
    <w:rsid w:val="736E9783"/>
    <w:rsid w:val="73715D5F"/>
    <w:rsid w:val="737D1F39"/>
    <w:rsid w:val="7387089F"/>
    <w:rsid w:val="73880D9F"/>
    <w:rsid w:val="7388E897"/>
    <w:rsid w:val="738EAE1C"/>
    <w:rsid w:val="738EEDDC"/>
    <w:rsid w:val="73949A82"/>
    <w:rsid w:val="739F22EC"/>
    <w:rsid w:val="73A34F0A"/>
    <w:rsid w:val="73A36C29"/>
    <w:rsid w:val="73A447F8"/>
    <w:rsid w:val="73CC2E79"/>
    <w:rsid w:val="73D326E0"/>
    <w:rsid w:val="73EC4A86"/>
    <w:rsid w:val="73F1CA98"/>
    <w:rsid w:val="74015309"/>
    <w:rsid w:val="74040F7B"/>
    <w:rsid w:val="740AB389"/>
    <w:rsid w:val="740DBF19"/>
    <w:rsid w:val="741ACBE0"/>
    <w:rsid w:val="741EF656"/>
    <w:rsid w:val="7420AEFC"/>
    <w:rsid w:val="74264A21"/>
    <w:rsid w:val="7427B0C4"/>
    <w:rsid w:val="7428343D"/>
    <w:rsid w:val="742B020C"/>
    <w:rsid w:val="742C1A4A"/>
    <w:rsid w:val="74432DD7"/>
    <w:rsid w:val="74449D45"/>
    <w:rsid w:val="745037C0"/>
    <w:rsid w:val="7457ECCE"/>
    <w:rsid w:val="7461A2B1"/>
    <w:rsid w:val="74635A9A"/>
    <w:rsid w:val="7476C4BF"/>
    <w:rsid w:val="747AC465"/>
    <w:rsid w:val="7498FF8B"/>
    <w:rsid w:val="749F1510"/>
    <w:rsid w:val="74A0AFB3"/>
    <w:rsid w:val="74AAF57C"/>
    <w:rsid w:val="74B280C0"/>
    <w:rsid w:val="74B67D5F"/>
    <w:rsid w:val="74B9E86B"/>
    <w:rsid w:val="74C50769"/>
    <w:rsid w:val="74CA1B96"/>
    <w:rsid w:val="74CC8B77"/>
    <w:rsid w:val="74D3559A"/>
    <w:rsid w:val="74D786BC"/>
    <w:rsid w:val="74D89E55"/>
    <w:rsid w:val="74DAC935"/>
    <w:rsid w:val="74DAEEC1"/>
    <w:rsid w:val="74DD5966"/>
    <w:rsid w:val="74EE9BF4"/>
    <w:rsid w:val="74F02AE0"/>
    <w:rsid w:val="74F3C768"/>
    <w:rsid w:val="74F8F2F9"/>
    <w:rsid w:val="75072AFD"/>
    <w:rsid w:val="750F299F"/>
    <w:rsid w:val="7513CF36"/>
    <w:rsid w:val="7519DF4E"/>
    <w:rsid w:val="75297F0A"/>
    <w:rsid w:val="753361B1"/>
    <w:rsid w:val="753C1F60"/>
    <w:rsid w:val="75461F59"/>
    <w:rsid w:val="754BA2FF"/>
    <w:rsid w:val="754BD2E2"/>
    <w:rsid w:val="7550771C"/>
    <w:rsid w:val="755A9006"/>
    <w:rsid w:val="7567C329"/>
    <w:rsid w:val="756B94B4"/>
    <w:rsid w:val="75728693"/>
    <w:rsid w:val="7579BA06"/>
    <w:rsid w:val="757B6CCA"/>
    <w:rsid w:val="757D446F"/>
    <w:rsid w:val="757EFDBA"/>
    <w:rsid w:val="7591F781"/>
    <w:rsid w:val="7594FC50"/>
    <w:rsid w:val="7595A199"/>
    <w:rsid w:val="759BDC59"/>
    <w:rsid w:val="75A2E1F2"/>
    <w:rsid w:val="75A30438"/>
    <w:rsid w:val="75A524B2"/>
    <w:rsid w:val="75B1C31E"/>
    <w:rsid w:val="75B93BB6"/>
    <w:rsid w:val="75BAF22B"/>
    <w:rsid w:val="75C74B49"/>
    <w:rsid w:val="75CBB3E5"/>
    <w:rsid w:val="75D052F3"/>
    <w:rsid w:val="75D88AAC"/>
    <w:rsid w:val="75E5AED2"/>
    <w:rsid w:val="75EE19B2"/>
    <w:rsid w:val="76005890"/>
    <w:rsid w:val="76018629"/>
    <w:rsid w:val="76026522"/>
    <w:rsid w:val="76091B8C"/>
    <w:rsid w:val="760F92BB"/>
    <w:rsid w:val="7616FD1E"/>
    <w:rsid w:val="76185A3E"/>
    <w:rsid w:val="761E6A16"/>
    <w:rsid w:val="7624855A"/>
    <w:rsid w:val="762DB06E"/>
    <w:rsid w:val="763AC937"/>
    <w:rsid w:val="7654AAFC"/>
    <w:rsid w:val="765B1706"/>
    <w:rsid w:val="7665859E"/>
    <w:rsid w:val="76659669"/>
    <w:rsid w:val="766696EB"/>
    <w:rsid w:val="7670F879"/>
    <w:rsid w:val="767A337B"/>
    <w:rsid w:val="767A90AF"/>
    <w:rsid w:val="767B3A63"/>
    <w:rsid w:val="767C3E21"/>
    <w:rsid w:val="767DD9F2"/>
    <w:rsid w:val="767E4F44"/>
    <w:rsid w:val="768105CC"/>
    <w:rsid w:val="7684579B"/>
    <w:rsid w:val="768CC81D"/>
    <w:rsid w:val="7692BC67"/>
    <w:rsid w:val="769DD889"/>
    <w:rsid w:val="769F4420"/>
    <w:rsid w:val="76AD4897"/>
    <w:rsid w:val="76BFF040"/>
    <w:rsid w:val="76C279B9"/>
    <w:rsid w:val="76C522C5"/>
    <w:rsid w:val="76C5AFDB"/>
    <w:rsid w:val="76CAAF32"/>
    <w:rsid w:val="76CF6F09"/>
    <w:rsid w:val="76D27C19"/>
    <w:rsid w:val="76D8E107"/>
    <w:rsid w:val="76E34845"/>
    <w:rsid w:val="76F1E707"/>
    <w:rsid w:val="76F743C1"/>
    <w:rsid w:val="76FE5D80"/>
    <w:rsid w:val="7700FF28"/>
    <w:rsid w:val="770A91CE"/>
    <w:rsid w:val="770D649C"/>
    <w:rsid w:val="77138F1E"/>
    <w:rsid w:val="7718BE6A"/>
    <w:rsid w:val="771A8CDD"/>
    <w:rsid w:val="7722420F"/>
    <w:rsid w:val="77237642"/>
    <w:rsid w:val="7728C4C9"/>
    <w:rsid w:val="772B37E6"/>
    <w:rsid w:val="774A0C6E"/>
    <w:rsid w:val="77515FFA"/>
    <w:rsid w:val="77526466"/>
    <w:rsid w:val="775CCBF6"/>
    <w:rsid w:val="7760EDA8"/>
    <w:rsid w:val="77724B0E"/>
    <w:rsid w:val="77810491"/>
    <w:rsid w:val="77851D60"/>
    <w:rsid w:val="778E01A0"/>
    <w:rsid w:val="77917EF5"/>
    <w:rsid w:val="779EBFC3"/>
    <w:rsid w:val="77A1E2FA"/>
    <w:rsid w:val="77A29F23"/>
    <w:rsid w:val="77BCFA8E"/>
    <w:rsid w:val="77CE6F37"/>
    <w:rsid w:val="77DFFEF0"/>
    <w:rsid w:val="77E23591"/>
    <w:rsid w:val="77E53BA3"/>
    <w:rsid w:val="77EED15C"/>
    <w:rsid w:val="77F0B893"/>
    <w:rsid w:val="77F8AF1B"/>
    <w:rsid w:val="78029B29"/>
    <w:rsid w:val="780FB028"/>
    <w:rsid w:val="7821A714"/>
    <w:rsid w:val="78231A30"/>
    <w:rsid w:val="7828DEAA"/>
    <w:rsid w:val="7831B0D3"/>
    <w:rsid w:val="78417344"/>
    <w:rsid w:val="784FC74A"/>
    <w:rsid w:val="78504A93"/>
    <w:rsid w:val="7859A2C6"/>
    <w:rsid w:val="785CEBFB"/>
    <w:rsid w:val="78671EEC"/>
    <w:rsid w:val="786DA34B"/>
    <w:rsid w:val="787103EE"/>
    <w:rsid w:val="78728A6E"/>
    <w:rsid w:val="787F00C5"/>
    <w:rsid w:val="788D9F48"/>
    <w:rsid w:val="788E962A"/>
    <w:rsid w:val="78992C11"/>
    <w:rsid w:val="78AB2AAD"/>
    <w:rsid w:val="78AFD843"/>
    <w:rsid w:val="78B48ECB"/>
    <w:rsid w:val="78C070F9"/>
    <w:rsid w:val="78C39D17"/>
    <w:rsid w:val="78C402B7"/>
    <w:rsid w:val="78C9A547"/>
    <w:rsid w:val="78CAE067"/>
    <w:rsid w:val="78D33C1A"/>
    <w:rsid w:val="78D43510"/>
    <w:rsid w:val="78D5C274"/>
    <w:rsid w:val="78D8667D"/>
    <w:rsid w:val="78DD73AD"/>
    <w:rsid w:val="78E70F7C"/>
    <w:rsid w:val="78E8C1F3"/>
    <w:rsid w:val="78EE287F"/>
    <w:rsid w:val="78F2E567"/>
    <w:rsid w:val="78F5A104"/>
    <w:rsid w:val="78FB21E7"/>
    <w:rsid w:val="79196A65"/>
    <w:rsid w:val="79266BB1"/>
    <w:rsid w:val="79286B70"/>
    <w:rsid w:val="79288FE3"/>
    <w:rsid w:val="7932A01E"/>
    <w:rsid w:val="7939E262"/>
    <w:rsid w:val="793D5892"/>
    <w:rsid w:val="793FCF8C"/>
    <w:rsid w:val="79408BC0"/>
    <w:rsid w:val="7946594E"/>
    <w:rsid w:val="79486A18"/>
    <w:rsid w:val="794C14BC"/>
    <w:rsid w:val="794C5E1C"/>
    <w:rsid w:val="79557638"/>
    <w:rsid w:val="795BBD19"/>
    <w:rsid w:val="7968CA23"/>
    <w:rsid w:val="796C6F7C"/>
    <w:rsid w:val="797A3BB7"/>
    <w:rsid w:val="79A6833D"/>
    <w:rsid w:val="79AB99EF"/>
    <w:rsid w:val="79BBDEE2"/>
    <w:rsid w:val="79C128A7"/>
    <w:rsid w:val="79C48DA6"/>
    <w:rsid w:val="79CC641C"/>
    <w:rsid w:val="79CD464F"/>
    <w:rsid w:val="79D0E8FF"/>
    <w:rsid w:val="79D9536D"/>
    <w:rsid w:val="79E1BE15"/>
    <w:rsid w:val="79F0089A"/>
    <w:rsid w:val="79F4A127"/>
    <w:rsid w:val="79FA1A7B"/>
    <w:rsid w:val="79FF2594"/>
    <w:rsid w:val="7A0E8410"/>
    <w:rsid w:val="7A12ABDA"/>
    <w:rsid w:val="7A172B60"/>
    <w:rsid w:val="7A19BEBA"/>
    <w:rsid w:val="7A22D62A"/>
    <w:rsid w:val="7A249179"/>
    <w:rsid w:val="7A265746"/>
    <w:rsid w:val="7A27FCE6"/>
    <w:rsid w:val="7A2BD64E"/>
    <w:rsid w:val="7A2E34CD"/>
    <w:rsid w:val="7A32607A"/>
    <w:rsid w:val="7A374F6F"/>
    <w:rsid w:val="7A41C933"/>
    <w:rsid w:val="7A4608AD"/>
    <w:rsid w:val="7A47C4EB"/>
    <w:rsid w:val="7A4C291B"/>
    <w:rsid w:val="7A4F0984"/>
    <w:rsid w:val="7A56479C"/>
    <w:rsid w:val="7A6D84E8"/>
    <w:rsid w:val="7A817045"/>
    <w:rsid w:val="7AB1EBA5"/>
    <w:rsid w:val="7AB34592"/>
    <w:rsid w:val="7ABF148D"/>
    <w:rsid w:val="7AC9177B"/>
    <w:rsid w:val="7AD3BBA9"/>
    <w:rsid w:val="7AD489B0"/>
    <w:rsid w:val="7AD4BDAA"/>
    <w:rsid w:val="7AD7940E"/>
    <w:rsid w:val="7ADE4500"/>
    <w:rsid w:val="7AE9B34C"/>
    <w:rsid w:val="7B0AD93A"/>
    <w:rsid w:val="7B0C3C39"/>
    <w:rsid w:val="7B1112A7"/>
    <w:rsid w:val="7B207FBE"/>
    <w:rsid w:val="7B2319DD"/>
    <w:rsid w:val="7B2431D2"/>
    <w:rsid w:val="7B4094CB"/>
    <w:rsid w:val="7B47DA1C"/>
    <w:rsid w:val="7B536DD1"/>
    <w:rsid w:val="7B549BDF"/>
    <w:rsid w:val="7B5FA236"/>
    <w:rsid w:val="7B6595A1"/>
    <w:rsid w:val="7B6686D9"/>
    <w:rsid w:val="7B676256"/>
    <w:rsid w:val="7B688A5B"/>
    <w:rsid w:val="7B7183AB"/>
    <w:rsid w:val="7B835DF5"/>
    <w:rsid w:val="7B907188"/>
    <w:rsid w:val="7B93EC6F"/>
    <w:rsid w:val="7BA0DFEA"/>
    <w:rsid w:val="7BA5A612"/>
    <w:rsid w:val="7BA750DC"/>
    <w:rsid w:val="7BAA02CB"/>
    <w:rsid w:val="7BB6ABF6"/>
    <w:rsid w:val="7BC10D46"/>
    <w:rsid w:val="7BC884C4"/>
    <w:rsid w:val="7BCFB9FF"/>
    <w:rsid w:val="7BD19AF0"/>
    <w:rsid w:val="7BD995D4"/>
    <w:rsid w:val="7BDCAF86"/>
    <w:rsid w:val="7BDFE9E9"/>
    <w:rsid w:val="7BE17BEC"/>
    <w:rsid w:val="7BF3C936"/>
    <w:rsid w:val="7BF96160"/>
    <w:rsid w:val="7C016841"/>
    <w:rsid w:val="7C0180EF"/>
    <w:rsid w:val="7C092206"/>
    <w:rsid w:val="7C0D450D"/>
    <w:rsid w:val="7C121565"/>
    <w:rsid w:val="7C125529"/>
    <w:rsid w:val="7C21B3A4"/>
    <w:rsid w:val="7C2F7D39"/>
    <w:rsid w:val="7C313881"/>
    <w:rsid w:val="7C32C2A9"/>
    <w:rsid w:val="7C515AF4"/>
    <w:rsid w:val="7C595D72"/>
    <w:rsid w:val="7C616E4A"/>
    <w:rsid w:val="7C727D86"/>
    <w:rsid w:val="7C7DAD1E"/>
    <w:rsid w:val="7C7DF482"/>
    <w:rsid w:val="7C83CE0F"/>
    <w:rsid w:val="7C8884EC"/>
    <w:rsid w:val="7C8970A9"/>
    <w:rsid w:val="7C9074DD"/>
    <w:rsid w:val="7C964E31"/>
    <w:rsid w:val="7C998097"/>
    <w:rsid w:val="7CAAB1BF"/>
    <w:rsid w:val="7CAB7F10"/>
    <w:rsid w:val="7CB0D66F"/>
    <w:rsid w:val="7CBCF6C6"/>
    <w:rsid w:val="7CC39EB8"/>
    <w:rsid w:val="7CC913C4"/>
    <w:rsid w:val="7CCF567A"/>
    <w:rsid w:val="7CD46006"/>
    <w:rsid w:val="7CDDE65A"/>
    <w:rsid w:val="7CDEA63E"/>
    <w:rsid w:val="7CE4EB8D"/>
    <w:rsid w:val="7CE8B3E5"/>
    <w:rsid w:val="7CEB120F"/>
    <w:rsid w:val="7CEBD3C4"/>
    <w:rsid w:val="7CEC6163"/>
    <w:rsid w:val="7CECE352"/>
    <w:rsid w:val="7CFE5D0B"/>
    <w:rsid w:val="7D112759"/>
    <w:rsid w:val="7D2D09AA"/>
    <w:rsid w:val="7D37EE62"/>
    <w:rsid w:val="7D3AD07A"/>
    <w:rsid w:val="7D3E25E3"/>
    <w:rsid w:val="7D4065E9"/>
    <w:rsid w:val="7D40CC5F"/>
    <w:rsid w:val="7D40E54A"/>
    <w:rsid w:val="7D476D66"/>
    <w:rsid w:val="7D47A89F"/>
    <w:rsid w:val="7D516174"/>
    <w:rsid w:val="7D53F5C1"/>
    <w:rsid w:val="7D541FD3"/>
    <w:rsid w:val="7D5B8665"/>
    <w:rsid w:val="7D698F52"/>
    <w:rsid w:val="7D6D9F04"/>
    <w:rsid w:val="7D76A699"/>
    <w:rsid w:val="7D7A046F"/>
    <w:rsid w:val="7D82EA39"/>
    <w:rsid w:val="7D90CC36"/>
    <w:rsid w:val="7D97CF23"/>
    <w:rsid w:val="7DA077E5"/>
    <w:rsid w:val="7DA370FC"/>
    <w:rsid w:val="7DA9F356"/>
    <w:rsid w:val="7DA9F3C7"/>
    <w:rsid w:val="7DB1CBB4"/>
    <w:rsid w:val="7DB5E215"/>
    <w:rsid w:val="7DC413C9"/>
    <w:rsid w:val="7DD43B61"/>
    <w:rsid w:val="7DD54181"/>
    <w:rsid w:val="7DDA5CCC"/>
    <w:rsid w:val="7DDDB48B"/>
    <w:rsid w:val="7DE12468"/>
    <w:rsid w:val="7DE34498"/>
    <w:rsid w:val="7DE5264C"/>
    <w:rsid w:val="7DE545E6"/>
    <w:rsid w:val="7DE7BB67"/>
    <w:rsid w:val="7DF0A720"/>
    <w:rsid w:val="7DF3485E"/>
    <w:rsid w:val="7DFADDD6"/>
    <w:rsid w:val="7E10CB62"/>
    <w:rsid w:val="7E18EF11"/>
    <w:rsid w:val="7E28507A"/>
    <w:rsid w:val="7E3A4212"/>
    <w:rsid w:val="7E413285"/>
    <w:rsid w:val="7E5A3380"/>
    <w:rsid w:val="7E68A53F"/>
    <w:rsid w:val="7E7630FB"/>
    <w:rsid w:val="7E7DACAD"/>
    <w:rsid w:val="7E9B7D3D"/>
    <w:rsid w:val="7E9B8409"/>
    <w:rsid w:val="7E9CF39D"/>
    <w:rsid w:val="7EA22F5F"/>
    <w:rsid w:val="7EA34220"/>
    <w:rsid w:val="7EA3DEC3"/>
    <w:rsid w:val="7EA86038"/>
    <w:rsid w:val="7EBA5749"/>
    <w:rsid w:val="7EC1FE8C"/>
    <w:rsid w:val="7EC56AE0"/>
    <w:rsid w:val="7EE0C914"/>
    <w:rsid w:val="7EE0C9ED"/>
    <w:rsid w:val="7EF86290"/>
    <w:rsid w:val="7EFB1DE8"/>
    <w:rsid w:val="7EFF439F"/>
    <w:rsid w:val="7EFF5BCC"/>
    <w:rsid w:val="7F04C7CE"/>
    <w:rsid w:val="7F0F6B6D"/>
    <w:rsid w:val="7F18C3AD"/>
    <w:rsid w:val="7F20CA9F"/>
    <w:rsid w:val="7F27BFFA"/>
    <w:rsid w:val="7F2F2739"/>
    <w:rsid w:val="7F36719F"/>
    <w:rsid w:val="7F4B60FF"/>
    <w:rsid w:val="7F58DB0F"/>
    <w:rsid w:val="7F5C1BB5"/>
    <w:rsid w:val="7F78453E"/>
    <w:rsid w:val="7F7D952E"/>
    <w:rsid w:val="7F99C155"/>
    <w:rsid w:val="7F9C678F"/>
    <w:rsid w:val="7F9CA827"/>
    <w:rsid w:val="7FA263C0"/>
    <w:rsid w:val="7FA7FC95"/>
    <w:rsid w:val="7FB2354E"/>
    <w:rsid w:val="7FB53201"/>
    <w:rsid w:val="7FBD3896"/>
    <w:rsid w:val="7FC2018A"/>
    <w:rsid w:val="7FC402F3"/>
    <w:rsid w:val="7FD0E34B"/>
    <w:rsid w:val="7FDB2D09"/>
    <w:rsid w:val="7FE9D220"/>
    <w:rsid w:val="7FFC38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58B9EF3A"/>
  <w15:chartTrackingRefBased/>
  <w15:docId w15:val="{489A134F-B547-47E0-B223-D81749650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A03B8"/>
    <w:pPr>
      <w:spacing w:line="257" w:lineRule="auto"/>
      <w:jc w:val="both"/>
    </w:pPr>
    <w:rPr>
      <w:rFonts w:ascii="Times New Roman" w:eastAsia="Times New Roman" w:hAnsi="Times New Roman" w:cs="Times New Roman"/>
      <w:sz w:val="24"/>
      <w:szCs w:val="24"/>
      <w:lang w:val="pl-PL"/>
    </w:rPr>
  </w:style>
  <w:style w:type="paragraph" w:styleId="Nagwek1">
    <w:name w:val="heading 1"/>
    <w:basedOn w:val="Normalny"/>
    <w:next w:val="Normalny"/>
    <w:link w:val="Nagwek1Znak"/>
    <w:uiPriority w:val="9"/>
    <w:qFormat/>
    <w:rsid w:val="004F7F5E"/>
    <w:pPr>
      <w:keepNext/>
      <w:keepLines/>
      <w:spacing w:before="120" w:after="240"/>
      <w:ind w:left="1418" w:hanging="1418"/>
      <w:jc w:val="left"/>
      <w:outlineLvl w:val="0"/>
    </w:pPr>
    <w:rPr>
      <w:rFonts w:eastAsiaTheme="majorEastAsia"/>
      <w:b/>
      <w:sz w:val="32"/>
      <w:szCs w:val="32"/>
    </w:rPr>
  </w:style>
  <w:style w:type="paragraph" w:styleId="Nagwek2">
    <w:name w:val="heading 2"/>
    <w:basedOn w:val="Normalny"/>
    <w:next w:val="Normalny"/>
    <w:link w:val="Nagwek2Znak"/>
    <w:uiPriority w:val="9"/>
    <w:unhideWhenUsed/>
    <w:qFormat/>
    <w:rsid w:val="008A03B8"/>
    <w:pPr>
      <w:keepNext/>
      <w:keepLines/>
      <w:spacing w:before="120" w:after="120"/>
      <w:outlineLvl w:val="1"/>
    </w:pPr>
    <w:rPr>
      <w:rFonts w:eastAsiaTheme="majorEastAsia"/>
      <w:b/>
      <w:bCs/>
    </w:rPr>
  </w:style>
  <w:style w:type="paragraph" w:styleId="Nagwek3">
    <w:name w:val="heading 3"/>
    <w:basedOn w:val="Normalny"/>
    <w:next w:val="Normalny"/>
    <w:link w:val="Nagwek3Znak"/>
    <w:uiPriority w:val="9"/>
    <w:unhideWhenUsed/>
    <w:qFormat/>
    <w:rsid w:val="55024A32"/>
    <w:pPr>
      <w:keepNext/>
      <w:keepLines/>
      <w:spacing w:before="40" w:after="0"/>
      <w:outlineLvl w:val="2"/>
    </w:pPr>
    <w:rPr>
      <w:rFonts w:asciiTheme="majorHAnsi" w:eastAsiaTheme="majorEastAsia" w:hAnsiTheme="majorHAnsi" w:cstheme="majorBidi"/>
      <w:color w:val="1F4D78"/>
    </w:rPr>
  </w:style>
  <w:style w:type="paragraph" w:styleId="Nagwek4">
    <w:name w:val="heading 4"/>
    <w:basedOn w:val="Normalny"/>
    <w:next w:val="Normalny"/>
    <w:link w:val="Nagwek4Znak"/>
    <w:uiPriority w:val="9"/>
    <w:unhideWhenUsed/>
    <w:qFormat/>
    <w:rsid w:val="00B16BB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B16BB7"/>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unhideWhenUsed/>
    <w:qFormat/>
    <w:rsid w:val="00B16BB7"/>
    <w:pPr>
      <w:keepNext/>
      <w:keepLines/>
      <w:spacing w:before="40" w:after="0"/>
      <w:outlineLvl w:val="5"/>
    </w:pPr>
    <w:rPr>
      <w:rFonts w:asciiTheme="majorHAnsi" w:eastAsiaTheme="majorEastAsia" w:hAnsiTheme="majorHAnsi" w:cstheme="majorBidi"/>
      <w:color w:val="1F4D78"/>
    </w:rPr>
  </w:style>
  <w:style w:type="paragraph" w:styleId="Nagwek7">
    <w:name w:val="heading 7"/>
    <w:basedOn w:val="Normalny"/>
    <w:next w:val="Normalny"/>
    <w:link w:val="Nagwek7Znak"/>
    <w:uiPriority w:val="9"/>
    <w:unhideWhenUsed/>
    <w:qFormat/>
    <w:rsid w:val="00B16BB7"/>
    <w:pPr>
      <w:keepNext/>
      <w:keepLines/>
      <w:spacing w:before="40" w:after="0"/>
      <w:outlineLvl w:val="6"/>
    </w:pPr>
    <w:rPr>
      <w:rFonts w:asciiTheme="majorHAnsi" w:eastAsiaTheme="majorEastAsia" w:hAnsiTheme="majorHAnsi" w:cstheme="majorBidi"/>
      <w:i/>
      <w:iCs/>
      <w:color w:val="1F4D78"/>
    </w:rPr>
  </w:style>
  <w:style w:type="paragraph" w:styleId="Nagwek8">
    <w:name w:val="heading 8"/>
    <w:basedOn w:val="Normalny"/>
    <w:next w:val="Normalny"/>
    <w:link w:val="Nagwek8Znak"/>
    <w:uiPriority w:val="9"/>
    <w:unhideWhenUsed/>
    <w:qFormat/>
    <w:rsid w:val="00B16BB7"/>
    <w:pPr>
      <w:keepNext/>
      <w:keepLines/>
      <w:spacing w:before="40" w:after="0"/>
      <w:outlineLvl w:val="7"/>
    </w:pPr>
    <w:rPr>
      <w:rFonts w:asciiTheme="majorHAnsi" w:eastAsiaTheme="majorEastAsia" w:hAnsiTheme="majorHAnsi" w:cstheme="majorBidi"/>
      <w:color w:val="272727"/>
      <w:sz w:val="21"/>
      <w:szCs w:val="21"/>
    </w:rPr>
  </w:style>
  <w:style w:type="paragraph" w:styleId="Nagwek9">
    <w:name w:val="heading 9"/>
    <w:basedOn w:val="Normalny"/>
    <w:next w:val="Normalny"/>
    <w:link w:val="Nagwek9Znak"/>
    <w:uiPriority w:val="9"/>
    <w:unhideWhenUsed/>
    <w:qFormat/>
    <w:rsid w:val="00B16BB7"/>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bered list,2,OBC Bullet,Normal 1,Task Body,Viñetas (Inicio Parrafo),Paragrafo elenco,3 Txt tabla,Zerrenda-paragrafoa,Fiche List Paragraph,Dot pt,F5 List Paragraph,List Paragraph1,No Spacing1,List Paragraph Char Char Char,Indicator Text"/>
    <w:basedOn w:val="Normalny"/>
    <w:link w:val="AkapitzlistZnak"/>
    <w:uiPriority w:val="34"/>
    <w:qFormat/>
    <w:pPr>
      <w:ind w:left="720"/>
      <w:contextualSpacing/>
    </w:pPr>
  </w:style>
  <w:style w:type="character" w:styleId="Odwoaniedokomentarza">
    <w:name w:val="annotation reference"/>
    <w:basedOn w:val="Domylnaczcionkaakapitu"/>
    <w:uiPriority w:val="99"/>
    <w:unhideWhenUsed/>
    <w:rPr>
      <w:sz w:val="16"/>
      <w:szCs w:val="16"/>
    </w:rPr>
  </w:style>
  <w:style w:type="paragraph" w:styleId="Tekstkomentarza">
    <w:name w:val="annotation text"/>
    <w:basedOn w:val="Normalny"/>
    <w:link w:val="TekstkomentarzaZnak"/>
    <w:uiPriority w:val="99"/>
    <w:unhideWhenUsed/>
    <w:rsid w:val="55024A32"/>
    <w:rPr>
      <w:sz w:val="20"/>
      <w:szCs w:val="20"/>
    </w:rPr>
  </w:style>
  <w:style w:type="character" w:customStyle="1" w:styleId="TekstkomentarzaZnak">
    <w:name w:val="Tekst komentarza Znak"/>
    <w:basedOn w:val="Domylnaczcionkaakapitu"/>
    <w:link w:val="Tekstkomentarza"/>
    <w:uiPriority w:val="99"/>
    <w:rPr>
      <w:sz w:val="20"/>
      <w:szCs w:val="20"/>
      <w:lang w:val="pl-PL"/>
    </w:rPr>
  </w:style>
  <w:style w:type="paragraph" w:styleId="Tekstdymka">
    <w:name w:val="Balloon Text"/>
    <w:basedOn w:val="Normalny"/>
    <w:link w:val="TekstdymkaZnak"/>
    <w:uiPriority w:val="99"/>
    <w:semiHidden/>
    <w:unhideWhenUsed/>
    <w:rsid w:val="55024A32"/>
    <w:pPr>
      <w:spacing w:after="0"/>
    </w:pPr>
    <w:rPr>
      <w:rFonts w:ascii="Segoe UI" w:eastAsiaTheme="minorEastAsia" w:hAnsi="Segoe UI" w:cs="Segoe UI"/>
      <w:sz w:val="18"/>
      <w:szCs w:val="18"/>
    </w:rPr>
  </w:style>
  <w:style w:type="character" w:customStyle="1" w:styleId="TekstdymkaZnak">
    <w:name w:val="Tekst dymka Znak"/>
    <w:basedOn w:val="Domylnaczcionkaakapitu"/>
    <w:link w:val="Tekstdymka"/>
    <w:uiPriority w:val="99"/>
    <w:semiHidden/>
    <w:rPr>
      <w:rFonts w:ascii="Segoe UI" w:eastAsiaTheme="minorEastAsia" w:hAnsi="Segoe UI" w:cs="Segoe UI"/>
      <w:sz w:val="18"/>
      <w:szCs w:val="18"/>
      <w:lang w:val="pl-PL"/>
    </w:rPr>
  </w:style>
  <w:style w:type="paragraph" w:styleId="Tematkomentarza">
    <w:name w:val="annotation subject"/>
    <w:basedOn w:val="Tekstkomentarza"/>
    <w:next w:val="Tekstkomentarza"/>
    <w:link w:val="TematkomentarzaZnak"/>
    <w:uiPriority w:val="99"/>
    <w:semiHidden/>
    <w:unhideWhenUsed/>
    <w:rPr>
      <w:b/>
      <w:bCs/>
    </w:rPr>
  </w:style>
  <w:style w:type="character" w:customStyle="1" w:styleId="TematkomentarzaZnak">
    <w:name w:val="Temat komentarza Znak"/>
    <w:basedOn w:val="TekstkomentarzaZnak"/>
    <w:link w:val="Tematkomentarza"/>
    <w:uiPriority w:val="99"/>
    <w:semiHidden/>
    <w:rPr>
      <w:b/>
      <w:bCs/>
      <w:sz w:val="20"/>
      <w:szCs w:val="20"/>
      <w:lang w:val="pl-PL"/>
    </w:rPr>
  </w:style>
  <w:style w:type="table" w:styleId="Tabela-Siatka">
    <w:name w:val="Table Grid"/>
    <w:basedOn w:val="Standardowy"/>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55024A32"/>
    <w:pPr>
      <w:tabs>
        <w:tab w:val="center" w:pos="4535"/>
        <w:tab w:val="right" w:pos="9071"/>
      </w:tabs>
      <w:spacing w:after="120"/>
    </w:pPr>
    <w:rPr>
      <w:rFonts w:eastAsiaTheme="minorEastAsia"/>
    </w:rPr>
  </w:style>
  <w:style w:type="character" w:customStyle="1" w:styleId="NagwekZnak">
    <w:name w:val="Nagłówek Znak"/>
    <w:basedOn w:val="Domylnaczcionkaakapitu"/>
    <w:link w:val="Nagwek"/>
    <w:uiPriority w:val="99"/>
    <w:rPr>
      <w:rFonts w:ascii="Times New Roman" w:eastAsiaTheme="minorEastAsia" w:hAnsi="Times New Roman" w:cs="Times New Roman"/>
      <w:sz w:val="24"/>
      <w:szCs w:val="24"/>
      <w:lang w:val="pl-PL"/>
    </w:rPr>
  </w:style>
  <w:style w:type="paragraph" w:styleId="Stopka">
    <w:name w:val="footer"/>
    <w:basedOn w:val="Normalny"/>
    <w:link w:val="StopkaZnak"/>
    <w:uiPriority w:val="99"/>
    <w:unhideWhenUsed/>
    <w:rsid w:val="55024A32"/>
    <w:pPr>
      <w:tabs>
        <w:tab w:val="center" w:pos="4535"/>
        <w:tab w:val="right" w:pos="9071"/>
        <w:tab w:val="right" w:pos="9921"/>
      </w:tabs>
      <w:spacing w:before="360" w:after="0"/>
      <w:ind w:left="-850" w:right="-850"/>
    </w:pPr>
    <w:rPr>
      <w:rFonts w:eastAsiaTheme="minorEastAsia"/>
    </w:rPr>
  </w:style>
  <w:style w:type="character" w:customStyle="1" w:styleId="StopkaZnak">
    <w:name w:val="Stopka Znak"/>
    <w:basedOn w:val="Domylnaczcionkaakapitu"/>
    <w:link w:val="Stopka"/>
    <w:uiPriority w:val="99"/>
    <w:rPr>
      <w:rFonts w:ascii="Times New Roman" w:eastAsiaTheme="minorEastAsia" w:hAnsi="Times New Roman" w:cs="Times New Roman"/>
      <w:sz w:val="24"/>
      <w:szCs w:val="24"/>
      <w:lang w:val="pl-PL"/>
    </w:rPr>
  </w:style>
  <w:style w:type="table" w:styleId="Siatkatabelijasna">
    <w:name w:val="Grid Table Light"/>
    <w:basedOn w:val="Standardowy"/>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atki1jasna">
    <w:name w:val="Grid Table 1 Light"/>
    <w:basedOn w:val="Standardowy"/>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2">
    <w:name w:val="Grid Table 2"/>
    <w:basedOn w:val="Standardowy"/>
    <w:uiPriority w:val="4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
    <w:name w:val="Grid Table 4"/>
    <w:basedOn w:val="Standardowy"/>
    <w:uiPriority w:val="4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kstprzypisudolnego">
    <w:name w:val="footnote text"/>
    <w:basedOn w:val="Normalny"/>
    <w:link w:val="TekstprzypisudolnegoZnak"/>
    <w:uiPriority w:val="99"/>
    <w:unhideWhenUsed/>
    <w:rsid w:val="55024A32"/>
    <w:pPr>
      <w:spacing w:after="0"/>
    </w:pPr>
    <w:rPr>
      <w:sz w:val="20"/>
      <w:szCs w:val="20"/>
    </w:rPr>
  </w:style>
  <w:style w:type="character" w:customStyle="1" w:styleId="TekstprzypisudolnegoZnak">
    <w:name w:val="Tekst przypisu dolnego Znak"/>
    <w:basedOn w:val="Domylnaczcionkaakapitu"/>
    <w:link w:val="Tekstprzypisudolnego"/>
    <w:uiPriority w:val="99"/>
    <w:rPr>
      <w:sz w:val="20"/>
      <w:szCs w:val="20"/>
      <w:lang w:val="pl-PL"/>
    </w:rPr>
  </w:style>
  <w:style w:type="character" w:styleId="Odwoanieprzypisudolnego">
    <w:name w:val="footnote reference"/>
    <w:aliases w:val="Footnote symbol,Char Char Char Char Char,Знак Char Char Char Char,Char1 Char Char Char Char,Footnote Reference Superscript,Footnote reference number,stylish,BVI fnr,Footnote symboFußnotenzeichen,Footnote sign"/>
    <w:basedOn w:val="Domylnaczcionkaakapitu"/>
    <w:uiPriority w:val="99"/>
    <w:unhideWhenUsed/>
    <w:qFormat/>
    <w:rPr>
      <w:vertAlign w:val="superscript"/>
    </w:rPr>
  </w:style>
  <w:style w:type="character" w:customStyle="1" w:styleId="Nagwek3Znak">
    <w:name w:val="Nagłówek 3 Znak"/>
    <w:basedOn w:val="Domylnaczcionkaakapitu"/>
    <w:link w:val="Nagwek3"/>
    <w:uiPriority w:val="9"/>
    <w:rPr>
      <w:rFonts w:asciiTheme="majorHAnsi" w:eastAsiaTheme="majorEastAsia" w:hAnsiTheme="majorHAnsi" w:cstheme="majorBidi"/>
      <w:color w:val="1F4D78"/>
      <w:sz w:val="24"/>
      <w:szCs w:val="24"/>
      <w:lang w:val="pl-PL"/>
    </w:rPr>
  </w:style>
  <w:style w:type="character" w:styleId="Hipercze">
    <w:name w:val="Hyperlink"/>
    <w:basedOn w:val="Domylnaczcionkaakapitu"/>
    <w:uiPriority w:val="99"/>
    <w:unhideWhenUsed/>
    <w:rPr>
      <w:color w:val="0000FF"/>
      <w:u w:val="single"/>
    </w:rPr>
  </w:style>
  <w:style w:type="table" w:customStyle="1" w:styleId="TableGrid1">
    <w:name w:val="Table Grid1"/>
    <w:basedOn w:val="Standardowy"/>
    <w:next w:val="Tabela-Siatka"/>
    <w:uiPriority w:val="59"/>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4F7F5E"/>
    <w:rPr>
      <w:rFonts w:ascii="Times New Roman" w:eastAsiaTheme="majorEastAsia" w:hAnsi="Times New Roman" w:cs="Times New Roman"/>
      <w:b/>
      <w:sz w:val="32"/>
      <w:szCs w:val="32"/>
      <w:lang w:val="pl-PL"/>
    </w:rPr>
  </w:style>
  <w:style w:type="character" w:customStyle="1" w:styleId="Nagwek2Znak">
    <w:name w:val="Nagłówek 2 Znak"/>
    <w:basedOn w:val="Domylnaczcionkaakapitu"/>
    <w:link w:val="Nagwek2"/>
    <w:uiPriority w:val="9"/>
    <w:rsid w:val="008A03B8"/>
    <w:rPr>
      <w:rFonts w:ascii="Times New Roman" w:eastAsiaTheme="majorEastAsia" w:hAnsi="Times New Roman" w:cs="Times New Roman"/>
      <w:b/>
      <w:bCs/>
      <w:sz w:val="24"/>
      <w:szCs w:val="24"/>
      <w:lang w:val="pl-PL"/>
    </w:rPr>
  </w:style>
  <w:style w:type="paragraph" w:styleId="Nagwekspisutreci">
    <w:name w:val="TOC Heading"/>
    <w:basedOn w:val="Nagwek1"/>
    <w:next w:val="Normalny"/>
    <w:uiPriority w:val="39"/>
    <w:unhideWhenUsed/>
    <w:qFormat/>
    <w:rsid w:val="55024A32"/>
  </w:style>
  <w:style w:type="paragraph" w:styleId="Spistreci1">
    <w:name w:val="toc 1"/>
    <w:basedOn w:val="Normalny"/>
    <w:next w:val="Normalny"/>
    <w:uiPriority w:val="39"/>
    <w:unhideWhenUsed/>
    <w:rsid w:val="55024A32"/>
    <w:pPr>
      <w:tabs>
        <w:tab w:val="right" w:leader="dot" w:pos="9356"/>
      </w:tabs>
      <w:spacing w:after="100"/>
    </w:pPr>
    <w:rPr>
      <w:rFonts w:eastAsiaTheme="minorEastAsia"/>
      <w:noProof/>
      <w:lang w:val="en-GB"/>
    </w:rPr>
  </w:style>
  <w:style w:type="paragraph" w:styleId="Spistreci2">
    <w:name w:val="toc 2"/>
    <w:basedOn w:val="Normalny"/>
    <w:next w:val="Normalny"/>
    <w:uiPriority w:val="39"/>
    <w:unhideWhenUsed/>
    <w:rsid w:val="55024A32"/>
    <w:pPr>
      <w:tabs>
        <w:tab w:val="left" w:pos="660"/>
        <w:tab w:val="right" w:leader="dot" w:pos="9350"/>
      </w:tabs>
      <w:spacing w:after="100"/>
      <w:ind w:left="220"/>
    </w:pPr>
    <w:rPr>
      <w:rFonts w:eastAsiaTheme="minorEastAsia"/>
      <w:b/>
      <w:bCs/>
      <w:noProof/>
      <w:lang w:val="en-IE"/>
    </w:rPr>
  </w:style>
  <w:style w:type="paragraph" w:styleId="Spistreci3">
    <w:name w:val="toc 3"/>
    <w:basedOn w:val="Normalny"/>
    <w:next w:val="Normalny"/>
    <w:uiPriority w:val="39"/>
    <w:unhideWhenUsed/>
    <w:rsid w:val="55024A32"/>
    <w:pPr>
      <w:spacing w:after="100"/>
      <w:ind w:left="440"/>
    </w:pPr>
  </w:style>
  <w:style w:type="paragraph" w:styleId="Tytu">
    <w:name w:val="Title"/>
    <w:basedOn w:val="Normalny"/>
    <w:next w:val="Normalny"/>
    <w:link w:val="TytuZnak"/>
    <w:uiPriority w:val="10"/>
    <w:qFormat/>
    <w:rsid w:val="55024A32"/>
    <w:pPr>
      <w:spacing w:after="0"/>
      <w:contextualSpacing/>
    </w:pPr>
    <w:rPr>
      <w:rFonts w:asciiTheme="majorHAnsi" w:eastAsiaTheme="majorEastAsia" w:hAnsiTheme="majorHAnsi" w:cstheme="majorBidi"/>
      <w:sz w:val="56"/>
      <w:szCs w:val="56"/>
    </w:rPr>
  </w:style>
  <w:style w:type="character" w:customStyle="1" w:styleId="TytuZnak">
    <w:name w:val="Tytuł Znak"/>
    <w:basedOn w:val="Domylnaczcionkaakapitu"/>
    <w:link w:val="Tytu"/>
    <w:uiPriority w:val="10"/>
    <w:rPr>
      <w:rFonts w:asciiTheme="majorHAnsi" w:eastAsiaTheme="majorEastAsia" w:hAnsiTheme="majorHAnsi" w:cstheme="majorBidi"/>
      <w:sz w:val="56"/>
      <w:szCs w:val="56"/>
      <w:lang w:val="pl-PL"/>
    </w:rPr>
  </w:style>
  <w:style w:type="character" w:customStyle="1" w:styleId="CommentTextChar1">
    <w:name w:val="Comment Text Char1"/>
    <w:basedOn w:val="Domylnaczcionkaakapitu"/>
    <w:uiPriority w:val="99"/>
    <w:semiHidden/>
    <w:rPr>
      <w:sz w:val="20"/>
      <w:szCs w:val="20"/>
    </w:rPr>
  </w:style>
  <w:style w:type="paragraph" w:styleId="Poprawka">
    <w:name w:val="Revision"/>
    <w:hidden/>
    <w:uiPriority w:val="99"/>
    <w:semiHidden/>
    <w:pPr>
      <w:spacing w:after="0" w:line="240" w:lineRule="auto"/>
    </w:pPr>
  </w:style>
  <w:style w:type="paragraph" w:customStyle="1" w:styleId="Default">
    <w:name w:val="Default"/>
    <w:pPr>
      <w:autoSpaceDE w:val="0"/>
      <w:autoSpaceDN w:val="0"/>
      <w:adjustRightInd w:val="0"/>
      <w:spacing w:after="0" w:line="240" w:lineRule="auto"/>
    </w:pPr>
    <w:rPr>
      <w:rFonts w:ascii="Times New Roman" w:eastAsia="Calibri" w:hAnsi="Times New Roman" w:cs="Times New Roman"/>
      <w:color w:val="000000"/>
      <w:sz w:val="24"/>
      <w:szCs w:val="24"/>
      <w:lang w:val="en-GB" w:eastAsia="en-GB"/>
    </w:rPr>
  </w:style>
  <w:style w:type="paragraph" w:styleId="Legenda">
    <w:name w:val="caption"/>
    <w:basedOn w:val="Normalny"/>
    <w:next w:val="Normalny"/>
    <w:uiPriority w:val="35"/>
    <w:unhideWhenUsed/>
    <w:qFormat/>
    <w:rsid w:val="55024A32"/>
    <w:pPr>
      <w:spacing w:after="200"/>
    </w:pPr>
    <w:rPr>
      <w:rFonts w:eastAsiaTheme="minorEastAsia"/>
      <w:b/>
      <w:bCs/>
      <w:color w:val="000000" w:themeColor="text1"/>
      <w:sz w:val="18"/>
      <w:szCs w:val="18"/>
    </w:rPr>
  </w:style>
  <w:style w:type="table" w:styleId="Tabelasiatki1jasnaakcent4">
    <w:name w:val="Grid Table 1 Light Accent 4"/>
    <w:basedOn w:val="Standardowy"/>
    <w:uiPriority w:val="46"/>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AkapitzlistZnak">
    <w:name w:val="Akapit z listą Znak"/>
    <w:aliases w:val="numbered list Znak,2 Znak,OBC Bullet Znak,Normal 1 Znak,Task Body Znak,Viñetas (Inicio Parrafo) Znak,Paragrafo elenco Znak,3 Txt tabla Znak,Zerrenda-paragrafoa Znak,Fiche List Paragraph Znak,Dot pt Znak,F5 List Paragraph Znak"/>
    <w:basedOn w:val="Domylnaczcionkaakapitu"/>
    <w:link w:val="Akapitzlist"/>
    <w:uiPriority w:val="34"/>
    <w:qFormat/>
  </w:style>
  <w:style w:type="character" w:customStyle="1" w:styleId="normaltextrun">
    <w:name w:val="normaltextrun"/>
    <w:basedOn w:val="Domylnaczcionkaakapitu"/>
  </w:style>
  <w:style w:type="paragraph" w:customStyle="1" w:styleId="paragraph">
    <w:name w:val="paragraph"/>
    <w:basedOn w:val="Normalny"/>
    <w:uiPriority w:val="1"/>
    <w:rsid w:val="55024A32"/>
    <w:pPr>
      <w:spacing w:beforeAutospacing="1" w:afterAutospacing="1"/>
    </w:pPr>
  </w:style>
  <w:style w:type="character" w:customStyle="1" w:styleId="eop">
    <w:name w:val="eop"/>
    <w:basedOn w:val="Domylnaczcionkaakapitu"/>
  </w:style>
  <w:style w:type="paragraph" w:styleId="NormalnyWeb">
    <w:name w:val="Normal (Web)"/>
    <w:basedOn w:val="Normalny"/>
    <w:uiPriority w:val="99"/>
    <w:unhideWhenUsed/>
    <w:rsid w:val="55024A32"/>
    <w:pPr>
      <w:spacing w:beforeAutospacing="1" w:afterAutospacing="1"/>
    </w:pPr>
  </w:style>
  <w:style w:type="paragraph" w:customStyle="1" w:styleId="NumPar1">
    <w:name w:val="NumPar 1"/>
    <w:basedOn w:val="Normalny"/>
    <w:next w:val="Normalny"/>
    <w:uiPriority w:val="1"/>
    <w:rsid w:val="55024A32"/>
    <w:pPr>
      <w:numPr>
        <w:numId w:val="1"/>
      </w:numPr>
      <w:spacing w:before="120" w:after="120"/>
    </w:pPr>
    <w:rPr>
      <w:rFonts w:eastAsiaTheme="minorEastAsia"/>
      <w:lang w:val="en-GB"/>
    </w:rPr>
  </w:style>
  <w:style w:type="paragraph" w:customStyle="1" w:styleId="NumPar2">
    <w:name w:val="NumPar 2"/>
    <w:basedOn w:val="Normalny"/>
    <w:next w:val="Normalny"/>
    <w:uiPriority w:val="1"/>
    <w:rsid w:val="55024A32"/>
    <w:pPr>
      <w:numPr>
        <w:ilvl w:val="1"/>
        <w:numId w:val="1"/>
      </w:numPr>
      <w:spacing w:before="120" w:after="120"/>
    </w:pPr>
    <w:rPr>
      <w:rFonts w:eastAsiaTheme="minorEastAsia"/>
      <w:lang w:val="en-GB"/>
    </w:rPr>
  </w:style>
  <w:style w:type="paragraph" w:customStyle="1" w:styleId="NumPar3">
    <w:name w:val="NumPar 3"/>
    <w:basedOn w:val="Normalny"/>
    <w:next w:val="Normalny"/>
    <w:uiPriority w:val="1"/>
    <w:rsid w:val="55024A32"/>
    <w:pPr>
      <w:numPr>
        <w:ilvl w:val="2"/>
        <w:numId w:val="1"/>
      </w:numPr>
      <w:spacing w:before="120" w:after="120"/>
    </w:pPr>
    <w:rPr>
      <w:rFonts w:eastAsiaTheme="minorEastAsia"/>
      <w:lang w:val="en-GB"/>
    </w:rPr>
  </w:style>
  <w:style w:type="paragraph" w:customStyle="1" w:styleId="NumPar4">
    <w:name w:val="NumPar 4"/>
    <w:basedOn w:val="Normalny"/>
    <w:next w:val="Normalny"/>
    <w:uiPriority w:val="1"/>
    <w:rsid w:val="55024A32"/>
    <w:pPr>
      <w:numPr>
        <w:ilvl w:val="3"/>
        <w:numId w:val="1"/>
      </w:numPr>
      <w:spacing w:before="120" w:after="120"/>
    </w:pPr>
    <w:rPr>
      <w:rFonts w:eastAsiaTheme="minorEastAsia"/>
      <w:lang w:val="en-GB"/>
    </w:rPr>
  </w:style>
  <w:style w:type="paragraph" w:customStyle="1" w:styleId="Considrant">
    <w:name w:val="Considérant"/>
    <w:basedOn w:val="Normalny"/>
    <w:uiPriority w:val="1"/>
    <w:rsid w:val="55024A32"/>
    <w:pPr>
      <w:numPr>
        <w:numId w:val="2"/>
      </w:numPr>
      <w:spacing w:before="120" w:after="120"/>
    </w:pPr>
    <w:rPr>
      <w:rFonts w:eastAsiaTheme="minorEastAsia"/>
      <w:lang w:val="en-GB"/>
    </w:rPr>
  </w:style>
  <w:style w:type="paragraph" w:customStyle="1" w:styleId="HeadingRRF">
    <w:name w:val="Heading RRF"/>
    <w:basedOn w:val="Nagwek1"/>
    <w:link w:val="HeadingRRFChar"/>
    <w:uiPriority w:val="1"/>
    <w:qFormat/>
    <w:rsid w:val="00C21EEF"/>
    <w:rPr>
      <w:b w:val="0"/>
    </w:rPr>
  </w:style>
  <w:style w:type="character" w:customStyle="1" w:styleId="HeadingRRFChar">
    <w:name w:val="Heading RRF Char"/>
    <w:basedOn w:val="Nagwek1Znak"/>
    <w:link w:val="HeadingRRF"/>
    <w:uiPriority w:val="1"/>
    <w:rsid w:val="00C21EEF"/>
    <w:rPr>
      <w:rFonts w:asciiTheme="majorHAnsi" w:eastAsiaTheme="majorEastAsia" w:hAnsiTheme="majorHAnsi" w:cstheme="majorBidi"/>
      <w:b w:val="0"/>
      <w:color w:val="2E74B5" w:themeColor="accent1" w:themeShade="BF"/>
      <w:sz w:val="32"/>
      <w:szCs w:val="32"/>
      <w:lang w:val="pl-PL"/>
    </w:rPr>
  </w:style>
  <w:style w:type="paragraph" w:customStyle="1" w:styleId="PointDoubleManual">
    <w:name w:val="Point Double Manual"/>
    <w:basedOn w:val="Normalny"/>
    <w:uiPriority w:val="1"/>
    <w:rsid w:val="55024A32"/>
    <w:pPr>
      <w:tabs>
        <w:tab w:val="left" w:pos="567"/>
      </w:tabs>
      <w:spacing w:before="120" w:after="120"/>
      <w:ind w:left="1134" w:hanging="1134"/>
    </w:pPr>
    <w:rPr>
      <w:rFonts w:eastAsiaTheme="minorEastAsia"/>
      <w:lang w:val="en-GB"/>
    </w:rPr>
  </w:style>
  <w:style w:type="table" w:customStyle="1" w:styleId="TableGrid11">
    <w:name w:val="Table Grid11"/>
    <w:basedOn w:val="Standardowy"/>
    <w:next w:val="Tabela-Siatka"/>
    <w:uiPriority w:val="39"/>
    <w:rsid w:val="00692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Standardowy"/>
    <w:next w:val="Tabela-Siatka"/>
    <w:uiPriority w:val="39"/>
    <w:rsid w:val="001D6D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r">
    <w:name w:val="Marker"/>
    <w:basedOn w:val="Domylnaczcionkaakapitu"/>
    <w:rsid w:val="0041536A"/>
    <w:rPr>
      <w:color w:val="0000FF"/>
      <w:shd w:val="clear" w:color="auto" w:fill="auto"/>
    </w:rPr>
  </w:style>
  <w:style w:type="paragraph" w:customStyle="1" w:styleId="Pagedecouverture">
    <w:name w:val="Page de couverture"/>
    <w:basedOn w:val="Normalny"/>
    <w:next w:val="Normalny"/>
    <w:uiPriority w:val="1"/>
    <w:rsid w:val="55024A32"/>
    <w:pPr>
      <w:spacing w:after="0"/>
    </w:pPr>
    <w:rPr>
      <w:rFonts w:eastAsiaTheme="minorEastAsia"/>
    </w:rPr>
  </w:style>
  <w:style w:type="paragraph" w:customStyle="1" w:styleId="FooterCoverPage">
    <w:name w:val="Footer Cover Page"/>
    <w:basedOn w:val="Normalny"/>
    <w:link w:val="FooterCoverPageChar"/>
    <w:uiPriority w:val="1"/>
    <w:rsid w:val="55024A32"/>
    <w:pPr>
      <w:tabs>
        <w:tab w:val="center" w:pos="4535"/>
        <w:tab w:val="right" w:pos="9071"/>
        <w:tab w:val="right" w:pos="9921"/>
      </w:tabs>
      <w:spacing w:before="360" w:after="0"/>
      <w:ind w:left="-850" w:right="-850"/>
    </w:pPr>
    <w:rPr>
      <w:rFonts w:eastAsiaTheme="minorEastAsia"/>
    </w:rPr>
  </w:style>
  <w:style w:type="character" w:customStyle="1" w:styleId="FooterCoverPageChar">
    <w:name w:val="Footer Cover Page Char"/>
    <w:basedOn w:val="TytuZnak"/>
    <w:link w:val="FooterCoverPage"/>
    <w:uiPriority w:val="1"/>
    <w:rsid w:val="0041536A"/>
    <w:rPr>
      <w:rFonts w:ascii="Times New Roman" w:eastAsiaTheme="minorEastAsia" w:hAnsi="Times New Roman" w:cs="Times New Roman"/>
      <w:sz w:val="24"/>
      <w:szCs w:val="24"/>
      <w:lang w:val="pl-PL"/>
    </w:rPr>
  </w:style>
  <w:style w:type="paragraph" w:customStyle="1" w:styleId="FooterSensitivity">
    <w:name w:val="Footer Sensitivity"/>
    <w:basedOn w:val="Normalny"/>
    <w:link w:val="FooterSensitivityChar"/>
    <w:uiPriority w:val="1"/>
    <w:rsid w:val="55024A32"/>
    <w:pPr>
      <w:spacing w:before="360" w:after="0"/>
      <w:ind w:left="113" w:right="113"/>
      <w:jc w:val="center"/>
    </w:pPr>
    <w:rPr>
      <w:rFonts w:eastAsiaTheme="minorEastAsia"/>
      <w:b/>
      <w:bCs/>
      <w:sz w:val="32"/>
      <w:szCs w:val="32"/>
    </w:rPr>
  </w:style>
  <w:style w:type="character" w:customStyle="1" w:styleId="FooterSensitivityChar">
    <w:name w:val="Footer Sensitivity Char"/>
    <w:basedOn w:val="TytuZnak"/>
    <w:link w:val="FooterSensitivity"/>
    <w:uiPriority w:val="1"/>
    <w:rsid w:val="0041536A"/>
    <w:rPr>
      <w:rFonts w:ascii="Times New Roman" w:eastAsiaTheme="minorEastAsia" w:hAnsi="Times New Roman" w:cs="Times New Roman"/>
      <w:b/>
      <w:bCs/>
      <w:sz w:val="32"/>
      <w:szCs w:val="32"/>
      <w:lang w:val="pl-PL"/>
    </w:rPr>
  </w:style>
  <w:style w:type="paragraph" w:customStyle="1" w:styleId="HeaderCoverPage">
    <w:name w:val="Header Cover Page"/>
    <w:basedOn w:val="Normalny"/>
    <w:link w:val="HeaderCoverPageChar"/>
    <w:uiPriority w:val="1"/>
    <w:rsid w:val="55024A32"/>
    <w:pPr>
      <w:tabs>
        <w:tab w:val="center" w:pos="4535"/>
        <w:tab w:val="right" w:pos="9071"/>
      </w:tabs>
      <w:spacing w:after="120"/>
    </w:pPr>
    <w:rPr>
      <w:rFonts w:eastAsiaTheme="minorEastAsia"/>
    </w:rPr>
  </w:style>
  <w:style w:type="character" w:customStyle="1" w:styleId="HeaderCoverPageChar">
    <w:name w:val="Header Cover Page Char"/>
    <w:basedOn w:val="TytuZnak"/>
    <w:link w:val="HeaderCoverPage"/>
    <w:uiPriority w:val="1"/>
    <w:rsid w:val="0041536A"/>
    <w:rPr>
      <w:rFonts w:ascii="Times New Roman" w:eastAsiaTheme="minorEastAsia" w:hAnsi="Times New Roman" w:cs="Times New Roman"/>
      <w:sz w:val="24"/>
      <w:szCs w:val="24"/>
      <w:lang w:val="pl-PL"/>
    </w:rPr>
  </w:style>
  <w:style w:type="paragraph" w:customStyle="1" w:styleId="HeaderSensitivity">
    <w:name w:val="Header Sensitivity"/>
    <w:basedOn w:val="Normalny"/>
    <w:link w:val="HeaderSensitivityChar"/>
    <w:uiPriority w:val="1"/>
    <w:rsid w:val="55024A32"/>
    <w:pPr>
      <w:spacing w:after="120"/>
      <w:ind w:left="113" w:right="113"/>
      <w:jc w:val="center"/>
    </w:pPr>
    <w:rPr>
      <w:rFonts w:eastAsiaTheme="minorEastAsia"/>
      <w:b/>
      <w:bCs/>
      <w:sz w:val="32"/>
      <w:szCs w:val="32"/>
    </w:rPr>
  </w:style>
  <w:style w:type="character" w:customStyle="1" w:styleId="HeaderSensitivityChar">
    <w:name w:val="Header Sensitivity Char"/>
    <w:basedOn w:val="TytuZnak"/>
    <w:link w:val="HeaderSensitivity"/>
    <w:uiPriority w:val="1"/>
    <w:rsid w:val="0041536A"/>
    <w:rPr>
      <w:rFonts w:ascii="Times New Roman" w:eastAsiaTheme="minorEastAsia" w:hAnsi="Times New Roman" w:cs="Times New Roman"/>
      <w:b/>
      <w:bCs/>
      <w:sz w:val="32"/>
      <w:szCs w:val="32"/>
      <w:lang w:val="pl-PL"/>
    </w:rPr>
  </w:style>
  <w:style w:type="paragraph" w:customStyle="1" w:styleId="HeaderSensitivityRight">
    <w:name w:val="Header Sensitivity Right"/>
    <w:basedOn w:val="Normalny"/>
    <w:link w:val="HeaderSensitivityRightChar"/>
    <w:uiPriority w:val="1"/>
    <w:rsid w:val="55024A32"/>
    <w:pPr>
      <w:spacing w:after="120"/>
      <w:jc w:val="right"/>
    </w:pPr>
    <w:rPr>
      <w:rFonts w:eastAsiaTheme="minorEastAsia"/>
      <w:sz w:val="28"/>
      <w:szCs w:val="28"/>
    </w:rPr>
  </w:style>
  <w:style w:type="character" w:customStyle="1" w:styleId="HeaderSensitivityRightChar">
    <w:name w:val="Header Sensitivity Right Char"/>
    <w:basedOn w:val="TytuZnak"/>
    <w:link w:val="HeaderSensitivityRight"/>
    <w:uiPriority w:val="1"/>
    <w:rsid w:val="0041536A"/>
    <w:rPr>
      <w:rFonts w:ascii="Times New Roman" w:eastAsiaTheme="minorEastAsia" w:hAnsi="Times New Roman" w:cs="Times New Roman"/>
      <w:sz w:val="28"/>
      <w:szCs w:val="28"/>
      <w:lang w:val="pl-PL"/>
    </w:rPr>
  </w:style>
  <w:style w:type="paragraph" w:customStyle="1" w:styleId="LegalNumPar">
    <w:name w:val="LegalNumPar"/>
    <w:basedOn w:val="Normalny"/>
    <w:uiPriority w:val="1"/>
    <w:rsid w:val="55024A32"/>
    <w:pPr>
      <w:ind w:left="476" w:hanging="476"/>
    </w:pPr>
  </w:style>
  <w:style w:type="paragraph" w:customStyle="1" w:styleId="LegalNumPar2">
    <w:name w:val="LegalNumPar2"/>
    <w:basedOn w:val="Normalny"/>
    <w:uiPriority w:val="1"/>
    <w:rsid w:val="55024A32"/>
    <w:pPr>
      <w:ind w:left="953" w:hanging="477"/>
    </w:pPr>
  </w:style>
  <w:style w:type="paragraph" w:customStyle="1" w:styleId="LegalNumPar3">
    <w:name w:val="LegalNumPar3"/>
    <w:basedOn w:val="Normalny"/>
    <w:uiPriority w:val="1"/>
    <w:rsid w:val="55024A32"/>
    <w:pPr>
      <w:ind w:left="1429" w:hanging="476"/>
    </w:pPr>
  </w:style>
  <w:style w:type="paragraph" w:customStyle="1" w:styleId="ListNumber1">
    <w:name w:val="List Number 1"/>
    <w:basedOn w:val="Normalny"/>
    <w:uiPriority w:val="1"/>
    <w:rsid w:val="55024A32"/>
    <w:pPr>
      <w:numPr>
        <w:numId w:val="3"/>
      </w:numPr>
      <w:spacing w:before="120" w:after="120"/>
    </w:pPr>
    <w:rPr>
      <w:lang w:val="fr-FR" w:eastAsia="en-GB"/>
    </w:rPr>
  </w:style>
  <w:style w:type="paragraph" w:customStyle="1" w:styleId="ListNumber1Level2">
    <w:name w:val="List Number 1 (Level 2)"/>
    <w:basedOn w:val="Normalny"/>
    <w:uiPriority w:val="1"/>
    <w:rsid w:val="55024A32"/>
    <w:pPr>
      <w:numPr>
        <w:ilvl w:val="1"/>
        <w:numId w:val="3"/>
      </w:numPr>
      <w:spacing w:before="120" w:after="120"/>
    </w:pPr>
    <w:rPr>
      <w:lang w:val="fr-FR" w:eastAsia="en-GB"/>
    </w:rPr>
  </w:style>
  <w:style w:type="paragraph" w:customStyle="1" w:styleId="ListNumber1Level3">
    <w:name w:val="List Number 1 (Level 3)"/>
    <w:basedOn w:val="Normalny"/>
    <w:uiPriority w:val="1"/>
    <w:rsid w:val="55024A32"/>
    <w:pPr>
      <w:numPr>
        <w:ilvl w:val="2"/>
        <w:numId w:val="3"/>
      </w:numPr>
      <w:tabs>
        <w:tab w:val="num" w:pos="1134"/>
      </w:tabs>
      <w:spacing w:before="120" w:after="120"/>
    </w:pPr>
    <w:rPr>
      <w:lang w:val="fr-FR" w:eastAsia="en-GB"/>
    </w:rPr>
  </w:style>
  <w:style w:type="paragraph" w:customStyle="1" w:styleId="ListNumber1Level4">
    <w:name w:val="List Number 1 (Level 4)"/>
    <w:basedOn w:val="Normalny"/>
    <w:uiPriority w:val="1"/>
    <w:rsid w:val="55024A32"/>
    <w:pPr>
      <w:numPr>
        <w:ilvl w:val="3"/>
        <w:numId w:val="3"/>
      </w:numPr>
      <w:spacing w:before="120" w:after="120"/>
    </w:pPr>
    <w:rPr>
      <w:lang w:val="fr-FR" w:eastAsia="en-GB"/>
    </w:rPr>
  </w:style>
  <w:style w:type="paragraph" w:customStyle="1" w:styleId="FooterLandscape">
    <w:name w:val="FooterLandscape"/>
    <w:basedOn w:val="Normalny"/>
    <w:uiPriority w:val="1"/>
    <w:rsid w:val="55024A32"/>
    <w:pPr>
      <w:tabs>
        <w:tab w:val="center" w:pos="7285"/>
        <w:tab w:val="center" w:pos="10913"/>
        <w:tab w:val="right" w:pos="15137"/>
      </w:tabs>
      <w:spacing w:before="360" w:after="0"/>
      <w:ind w:left="-567" w:right="-567"/>
    </w:pPr>
    <w:rPr>
      <w:rFonts w:eastAsiaTheme="minorEastAsia"/>
    </w:rPr>
  </w:style>
  <w:style w:type="paragraph" w:customStyle="1" w:styleId="HeaderLandscape">
    <w:name w:val="HeaderLandscape"/>
    <w:basedOn w:val="Normalny"/>
    <w:uiPriority w:val="1"/>
    <w:rsid w:val="55024A32"/>
    <w:pPr>
      <w:tabs>
        <w:tab w:val="center" w:pos="7285"/>
        <w:tab w:val="right" w:pos="14003"/>
      </w:tabs>
      <w:spacing w:after="120"/>
    </w:pPr>
    <w:rPr>
      <w:rFonts w:eastAsiaTheme="minorEastAsia"/>
    </w:rPr>
  </w:style>
  <w:style w:type="character" w:customStyle="1" w:styleId="UnresolvedMention1">
    <w:name w:val="Unresolved Mention1"/>
    <w:basedOn w:val="Domylnaczcionkaakapitu"/>
    <w:uiPriority w:val="99"/>
    <w:semiHidden/>
    <w:unhideWhenUsed/>
    <w:rsid w:val="008514CA"/>
    <w:rPr>
      <w:color w:val="605E5C"/>
      <w:shd w:val="clear" w:color="auto" w:fill="E1DFDD"/>
    </w:rPr>
  </w:style>
  <w:style w:type="character" w:customStyle="1" w:styleId="UnresolvedMention2">
    <w:name w:val="Unresolved Mention2"/>
    <w:basedOn w:val="Domylnaczcionkaakapitu"/>
    <w:uiPriority w:val="99"/>
    <w:semiHidden/>
    <w:unhideWhenUsed/>
    <w:rsid w:val="00717CBC"/>
    <w:rPr>
      <w:color w:val="605E5C"/>
      <w:shd w:val="clear" w:color="auto" w:fill="E1DFDD"/>
    </w:rPr>
  </w:style>
  <w:style w:type="character" w:customStyle="1" w:styleId="UnresolvedMention3">
    <w:name w:val="Unresolved Mention3"/>
    <w:basedOn w:val="Domylnaczcionkaakapitu"/>
    <w:uiPriority w:val="99"/>
    <w:semiHidden/>
    <w:unhideWhenUsed/>
    <w:rsid w:val="00BB74D5"/>
    <w:rPr>
      <w:color w:val="605E5C"/>
      <w:shd w:val="clear" w:color="auto" w:fill="E1DFDD"/>
    </w:rPr>
  </w:style>
  <w:style w:type="character" w:customStyle="1" w:styleId="UnresolvedMention">
    <w:name w:val="Unresolved Mention"/>
    <w:basedOn w:val="Domylnaczcionkaakapitu"/>
    <w:uiPriority w:val="99"/>
    <w:semiHidden/>
    <w:unhideWhenUsed/>
    <w:rsid w:val="001A1222"/>
    <w:rPr>
      <w:color w:val="605E5C"/>
      <w:shd w:val="clear" w:color="auto" w:fill="E1DFDD"/>
    </w:rPr>
  </w:style>
  <w:style w:type="character" w:customStyle="1" w:styleId="Nagwek4Znak">
    <w:name w:val="Nagłówek 4 Znak"/>
    <w:basedOn w:val="Domylnaczcionkaakapitu"/>
    <w:link w:val="Nagwek4"/>
    <w:uiPriority w:val="9"/>
    <w:rsid w:val="00B16BB7"/>
    <w:rPr>
      <w:rFonts w:asciiTheme="majorHAnsi" w:eastAsiaTheme="majorEastAsia" w:hAnsiTheme="majorHAnsi" w:cstheme="majorBidi"/>
      <w:i/>
      <w:iCs/>
      <w:color w:val="2E74B5" w:themeColor="accent1" w:themeShade="BF"/>
      <w:lang w:val="pl-PL"/>
    </w:rPr>
  </w:style>
  <w:style w:type="character" w:customStyle="1" w:styleId="Nagwek5Znak">
    <w:name w:val="Nagłówek 5 Znak"/>
    <w:basedOn w:val="Domylnaczcionkaakapitu"/>
    <w:link w:val="Nagwek5"/>
    <w:uiPriority w:val="9"/>
    <w:rsid w:val="00B16BB7"/>
    <w:rPr>
      <w:rFonts w:asciiTheme="majorHAnsi" w:eastAsiaTheme="majorEastAsia" w:hAnsiTheme="majorHAnsi" w:cstheme="majorBidi"/>
      <w:color w:val="2E74B5" w:themeColor="accent1" w:themeShade="BF"/>
      <w:lang w:val="pl-PL"/>
    </w:rPr>
  </w:style>
  <w:style w:type="character" w:customStyle="1" w:styleId="Nagwek6Znak">
    <w:name w:val="Nagłówek 6 Znak"/>
    <w:basedOn w:val="Domylnaczcionkaakapitu"/>
    <w:link w:val="Nagwek6"/>
    <w:uiPriority w:val="9"/>
    <w:rsid w:val="00B16BB7"/>
    <w:rPr>
      <w:rFonts w:asciiTheme="majorHAnsi" w:eastAsiaTheme="majorEastAsia" w:hAnsiTheme="majorHAnsi" w:cstheme="majorBidi"/>
      <w:color w:val="1F4D78"/>
      <w:lang w:val="pl-PL"/>
    </w:rPr>
  </w:style>
  <w:style w:type="character" w:customStyle="1" w:styleId="Nagwek7Znak">
    <w:name w:val="Nagłówek 7 Znak"/>
    <w:basedOn w:val="Domylnaczcionkaakapitu"/>
    <w:link w:val="Nagwek7"/>
    <w:uiPriority w:val="9"/>
    <w:rsid w:val="00B16BB7"/>
    <w:rPr>
      <w:rFonts w:asciiTheme="majorHAnsi" w:eastAsiaTheme="majorEastAsia" w:hAnsiTheme="majorHAnsi" w:cstheme="majorBidi"/>
      <w:i/>
      <w:iCs/>
      <w:color w:val="1F4D78"/>
      <w:lang w:val="pl-PL"/>
    </w:rPr>
  </w:style>
  <w:style w:type="character" w:customStyle="1" w:styleId="Nagwek8Znak">
    <w:name w:val="Nagłówek 8 Znak"/>
    <w:basedOn w:val="Domylnaczcionkaakapitu"/>
    <w:link w:val="Nagwek8"/>
    <w:uiPriority w:val="9"/>
    <w:rsid w:val="00B16BB7"/>
    <w:rPr>
      <w:rFonts w:asciiTheme="majorHAnsi" w:eastAsiaTheme="majorEastAsia" w:hAnsiTheme="majorHAnsi" w:cstheme="majorBidi"/>
      <w:color w:val="272727"/>
      <w:sz w:val="21"/>
      <w:szCs w:val="21"/>
      <w:lang w:val="pl-PL"/>
    </w:rPr>
  </w:style>
  <w:style w:type="character" w:customStyle="1" w:styleId="Nagwek9Znak">
    <w:name w:val="Nagłówek 9 Znak"/>
    <w:basedOn w:val="Domylnaczcionkaakapitu"/>
    <w:link w:val="Nagwek9"/>
    <w:uiPriority w:val="9"/>
    <w:rsid w:val="00B16BB7"/>
    <w:rPr>
      <w:rFonts w:asciiTheme="majorHAnsi" w:eastAsiaTheme="majorEastAsia" w:hAnsiTheme="majorHAnsi" w:cstheme="majorBidi"/>
      <w:i/>
      <w:iCs/>
      <w:color w:val="272727"/>
      <w:sz w:val="21"/>
      <w:szCs w:val="21"/>
      <w:lang w:val="pl-PL"/>
    </w:rPr>
  </w:style>
  <w:style w:type="paragraph" w:styleId="Podtytu">
    <w:name w:val="Subtitle"/>
    <w:basedOn w:val="Normalny"/>
    <w:next w:val="Normalny"/>
    <w:link w:val="PodtytuZnak"/>
    <w:uiPriority w:val="11"/>
    <w:qFormat/>
    <w:rsid w:val="55024A32"/>
    <w:rPr>
      <w:rFonts w:eastAsiaTheme="minorEastAsia"/>
      <w:color w:val="5A5A5A"/>
    </w:rPr>
  </w:style>
  <w:style w:type="character" w:customStyle="1" w:styleId="PodtytuZnak">
    <w:name w:val="Podtytuł Znak"/>
    <w:basedOn w:val="Domylnaczcionkaakapitu"/>
    <w:link w:val="Podtytu"/>
    <w:uiPriority w:val="11"/>
    <w:rsid w:val="00B16BB7"/>
    <w:rPr>
      <w:rFonts w:eastAsiaTheme="minorEastAsia"/>
      <w:color w:val="5A5A5A"/>
      <w:lang w:val="pl-PL"/>
    </w:rPr>
  </w:style>
  <w:style w:type="paragraph" w:styleId="Cytat">
    <w:name w:val="Quote"/>
    <w:basedOn w:val="Normalny"/>
    <w:next w:val="Normalny"/>
    <w:link w:val="CytatZnak"/>
    <w:uiPriority w:val="29"/>
    <w:qFormat/>
    <w:rsid w:val="00B16BB7"/>
    <w:pPr>
      <w:spacing w:before="200"/>
      <w:ind w:left="864" w:right="864"/>
      <w:jc w:val="center"/>
    </w:pPr>
    <w:rPr>
      <w:i/>
      <w:iCs/>
      <w:color w:val="404040" w:themeColor="text1" w:themeTint="BF"/>
    </w:rPr>
  </w:style>
  <w:style w:type="character" w:customStyle="1" w:styleId="CytatZnak">
    <w:name w:val="Cytat Znak"/>
    <w:basedOn w:val="Domylnaczcionkaakapitu"/>
    <w:link w:val="Cytat"/>
    <w:uiPriority w:val="29"/>
    <w:rsid w:val="00B16BB7"/>
    <w:rPr>
      <w:i/>
      <w:iCs/>
      <w:color w:val="404040" w:themeColor="text1" w:themeTint="BF"/>
      <w:lang w:val="pl-PL"/>
    </w:rPr>
  </w:style>
  <w:style w:type="paragraph" w:styleId="Cytatintensywny">
    <w:name w:val="Intense Quote"/>
    <w:basedOn w:val="Normalny"/>
    <w:next w:val="Normalny"/>
    <w:link w:val="CytatintensywnyZnak"/>
    <w:uiPriority w:val="30"/>
    <w:qFormat/>
    <w:rsid w:val="00B16BB7"/>
    <w:pPr>
      <w:spacing w:before="360" w:after="360"/>
      <w:ind w:left="864" w:right="864"/>
      <w:jc w:val="center"/>
    </w:pPr>
    <w:rPr>
      <w:i/>
      <w:iCs/>
      <w:color w:val="5B9BD5" w:themeColor="accent1"/>
    </w:rPr>
  </w:style>
  <w:style w:type="character" w:customStyle="1" w:styleId="CytatintensywnyZnak">
    <w:name w:val="Cytat intensywny Znak"/>
    <w:basedOn w:val="Domylnaczcionkaakapitu"/>
    <w:link w:val="Cytatintensywny"/>
    <w:uiPriority w:val="30"/>
    <w:rsid w:val="00B16BB7"/>
    <w:rPr>
      <w:i/>
      <w:iCs/>
      <w:color w:val="5B9BD5" w:themeColor="accent1"/>
      <w:lang w:val="pl-PL"/>
    </w:rPr>
  </w:style>
  <w:style w:type="paragraph" w:styleId="Spistreci4">
    <w:name w:val="toc 4"/>
    <w:basedOn w:val="Normalny"/>
    <w:next w:val="Normalny"/>
    <w:uiPriority w:val="39"/>
    <w:unhideWhenUsed/>
    <w:rsid w:val="00B16BB7"/>
    <w:pPr>
      <w:spacing w:after="100"/>
      <w:ind w:left="660"/>
    </w:pPr>
  </w:style>
  <w:style w:type="paragraph" w:styleId="Spistreci5">
    <w:name w:val="toc 5"/>
    <w:basedOn w:val="Normalny"/>
    <w:next w:val="Normalny"/>
    <w:uiPriority w:val="39"/>
    <w:unhideWhenUsed/>
    <w:rsid w:val="00B16BB7"/>
    <w:pPr>
      <w:spacing w:after="100"/>
      <w:ind w:left="880"/>
    </w:pPr>
  </w:style>
  <w:style w:type="paragraph" w:styleId="Spistreci6">
    <w:name w:val="toc 6"/>
    <w:basedOn w:val="Normalny"/>
    <w:next w:val="Normalny"/>
    <w:uiPriority w:val="39"/>
    <w:unhideWhenUsed/>
    <w:rsid w:val="00B16BB7"/>
    <w:pPr>
      <w:spacing w:after="100"/>
      <w:ind w:left="1100"/>
    </w:pPr>
  </w:style>
  <w:style w:type="paragraph" w:styleId="Spistreci7">
    <w:name w:val="toc 7"/>
    <w:basedOn w:val="Normalny"/>
    <w:next w:val="Normalny"/>
    <w:uiPriority w:val="39"/>
    <w:unhideWhenUsed/>
    <w:rsid w:val="00B16BB7"/>
    <w:pPr>
      <w:spacing w:after="100"/>
      <w:ind w:left="1320"/>
    </w:pPr>
  </w:style>
  <w:style w:type="paragraph" w:styleId="Spistreci8">
    <w:name w:val="toc 8"/>
    <w:basedOn w:val="Normalny"/>
    <w:next w:val="Normalny"/>
    <w:uiPriority w:val="39"/>
    <w:unhideWhenUsed/>
    <w:rsid w:val="00B16BB7"/>
    <w:pPr>
      <w:spacing w:after="100"/>
      <w:ind w:left="1540"/>
    </w:pPr>
  </w:style>
  <w:style w:type="paragraph" w:styleId="Spistreci9">
    <w:name w:val="toc 9"/>
    <w:basedOn w:val="Normalny"/>
    <w:next w:val="Normalny"/>
    <w:uiPriority w:val="39"/>
    <w:unhideWhenUsed/>
    <w:rsid w:val="00B16BB7"/>
    <w:pPr>
      <w:spacing w:after="100"/>
      <w:ind w:left="1760"/>
    </w:pPr>
  </w:style>
  <w:style w:type="paragraph" w:styleId="Tekstprzypisukocowego">
    <w:name w:val="endnote text"/>
    <w:basedOn w:val="Normalny"/>
    <w:link w:val="TekstprzypisukocowegoZnak"/>
    <w:uiPriority w:val="99"/>
    <w:semiHidden/>
    <w:unhideWhenUsed/>
    <w:rsid w:val="00B16BB7"/>
    <w:pPr>
      <w:spacing w:after="0"/>
    </w:pPr>
    <w:rPr>
      <w:sz w:val="20"/>
      <w:szCs w:val="20"/>
    </w:rPr>
  </w:style>
  <w:style w:type="character" w:customStyle="1" w:styleId="TekstprzypisukocowegoZnak">
    <w:name w:val="Tekst przypisu końcowego Znak"/>
    <w:basedOn w:val="Domylnaczcionkaakapitu"/>
    <w:link w:val="Tekstprzypisukocowego"/>
    <w:uiPriority w:val="99"/>
    <w:semiHidden/>
    <w:rsid w:val="00B16BB7"/>
    <w:rPr>
      <w:sz w:val="20"/>
      <w:szCs w:val="20"/>
      <w:lang w:val="pl-PL"/>
    </w:rPr>
  </w:style>
  <w:style w:type="character" w:styleId="Odwoanieprzypisukocowego">
    <w:name w:val="endnote reference"/>
    <w:basedOn w:val="Domylnaczcionkaakapitu"/>
    <w:uiPriority w:val="99"/>
    <w:semiHidden/>
    <w:unhideWhenUsed/>
    <w:rsid w:val="001F50F5"/>
    <w:rPr>
      <w:vertAlign w:val="superscript"/>
    </w:rPr>
  </w:style>
  <w:style w:type="paragraph" w:customStyle="1" w:styleId="Normal0">
    <w:name w:val="Normal0"/>
    <w:rsid w:val="00AF4F64"/>
    <w:pPr>
      <w:spacing w:after="200" w:line="276" w:lineRule="auto"/>
    </w:pPr>
    <w:rPr>
      <w:rFonts w:ascii="Calibri" w:eastAsia="Calibri" w:hAnsi="Calibri" w:cs="Calibri"/>
      <w:lang w:val="en-GB" w:eastAsia="en-IE"/>
    </w:rPr>
  </w:style>
  <w:style w:type="character" w:customStyle="1" w:styleId="ui-provider">
    <w:name w:val="ui-provider"/>
    <w:basedOn w:val="Domylnaczcionkaakapitu"/>
    <w:rsid w:val="00AF4F64"/>
  </w:style>
  <w:style w:type="character" w:customStyle="1" w:styleId="rynqvb">
    <w:name w:val="rynqvb"/>
    <w:basedOn w:val="Domylnaczcionkaakapitu"/>
    <w:rsid w:val="00AF4F64"/>
  </w:style>
  <w:style w:type="character" w:customStyle="1" w:styleId="kgnlhe">
    <w:name w:val="kgnlhe"/>
    <w:basedOn w:val="Domylnaczcionkaakapitu"/>
    <w:rsid w:val="00AF4F64"/>
  </w:style>
  <w:style w:type="character" w:styleId="UyteHipercze">
    <w:name w:val="FollowedHyperlink"/>
    <w:basedOn w:val="Domylnaczcionkaakapitu"/>
    <w:uiPriority w:val="99"/>
    <w:semiHidden/>
    <w:unhideWhenUsed/>
    <w:rsid w:val="00AF4F64"/>
    <w:rPr>
      <w:color w:val="954F72" w:themeColor="followedHyperlink"/>
      <w:u w:val="single"/>
    </w:rPr>
  </w:style>
  <w:style w:type="paragraph" w:customStyle="1" w:styleId="ARTartustawynprozporzdzenia">
    <w:name w:val="ART(§) – art. ustawy (§ np. rozporządzenia)"/>
    <w:basedOn w:val="Normalny"/>
    <w:uiPriority w:val="11"/>
    <w:rsid w:val="00EB6F14"/>
    <w:pPr>
      <w:autoSpaceDE w:val="0"/>
      <w:autoSpaceDN w:val="0"/>
      <w:spacing w:before="120" w:after="0" w:line="360" w:lineRule="auto"/>
      <w:ind w:firstLine="510"/>
    </w:pPr>
    <w:rPr>
      <w:rFonts w:ascii="Times" w:eastAsiaTheme="minorHAnsi" w:hAnsi="Times" w:cs="Calibri"/>
      <w:lang w:eastAsia="pl-PL"/>
    </w:rPr>
  </w:style>
  <w:style w:type="paragraph" w:styleId="HTML-wstpniesformatowany">
    <w:name w:val="HTML Preformatted"/>
    <w:basedOn w:val="Normalny"/>
    <w:link w:val="HTML-wstpniesformatowanyZnak"/>
    <w:uiPriority w:val="99"/>
    <w:unhideWhenUsed/>
    <w:rsid w:val="00EB6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EB6F14"/>
    <w:rPr>
      <w:rFonts w:ascii="Courier New" w:eastAsia="Times New Roman" w:hAnsi="Courier New" w:cs="Courier New"/>
      <w:sz w:val="20"/>
      <w:szCs w:val="20"/>
      <w:lang w:val="pl-PL" w:eastAsia="pl-PL"/>
    </w:rPr>
  </w:style>
  <w:style w:type="character" w:customStyle="1" w:styleId="y2iqfc">
    <w:name w:val="y2iqfc"/>
    <w:basedOn w:val="Domylnaczcionkaakapitu"/>
    <w:rsid w:val="00EB6F14"/>
  </w:style>
  <w:style w:type="character" w:customStyle="1" w:styleId="markedcontent">
    <w:name w:val="markedcontent"/>
    <w:basedOn w:val="Domylnaczcionkaakapitu"/>
    <w:rsid w:val="00EB6F14"/>
  </w:style>
  <w:style w:type="numbering" w:customStyle="1" w:styleId="Bezlisty1">
    <w:name w:val="Bez listy1"/>
    <w:next w:val="Bezlisty"/>
    <w:uiPriority w:val="99"/>
    <w:semiHidden/>
    <w:unhideWhenUsed/>
    <w:rsid w:val="00EB6F14"/>
  </w:style>
  <w:style w:type="numbering" w:customStyle="1" w:styleId="Bezlisty2">
    <w:name w:val="Bez listy2"/>
    <w:next w:val="Bezlisty"/>
    <w:uiPriority w:val="99"/>
    <w:semiHidden/>
    <w:unhideWhenUsed/>
    <w:rsid w:val="00EB6F14"/>
  </w:style>
  <w:style w:type="paragraph" w:styleId="Tekstpodstawowy">
    <w:name w:val="Body Text"/>
    <w:basedOn w:val="Normalny"/>
    <w:link w:val="TekstpodstawowyZnak"/>
    <w:uiPriority w:val="99"/>
    <w:unhideWhenUsed/>
    <w:rsid w:val="00EB6F14"/>
    <w:pPr>
      <w:spacing w:after="120" w:line="259" w:lineRule="auto"/>
      <w:jc w:val="left"/>
    </w:pPr>
    <w:rPr>
      <w:rFonts w:asciiTheme="minorHAnsi" w:eastAsiaTheme="minorHAnsi" w:hAnsiTheme="minorHAnsi" w:cstheme="minorBidi"/>
      <w:sz w:val="22"/>
      <w:szCs w:val="22"/>
      <w:lang w:val="es-ES"/>
    </w:rPr>
  </w:style>
  <w:style w:type="character" w:customStyle="1" w:styleId="TekstpodstawowyZnak">
    <w:name w:val="Tekst podstawowy Znak"/>
    <w:basedOn w:val="Domylnaczcionkaakapitu"/>
    <w:link w:val="Tekstpodstawowy"/>
    <w:uiPriority w:val="99"/>
    <w:rsid w:val="00EB6F14"/>
    <w:rPr>
      <w:lang w:val="es-ES"/>
    </w:rPr>
  </w:style>
  <w:style w:type="paragraph" w:customStyle="1" w:styleId="msonormal0">
    <w:name w:val="msonormal"/>
    <w:basedOn w:val="Normalny"/>
    <w:uiPriority w:val="99"/>
    <w:rsid w:val="00EB6F14"/>
    <w:pPr>
      <w:spacing w:before="100" w:beforeAutospacing="1" w:after="100" w:afterAutospacing="1" w:line="240" w:lineRule="auto"/>
      <w:jc w:val="left"/>
    </w:pPr>
    <w:rPr>
      <w:lang w:eastAsia="pl-PL"/>
    </w:rPr>
  </w:style>
  <w:style w:type="paragraph" w:customStyle="1" w:styleId="TableParagraph">
    <w:name w:val="Table Paragraph"/>
    <w:basedOn w:val="Normalny"/>
    <w:uiPriority w:val="1"/>
    <w:qFormat/>
    <w:rsid w:val="00EB6F14"/>
    <w:pPr>
      <w:widowControl w:val="0"/>
      <w:autoSpaceDE w:val="0"/>
      <w:autoSpaceDN w:val="0"/>
      <w:spacing w:after="0" w:line="240" w:lineRule="auto"/>
      <w:jc w:val="left"/>
    </w:pPr>
    <w:rPr>
      <w:sz w:val="22"/>
      <w:szCs w:val="22"/>
    </w:rPr>
  </w:style>
  <w:style w:type="table" w:customStyle="1" w:styleId="NormalTable0">
    <w:name w:val="Normal Table0"/>
    <w:uiPriority w:val="2"/>
    <w:semiHidden/>
    <w:unhideWhenUsed/>
    <w:qFormat/>
    <w:rsid w:val="00002B1E"/>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CM1">
    <w:name w:val="CM1"/>
    <w:basedOn w:val="Default"/>
    <w:next w:val="Default"/>
    <w:uiPriority w:val="99"/>
    <w:rsid w:val="00002B1E"/>
    <w:rPr>
      <w:rFonts w:ascii="EU Albertina" w:eastAsiaTheme="minorHAnsi" w:hAnsi="EU Albertina" w:cstheme="minorBidi"/>
      <w:color w:val="auto"/>
      <w:lang w:val="pl-PL" w:eastAsia="en-US"/>
    </w:rPr>
  </w:style>
  <w:style w:type="paragraph" w:customStyle="1" w:styleId="CM3">
    <w:name w:val="CM3"/>
    <w:basedOn w:val="Default"/>
    <w:next w:val="Default"/>
    <w:uiPriority w:val="99"/>
    <w:rsid w:val="00002B1E"/>
    <w:rPr>
      <w:rFonts w:ascii="EU Albertina" w:eastAsiaTheme="minorHAnsi" w:hAnsi="EU Albertina" w:cstheme="minorBidi"/>
      <w:color w:val="auto"/>
      <w:lang w:val="pl-PL" w:eastAsia="en-US"/>
    </w:rPr>
  </w:style>
  <w:style w:type="character" w:customStyle="1" w:styleId="cf01">
    <w:name w:val="cf01"/>
    <w:basedOn w:val="Domylnaczcionkaakapitu"/>
    <w:rsid w:val="00002B1E"/>
    <w:rPr>
      <w:rFonts w:ascii="Segoe UI" w:hAnsi="Segoe UI" w:cs="Segoe UI" w:hint="default"/>
      <w:sz w:val="18"/>
      <w:szCs w:val="18"/>
    </w:rPr>
  </w:style>
  <w:style w:type="character" w:customStyle="1" w:styleId="single-excerpt">
    <w:name w:val="single-excerpt"/>
    <w:basedOn w:val="Domylnaczcionkaakapitu"/>
    <w:rsid w:val="00002B1E"/>
  </w:style>
  <w:style w:type="table" w:customStyle="1" w:styleId="NormalTable1">
    <w:name w:val="Normal Table1"/>
    <w:uiPriority w:val="2"/>
    <w:semiHidden/>
    <w:unhideWhenUsed/>
    <w:qFormat/>
    <w:rsid w:val="00683C31"/>
    <w:pPr>
      <w:widowControl w:val="0"/>
      <w:autoSpaceDE w:val="0"/>
      <w:autoSpaceDN w:val="0"/>
      <w:spacing w:after="0" w:line="240" w:lineRule="auto"/>
    </w:pPr>
    <w:tblPr>
      <w:tblInd w:w="0" w:type="dxa"/>
      <w:tblCellMar>
        <w:top w:w="0" w:type="dxa"/>
        <w:left w:w="0" w:type="dxa"/>
        <w:bottom w:w="0" w:type="dxa"/>
        <w:right w:w="0" w:type="dxa"/>
      </w:tblCellMar>
    </w:tblPr>
  </w:style>
  <w:style w:type="numbering" w:customStyle="1" w:styleId="Bezlisty3">
    <w:name w:val="Bez listy3"/>
    <w:next w:val="Bezlisty"/>
    <w:uiPriority w:val="99"/>
    <w:semiHidden/>
    <w:unhideWhenUsed/>
    <w:rsid w:val="00D94758"/>
  </w:style>
  <w:style w:type="paragraph" w:customStyle="1" w:styleId="gwpafedfbb0gwpbb7329c9msonormal">
    <w:name w:val="gwpafedfbb0_gwpbb7329c9_msonormal"/>
    <w:basedOn w:val="Normalny"/>
    <w:rsid w:val="00D94758"/>
    <w:pPr>
      <w:spacing w:before="100" w:beforeAutospacing="1" w:after="100" w:afterAutospacing="1" w:line="240" w:lineRule="auto"/>
      <w:jc w:val="left"/>
    </w:pPr>
    <w:rPr>
      <w:rFonts w:ascii="Aptos" w:eastAsia="Calibri" w:hAnsi="Aptos" w:cs="Aptos"/>
      <w:lang w:eastAsia="pl-PL"/>
      <w14:ligatures w14:val="standardContextual"/>
    </w:rPr>
  </w:style>
  <w:style w:type="paragraph" w:styleId="Bezodstpw">
    <w:name w:val="No Spacing"/>
    <w:uiPriority w:val="1"/>
    <w:qFormat/>
    <w:rsid w:val="00A13E80"/>
    <w:pPr>
      <w:spacing w:after="0" w:line="240" w:lineRule="auto"/>
    </w:pPr>
    <w:rPr>
      <w:lang w:val="pl-PL"/>
    </w:rPr>
  </w:style>
  <w:style w:type="character" w:customStyle="1" w:styleId="ts-alignment-element">
    <w:name w:val="ts-alignment-element"/>
    <w:basedOn w:val="Domylnaczcionkaakapitu"/>
    <w:rsid w:val="00B439BC"/>
  </w:style>
  <w:style w:type="paragraph" w:customStyle="1" w:styleId="TYTUAKTUprzedmiotregulacjiustawylubrozporzdzenia">
    <w:name w:val="TYTUŁ_AKTU – przedmiot regulacji ustawy lub rozporządzenia"/>
    <w:next w:val="Normalny"/>
    <w:uiPriority w:val="3"/>
    <w:qFormat/>
    <w:rsid w:val="00DB64E1"/>
    <w:pPr>
      <w:keepNext/>
      <w:suppressAutoHyphens/>
      <w:spacing w:before="120" w:after="360" w:line="360" w:lineRule="auto"/>
      <w:jc w:val="center"/>
    </w:pPr>
    <w:rPr>
      <w:rFonts w:ascii="Times" w:eastAsiaTheme="minorEastAsia" w:hAnsi="Times" w:cs="Arial"/>
      <w:b/>
      <w:bCs/>
      <w:sz w:val="24"/>
      <w:szCs w:val="24"/>
      <w:lang w:val="pl-PL" w:eastAsia="pl-PL"/>
    </w:rPr>
  </w:style>
  <w:style w:type="character" w:customStyle="1" w:styleId="Teksttreci">
    <w:name w:val="Tekst treści_"/>
    <w:link w:val="Teksttreci0"/>
    <w:uiPriority w:val="99"/>
    <w:locked/>
    <w:rsid w:val="005A3E5D"/>
    <w:rPr>
      <w:rFonts w:ascii="Times New Roman" w:hAnsi="Times New Roman"/>
      <w:sz w:val="23"/>
      <w:szCs w:val="23"/>
      <w:shd w:val="clear" w:color="auto" w:fill="FFFFFF"/>
    </w:rPr>
  </w:style>
  <w:style w:type="paragraph" w:customStyle="1" w:styleId="Teksttreci0">
    <w:name w:val="Tekst treści"/>
    <w:basedOn w:val="Normalny"/>
    <w:link w:val="Teksttreci"/>
    <w:uiPriority w:val="99"/>
    <w:rsid w:val="005A3E5D"/>
    <w:pPr>
      <w:widowControl w:val="0"/>
      <w:shd w:val="clear" w:color="auto" w:fill="FFFFFF"/>
      <w:spacing w:after="0" w:line="413" w:lineRule="exact"/>
      <w:ind w:hanging="720"/>
    </w:pPr>
    <w:rPr>
      <w:rFonts w:eastAsiaTheme="minorHAnsi" w:cstheme="minorBidi"/>
      <w:sz w:val="23"/>
      <w:szCs w:val="23"/>
      <w:lang w:val="en-US"/>
    </w:rPr>
  </w:style>
  <w:style w:type="character" w:customStyle="1" w:styleId="hgkelc">
    <w:name w:val="hgkelc"/>
    <w:basedOn w:val="Domylnaczcionkaakapitu"/>
    <w:rsid w:val="00A1213F"/>
  </w:style>
  <w:style w:type="character" w:styleId="HTML-kod">
    <w:name w:val="HTML Code"/>
    <w:basedOn w:val="Domylnaczcionkaakapitu"/>
    <w:uiPriority w:val="99"/>
    <w:semiHidden/>
    <w:unhideWhenUsed/>
    <w:rsid w:val="00A1213F"/>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23305">
      <w:bodyDiv w:val="1"/>
      <w:marLeft w:val="0"/>
      <w:marRight w:val="0"/>
      <w:marTop w:val="0"/>
      <w:marBottom w:val="0"/>
      <w:divBdr>
        <w:top w:val="none" w:sz="0" w:space="0" w:color="auto"/>
        <w:left w:val="none" w:sz="0" w:space="0" w:color="auto"/>
        <w:bottom w:val="none" w:sz="0" w:space="0" w:color="auto"/>
        <w:right w:val="none" w:sz="0" w:space="0" w:color="auto"/>
      </w:divBdr>
    </w:div>
    <w:div w:id="33620365">
      <w:bodyDiv w:val="1"/>
      <w:marLeft w:val="0"/>
      <w:marRight w:val="0"/>
      <w:marTop w:val="0"/>
      <w:marBottom w:val="0"/>
      <w:divBdr>
        <w:top w:val="none" w:sz="0" w:space="0" w:color="auto"/>
        <w:left w:val="none" w:sz="0" w:space="0" w:color="auto"/>
        <w:bottom w:val="none" w:sz="0" w:space="0" w:color="auto"/>
        <w:right w:val="none" w:sz="0" w:space="0" w:color="auto"/>
      </w:divBdr>
    </w:div>
    <w:div w:id="36125587">
      <w:bodyDiv w:val="1"/>
      <w:marLeft w:val="0"/>
      <w:marRight w:val="0"/>
      <w:marTop w:val="0"/>
      <w:marBottom w:val="0"/>
      <w:divBdr>
        <w:top w:val="none" w:sz="0" w:space="0" w:color="auto"/>
        <w:left w:val="none" w:sz="0" w:space="0" w:color="auto"/>
        <w:bottom w:val="none" w:sz="0" w:space="0" w:color="auto"/>
        <w:right w:val="none" w:sz="0" w:space="0" w:color="auto"/>
      </w:divBdr>
      <w:divsChild>
        <w:div w:id="389306301">
          <w:marLeft w:val="0"/>
          <w:marRight w:val="0"/>
          <w:marTop w:val="0"/>
          <w:marBottom w:val="0"/>
          <w:divBdr>
            <w:top w:val="none" w:sz="0" w:space="0" w:color="auto"/>
            <w:left w:val="none" w:sz="0" w:space="0" w:color="auto"/>
            <w:bottom w:val="none" w:sz="0" w:space="0" w:color="auto"/>
            <w:right w:val="none" w:sz="0" w:space="0" w:color="auto"/>
          </w:divBdr>
        </w:div>
      </w:divsChild>
    </w:div>
    <w:div w:id="87115527">
      <w:bodyDiv w:val="1"/>
      <w:marLeft w:val="0"/>
      <w:marRight w:val="0"/>
      <w:marTop w:val="0"/>
      <w:marBottom w:val="0"/>
      <w:divBdr>
        <w:top w:val="none" w:sz="0" w:space="0" w:color="auto"/>
        <w:left w:val="none" w:sz="0" w:space="0" w:color="auto"/>
        <w:bottom w:val="none" w:sz="0" w:space="0" w:color="auto"/>
        <w:right w:val="none" w:sz="0" w:space="0" w:color="auto"/>
      </w:divBdr>
    </w:div>
    <w:div w:id="100494140">
      <w:bodyDiv w:val="1"/>
      <w:marLeft w:val="0"/>
      <w:marRight w:val="0"/>
      <w:marTop w:val="0"/>
      <w:marBottom w:val="0"/>
      <w:divBdr>
        <w:top w:val="none" w:sz="0" w:space="0" w:color="auto"/>
        <w:left w:val="none" w:sz="0" w:space="0" w:color="auto"/>
        <w:bottom w:val="none" w:sz="0" w:space="0" w:color="auto"/>
        <w:right w:val="none" w:sz="0" w:space="0" w:color="auto"/>
      </w:divBdr>
    </w:div>
    <w:div w:id="121535870">
      <w:bodyDiv w:val="1"/>
      <w:marLeft w:val="0"/>
      <w:marRight w:val="0"/>
      <w:marTop w:val="0"/>
      <w:marBottom w:val="0"/>
      <w:divBdr>
        <w:top w:val="none" w:sz="0" w:space="0" w:color="auto"/>
        <w:left w:val="none" w:sz="0" w:space="0" w:color="auto"/>
        <w:bottom w:val="none" w:sz="0" w:space="0" w:color="auto"/>
        <w:right w:val="none" w:sz="0" w:space="0" w:color="auto"/>
      </w:divBdr>
    </w:div>
    <w:div w:id="181936979">
      <w:bodyDiv w:val="1"/>
      <w:marLeft w:val="0"/>
      <w:marRight w:val="0"/>
      <w:marTop w:val="0"/>
      <w:marBottom w:val="0"/>
      <w:divBdr>
        <w:top w:val="none" w:sz="0" w:space="0" w:color="auto"/>
        <w:left w:val="none" w:sz="0" w:space="0" w:color="auto"/>
        <w:bottom w:val="none" w:sz="0" w:space="0" w:color="auto"/>
        <w:right w:val="none" w:sz="0" w:space="0" w:color="auto"/>
      </w:divBdr>
    </w:div>
    <w:div w:id="186456588">
      <w:bodyDiv w:val="1"/>
      <w:marLeft w:val="0"/>
      <w:marRight w:val="0"/>
      <w:marTop w:val="0"/>
      <w:marBottom w:val="0"/>
      <w:divBdr>
        <w:top w:val="none" w:sz="0" w:space="0" w:color="auto"/>
        <w:left w:val="none" w:sz="0" w:space="0" w:color="auto"/>
        <w:bottom w:val="none" w:sz="0" w:space="0" w:color="auto"/>
        <w:right w:val="none" w:sz="0" w:space="0" w:color="auto"/>
      </w:divBdr>
    </w:div>
    <w:div w:id="203642433">
      <w:bodyDiv w:val="1"/>
      <w:marLeft w:val="0"/>
      <w:marRight w:val="0"/>
      <w:marTop w:val="0"/>
      <w:marBottom w:val="0"/>
      <w:divBdr>
        <w:top w:val="none" w:sz="0" w:space="0" w:color="auto"/>
        <w:left w:val="none" w:sz="0" w:space="0" w:color="auto"/>
        <w:bottom w:val="none" w:sz="0" w:space="0" w:color="auto"/>
        <w:right w:val="none" w:sz="0" w:space="0" w:color="auto"/>
      </w:divBdr>
    </w:div>
    <w:div w:id="210070992">
      <w:bodyDiv w:val="1"/>
      <w:marLeft w:val="0"/>
      <w:marRight w:val="0"/>
      <w:marTop w:val="0"/>
      <w:marBottom w:val="0"/>
      <w:divBdr>
        <w:top w:val="none" w:sz="0" w:space="0" w:color="auto"/>
        <w:left w:val="none" w:sz="0" w:space="0" w:color="auto"/>
        <w:bottom w:val="none" w:sz="0" w:space="0" w:color="auto"/>
        <w:right w:val="none" w:sz="0" w:space="0" w:color="auto"/>
      </w:divBdr>
    </w:div>
    <w:div w:id="233046934">
      <w:bodyDiv w:val="1"/>
      <w:marLeft w:val="0"/>
      <w:marRight w:val="0"/>
      <w:marTop w:val="0"/>
      <w:marBottom w:val="0"/>
      <w:divBdr>
        <w:top w:val="none" w:sz="0" w:space="0" w:color="auto"/>
        <w:left w:val="none" w:sz="0" w:space="0" w:color="auto"/>
        <w:bottom w:val="none" w:sz="0" w:space="0" w:color="auto"/>
        <w:right w:val="none" w:sz="0" w:space="0" w:color="auto"/>
      </w:divBdr>
    </w:div>
    <w:div w:id="239406372">
      <w:bodyDiv w:val="1"/>
      <w:marLeft w:val="0"/>
      <w:marRight w:val="0"/>
      <w:marTop w:val="0"/>
      <w:marBottom w:val="0"/>
      <w:divBdr>
        <w:top w:val="none" w:sz="0" w:space="0" w:color="auto"/>
        <w:left w:val="none" w:sz="0" w:space="0" w:color="auto"/>
        <w:bottom w:val="none" w:sz="0" w:space="0" w:color="auto"/>
        <w:right w:val="none" w:sz="0" w:space="0" w:color="auto"/>
      </w:divBdr>
    </w:div>
    <w:div w:id="256594001">
      <w:bodyDiv w:val="1"/>
      <w:marLeft w:val="0"/>
      <w:marRight w:val="0"/>
      <w:marTop w:val="0"/>
      <w:marBottom w:val="0"/>
      <w:divBdr>
        <w:top w:val="none" w:sz="0" w:space="0" w:color="auto"/>
        <w:left w:val="none" w:sz="0" w:space="0" w:color="auto"/>
        <w:bottom w:val="none" w:sz="0" w:space="0" w:color="auto"/>
        <w:right w:val="none" w:sz="0" w:space="0" w:color="auto"/>
      </w:divBdr>
    </w:div>
    <w:div w:id="262543377">
      <w:bodyDiv w:val="1"/>
      <w:marLeft w:val="0"/>
      <w:marRight w:val="0"/>
      <w:marTop w:val="0"/>
      <w:marBottom w:val="0"/>
      <w:divBdr>
        <w:top w:val="none" w:sz="0" w:space="0" w:color="auto"/>
        <w:left w:val="none" w:sz="0" w:space="0" w:color="auto"/>
        <w:bottom w:val="none" w:sz="0" w:space="0" w:color="auto"/>
        <w:right w:val="none" w:sz="0" w:space="0" w:color="auto"/>
      </w:divBdr>
    </w:div>
    <w:div w:id="283466180">
      <w:bodyDiv w:val="1"/>
      <w:marLeft w:val="0"/>
      <w:marRight w:val="0"/>
      <w:marTop w:val="0"/>
      <w:marBottom w:val="0"/>
      <w:divBdr>
        <w:top w:val="none" w:sz="0" w:space="0" w:color="auto"/>
        <w:left w:val="none" w:sz="0" w:space="0" w:color="auto"/>
        <w:bottom w:val="none" w:sz="0" w:space="0" w:color="auto"/>
        <w:right w:val="none" w:sz="0" w:space="0" w:color="auto"/>
      </w:divBdr>
    </w:div>
    <w:div w:id="291906760">
      <w:bodyDiv w:val="1"/>
      <w:marLeft w:val="0"/>
      <w:marRight w:val="0"/>
      <w:marTop w:val="0"/>
      <w:marBottom w:val="0"/>
      <w:divBdr>
        <w:top w:val="none" w:sz="0" w:space="0" w:color="auto"/>
        <w:left w:val="none" w:sz="0" w:space="0" w:color="auto"/>
        <w:bottom w:val="none" w:sz="0" w:space="0" w:color="auto"/>
        <w:right w:val="none" w:sz="0" w:space="0" w:color="auto"/>
      </w:divBdr>
    </w:div>
    <w:div w:id="311522173">
      <w:bodyDiv w:val="1"/>
      <w:marLeft w:val="0"/>
      <w:marRight w:val="0"/>
      <w:marTop w:val="0"/>
      <w:marBottom w:val="0"/>
      <w:divBdr>
        <w:top w:val="none" w:sz="0" w:space="0" w:color="auto"/>
        <w:left w:val="none" w:sz="0" w:space="0" w:color="auto"/>
        <w:bottom w:val="none" w:sz="0" w:space="0" w:color="auto"/>
        <w:right w:val="none" w:sz="0" w:space="0" w:color="auto"/>
      </w:divBdr>
    </w:div>
    <w:div w:id="312687035">
      <w:bodyDiv w:val="1"/>
      <w:marLeft w:val="0"/>
      <w:marRight w:val="0"/>
      <w:marTop w:val="0"/>
      <w:marBottom w:val="0"/>
      <w:divBdr>
        <w:top w:val="none" w:sz="0" w:space="0" w:color="auto"/>
        <w:left w:val="none" w:sz="0" w:space="0" w:color="auto"/>
        <w:bottom w:val="none" w:sz="0" w:space="0" w:color="auto"/>
        <w:right w:val="none" w:sz="0" w:space="0" w:color="auto"/>
      </w:divBdr>
      <w:divsChild>
        <w:div w:id="1989433427">
          <w:marLeft w:val="0"/>
          <w:marRight w:val="0"/>
          <w:marTop w:val="0"/>
          <w:marBottom w:val="0"/>
          <w:divBdr>
            <w:top w:val="none" w:sz="0" w:space="0" w:color="auto"/>
            <w:left w:val="none" w:sz="0" w:space="0" w:color="auto"/>
            <w:bottom w:val="none" w:sz="0" w:space="0" w:color="auto"/>
            <w:right w:val="none" w:sz="0" w:space="0" w:color="auto"/>
          </w:divBdr>
        </w:div>
      </w:divsChild>
    </w:div>
    <w:div w:id="322854265">
      <w:bodyDiv w:val="1"/>
      <w:marLeft w:val="0"/>
      <w:marRight w:val="0"/>
      <w:marTop w:val="0"/>
      <w:marBottom w:val="0"/>
      <w:divBdr>
        <w:top w:val="none" w:sz="0" w:space="0" w:color="auto"/>
        <w:left w:val="none" w:sz="0" w:space="0" w:color="auto"/>
        <w:bottom w:val="none" w:sz="0" w:space="0" w:color="auto"/>
        <w:right w:val="none" w:sz="0" w:space="0" w:color="auto"/>
      </w:divBdr>
      <w:divsChild>
        <w:div w:id="1408454118">
          <w:marLeft w:val="0"/>
          <w:marRight w:val="0"/>
          <w:marTop w:val="0"/>
          <w:marBottom w:val="0"/>
          <w:divBdr>
            <w:top w:val="none" w:sz="0" w:space="0" w:color="auto"/>
            <w:left w:val="none" w:sz="0" w:space="0" w:color="auto"/>
            <w:bottom w:val="none" w:sz="0" w:space="0" w:color="auto"/>
            <w:right w:val="none" w:sz="0" w:space="0" w:color="auto"/>
          </w:divBdr>
        </w:div>
      </w:divsChild>
    </w:div>
    <w:div w:id="324165840">
      <w:bodyDiv w:val="1"/>
      <w:marLeft w:val="0"/>
      <w:marRight w:val="0"/>
      <w:marTop w:val="0"/>
      <w:marBottom w:val="0"/>
      <w:divBdr>
        <w:top w:val="none" w:sz="0" w:space="0" w:color="auto"/>
        <w:left w:val="none" w:sz="0" w:space="0" w:color="auto"/>
        <w:bottom w:val="none" w:sz="0" w:space="0" w:color="auto"/>
        <w:right w:val="none" w:sz="0" w:space="0" w:color="auto"/>
      </w:divBdr>
    </w:div>
    <w:div w:id="328869339">
      <w:bodyDiv w:val="1"/>
      <w:marLeft w:val="0"/>
      <w:marRight w:val="0"/>
      <w:marTop w:val="0"/>
      <w:marBottom w:val="0"/>
      <w:divBdr>
        <w:top w:val="none" w:sz="0" w:space="0" w:color="auto"/>
        <w:left w:val="none" w:sz="0" w:space="0" w:color="auto"/>
        <w:bottom w:val="none" w:sz="0" w:space="0" w:color="auto"/>
        <w:right w:val="none" w:sz="0" w:space="0" w:color="auto"/>
      </w:divBdr>
    </w:div>
    <w:div w:id="351805422">
      <w:bodyDiv w:val="1"/>
      <w:marLeft w:val="0"/>
      <w:marRight w:val="0"/>
      <w:marTop w:val="0"/>
      <w:marBottom w:val="0"/>
      <w:divBdr>
        <w:top w:val="none" w:sz="0" w:space="0" w:color="auto"/>
        <w:left w:val="none" w:sz="0" w:space="0" w:color="auto"/>
        <w:bottom w:val="none" w:sz="0" w:space="0" w:color="auto"/>
        <w:right w:val="none" w:sz="0" w:space="0" w:color="auto"/>
      </w:divBdr>
    </w:div>
    <w:div w:id="378942122">
      <w:bodyDiv w:val="1"/>
      <w:marLeft w:val="0"/>
      <w:marRight w:val="0"/>
      <w:marTop w:val="0"/>
      <w:marBottom w:val="0"/>
      <w:divBdr>
        <w:top w:val="none" w:sz="0" w:space="0" w:color="auto"/>
        <w:left w:val="none" w:sz="0" w:space="0" w:color="auto"/>
        <w:bottom w:val="none" w:sz="0" w:space="0" w:color="auto"/>
        <w:right w:val="none" w:sz="0" w:space="0" w:color="auto"/>
      </w:divBdr>
    </w:div>
    <w:div w:id="393311484">
      <w:bodyDiv w:val="1"/>
      <w:marLeft w:val="0"/>
      <w:marRight w:val="0"/>
      <w:marTop w:val="0"/>
      <w:marBottom w:val="0"/>
      <w:divBdr>
        <w:top w:val="none" w:sz="0" w:space="0" w:color="auto"/>
        <w:left w:val="none" w:sz="0" w:space="0" w:color="auto"/>
        <w:bottom w:val="none" w:sz="0" w:space="0" w:color="auto"/>
        <w:right w:val="none" w:sz="0" w:space="0" w:color="auto"/>
      </w:divBdr>
    </w:div>
    <w:div w:id="436025571">
      <w:bodyDiv w:val="1"/>
      <w:marLeft w:val="0"/>
      <w:marRight w:val="0"/>
      <w:marTop w:val="0"/>
      <w:marBottom w:val="0"/>
      <w:divBdr>
        <w:top w:val="none" w:sz="0" w:space="0" w:color="auto"/>
        <w:left w:val="none" w:sz="0" w:space="0" w:color="auto"/>
        <w:bottom w:val="none" w:sz="0" w:space="0" w:color="auto"/>
        <w:right w:val="none" w:sz="0" w:space="0" w:color="auto"/>
      </w:divBdr>
    </w:div>
    <w:div w:id="451362728">
      <w:bodyDiv w:val="1"/>
      <w:marLeft w:val="0"/>
      <w:marRight w:val="0"/>
      <w:marTop w:val="0"/>
      <w:marBottom w:val="0"/>
      <w:divBdr>
        <w:top w:val="none" w:sz="0" w:space="0" w:color="auto"/>
        <w:left w:val="none" w:sz="0" w:space="0" w:color="auto"/>
        <w:bottom w:val="none" w:sz="0" w:space="0" w:color="auto"/>
        <w:right w:val="none" w:sz="0" w:space="0" w:color="auto"/>
      </w:divBdr>
    </w:div>
    <w:div w:id="468019207">
      <w:bodyDiv w:val="1"/>
      <w:marLeft w:val="0"/>
      <w:marRight w:val="0"/>
      <w:marTop w:val="0"/>
      <w:marBottom w:val="0"/>
      <w:divBdr>
        <w:top w:val="none" w:sz="0" w:space="0" w:color="auto"/>
        <w:left w:val="none" w:sz="0" w:space="0" w:color="auto"/>
        <w:bottom w:val="none" w:sz="0" w:space="0" w:color="auto"/>
        <w:right w:val="none" w:sz="0" w:space="0" w:color="auto"/>
      </w:divBdr>
    </w:div>
    <w:div w:id="481625324">
      <w:bodyDiv w:val="1"/>
      <w:marLeft w:val="0"/>
      <w:marRight w:val="0"/>
      <w:marTop w:val="0"/>
      <w:marBottom w:val="0"/>
      <w:divBdr>
        <w:top w:val="none" w:sz="0" w:space="0" w:color="auto"/>
        <w:left w:val="none" w:sz="0" w:space="0" w:color="auto"/>
        <w:bottom w:val="none" w:sz="0" w:space="0" w:color="auto"/>
        <w:right w:val="none" w:sz="0" w:space="0" w:color="auto"/>
      </w:divBdr>
    </w:div>
    <w:div w:id="523902449">
      <w:bodyDiv w:val="1"/>
      <w:marLeft w:val="0"/>
      <w:marRight w:val="0"/>
      <w:marTop w:val="0"/>
      <w:marBottom w:val="0"/>
      <w:divBdr>
        <w:top w:val="none" w:sz="0" w:space="0" w:color="auto"/>
        <w:left w:val="none" w:sz="0" w:space="0" w:color="auto"/>
        <w:bottom w:val="none" w:sz="0" w:space="0" w:color="auto"/>
        <w:right w:val="none" w:sz="0" w:space="0" w:color="auto"/>
      </w:divBdr>
    </w:div>
    <w:div w:id="543098227">
      <w:bodyDiv w:val="1"/>
      <w:marLeft w:val="0"/>
      <w:marRight w:val="0"/>
      <w:marTop w:val="0"/>
      <w:marBottom w:val="0"/>
      <w:divBdr>
        <w:top w:val="none" w:sz="0" w:space="0" w:color="auto"/>
        <w:left w:val="none" w:sz="0" w:space="0" w:color="auto"/>
        <w:bottom w:val="none" w:sz="0" w:space="0" w:color="auto"/>
        <w:right w:val="none" w:sz="0" w:space="0" w:color="auto"/>
      </w:divBdr>
    </w:div>
    <w:div w:id="552041583">
      <w:bodyDiv w:val="1"/>
      <w:marLeft w:val="0"/>
      <w:marRight w:val="0"/>
      <w:marTop w:val="0"/>
      <w:marBottom w:val="0"/>
      <w:divBdr>
        <w:top w:val="none" w:sz="0" w:space="0" w:color="auto"/>
        <w:left w:val="none" w:sz="0" w:space="0" w:color="auto"/>
        <w:bottom w:val="none" w:sz="0" w:space="0" w:color="auto"/>
        <w:right w:val="none" w:sz="0" w:space="0" w:color="auto"/>
      </w:divBdr>
    </w:div>
    <w:div w:id="567764664">
      <w:bodyDiv w:val="1"/>
      <w:marLeft w:val="0"/>
      <w:marRight w:val="0"/>
      <w:marTop w:val="0"/>
      <w:marBottom w:val="0"/>
      <w:divBdr>
        <w:top w:val="none" w:sz="0" w:space="0" w:color="auto"/>
        <w:left w:val="none" w:sz="0" w:space="0" w:color="auto"/>
        <w:bottom w:val="none" w:sz="0" w:space="0" w:color="auto"/>
        <w:right w:val="none" w:sz="0" w:space="0" w:color="auto"/>
      </w:divBdr>
      <w:divsChild>
        <w:div w:id="1532112356">
          <w:marLeft w:val="0"/>
          <w:marRight w:val="0"/>
          <w:marTop w:val="0"/>
          <w:marBottom w:val="0"/>
          <w:divBdr>
            <w:top w:val="none" w:sz="0" w:space="0" w:color="auto"/>
            <w:left w:val="none" w:sz="0" w:space="0" w:color="auto"/>
            <w:bottom w:val="none" w:sz="0" w:space="0" w:color="auto"/>
            <w:right w:val="none" w:sz="0" w:space="0" w:color="auto"/>
          </w:divBdr>
        </w:div>
      </w:divsChild>
    </w:div>
    <w:div w:id="577592298">
      <w:bodyDiv w:val="1"/>
      <w:marLeft w:val="0"/>
      <w:marRight w:val="0"/>
      <w:marTop w:val="0"/>
      <w:marBottom w:val="0"/>
      <w:divBdr>
        <w:top w:val="none" w:sz="0" w:space="0" w:color="auto"/>
        <w:left w:val="none" w:sz="0" w:space="0" w:color="auto"/>
        <w:bottom w:val="none" w:sz="0" w:space="0" w:color="auto"/>
        <w:right w:val="none" w:sz="0" w:space="0" w:color="auto"/>
      </w:divBdr>
    </w:div>
    <w:div w:id="599341314">
      <w:bodyDiv w:val="1"/>
      <w:marLeft w:val="0"/>
      <w:marRight w:val="0"/>
      <w:marTop w:val="0"/>
      <w:marBottom w:val="0"/>
      <w:divBdr>
        <w:top w:val="none" w:sz="0" w:space="0" w:color="auto"/>
        <w:left w:val="none" w:sz="0" w:space="0" w:color="auto"/>
        <w:bottom w:val="none" w:sz="0" w:space="0" w:color="auto"/>
        <w:right w:val="none" w:sz="0" w:space="0" w:color="auto"/>
      </w:divBdr>
    </w:div>
    <w:div w:id="640188303">
      <w:bodyDiv w:val="1"/>
      <w:marLeft w:val="0"/>
      <w:marRight w:val="0"/>
      <w:marTop w:val="0"/>
      <w:marBottom w:val="0"/>
      <w:divBdr>
        <w:top w:val="none" w:sz="0" w:space="0" w:color="auto"/>
        <w:left w:val="none" w:sz="0" w:space="0" w:color="auto"/>
        <w:bottom w:val="none" w:sz="0" w:space="0" w:color="auto"/>
        <w:right w:val="none" w:sz="0" w:space="0" w:color="auto"/>
      </w:divBdr>
    </w:div>
    <w:div w:id="644046998">
      <w:bodyDiv w:val="1"/>
      <w:marLeft w:val="0"/>
      <w:marRight w:val="0"/>
      <w:marTop w:val="0"/>
      <w:marBottom w:val="0"/>
      <w:divBdr>
        <w:top w:val="none" w:sz="0" w:space="0" w:color="auto"/>
        <w:left w:val="none" w:sz="0" w:space="0" w:color="auto"/>
        <w:bottom w:val="none" w:sz="0" w:space="0" w:color="auto"/>
        <w:right w:val="none" w:sz="0" w:space="0" w:color="auto"/>
      </w:divBdr>
    </w:div>
    <w:div w:id="676736131">
      <w:bodyDiv w:val="1"/>
      <w:marLeft w:val="0"/>
      <w:marRight w:val="0"/>
      <w:marTop w:val="0"/>
      <w:marBottom w:val="0"/>
      <w:divBdr>
        <w:top w:val="none" w:sz="0" w:space="0" w:color="auto"/>
        <w:left w:val="none" w:sz="0" w:space="0" w:color="auto"/>
        <w:bottom w:val="none" w:sz="0" w:space="0" w:color="auto"/>
        <w:right w:val="none" w:sz="0" w:space="0" w:color="auto"/>
      </w:divBdr>
    </w:div>
    <w:div w:id="688332130">
      <w:bodyDiv w:val="1"/>
      <w:marLeft w:val="0"/>
      <w:marRight w:val="0"/>
      <w:marTop w:val="0"/>
      <w:marBottom w:val="0"/>
      <w:divBdr>
        <w:top w:val="none" w:sz="0" w:space="0" w:color="auto"/>
        <w:left w:val="none" w:sz="0" w:space="0" w:color="auto"/>
        <w:bottom w:val="none" w:sz="0" w:space="0" w:color="auto"/>
        <w:right w:val="none" w:sz="0" w:space="0" w:color="auto"/>
      </w:divBdr>
    </w:div>
    <w:div w:id="728841357">
      <w:bodyDiv w:val="1"/>
      <w:marLeft w:val="0"/>
      <w:marRight w:val="0"/>
      <w:marTop w:val="0"/>
      <w:marBottom w:val="0"/>
      <w:divBdr>
        <w:top w:val="none" w:sz="0" w:space="0" w:color="auto"/>
        <w:left w:val="none" w:sz="0" w:space="0" w:color="auto"/>
        <w:bottom w:val="none" w:sz="0" w:space="0" w:color="auto"/>
        <w:right w:val="none" w:sz="0" w:space="0" w:color="auto"/>
      </w:divBdr>
    </w:div>
    <w:div w:id="728892042">
      <w:bodyDiv w:val="1"/>
      <w:marLeft w:val="0"/>
      <w:marRight w:val="0"/>
      <w:marTop w:val="0"/>
      <w:marBottom w:val="0"/>
      <w:divBdr>
        <w:top w:val="none" w:sz="0" w:space="0" w:color="auto"/>
        <w:left w:val="none" w:sz="0" w:space="0" w:color="auto"/>
        <w:bottom w:val="none" w:sz="0" w:space="0" w:color="auto"/>
        <w:right w:val="none" w:sz="0" w:space="0" w:color="auto"/>
      </w:divBdr>
    </w:div>
    <w:div w:id="763183286">
      <w:bodyDiv w:val="1"/>
      <w:marLeft w:val="0"/>
      <w:marRight w:val="0"/>
      <w:marTop w:val="0"/>
      <w:marBottom w:val="0"/>
      <w:divBdr>
        <w:top w:val="none" w:sz="0" w:space="0" w:color="auto"/>
        <w:left w:val="none" w:sz="0" w:space="0" w:color="auto"/>
        <w:bottom w:val="none" w:sz="0" w:space="0" w:color="auto"/>
        <w:right w:val="none" w:sz="0" w:space="0" w:color="auto"/>
      </w:divBdr>
    </w:div>
    <w:div w:id="787704122">
      <w:bodyDiv w:val="1"/>
      <w:marLeft w:val="0"/>
      <w:marRight w:val="0"/>
      <w:marTop w:val="0"/>
      <w:marBottom w:val="0"/>
      <w:divBdr>
        <w:top w:val="none" w:sz="0" w:space="0" w:color="auto"/>
        <w:left w:val="none" w:sz="0" w:space="0" w:color="auto"/>
        <w:bottom w:val="none" w:sz="0" w:space="0" w:color="auto"/>
        <w:right w:val="none" w:sz="0" w:space="0" w:color="auto"/>
      </w:divBdr>
    </w:div>
    <w:div w:id="789975070">
      <w:bodyDiv w:val="1"/>
      <w:marLeft w:val="0"/>
      <w:marRight w:val="0"/>
      <w:marTop w:val="0"/>
      <w:marBottom w:val="0"/>
      <w:divBdr>
        <w:top w:val="none" w:sz="0" w:space="0" w:color="auto"/>
        <w:left w:val="none" w:sz="0" w:space="0" w:color="auto"/>
        <w:bottom w:val="none" w:sz="0" w:space="0" w:color="auto"/>
        <w:right w:val="none" w:sz="0" w:space="0" w:color="auto"/>
      </w:divBdr>
    </w:div>
    <w:div w:id="824206509">
      <w:bodyDiv w:val="1"/>
      <w:marLeft w:val="0"/>
      <w:marRight w:val="0"/>
      <w:marTop w:val="0"/>
      <w:marBottom w:val="0"/>
      <w:divBdr>
        <w:top w:val="none" w:sz="0" w:space="0" w:color="auto"/>
        <w:left w:val="none" w:sz="0" w:space="0" w:color="auto"/>
        <w:bottom w:val="none" w:sz="0" w:space="0" w:color="auto"/>
        <w:right w:val="none" w:sz="0" w:space="0" w:color="auto"/>
      </w:divBdr>
    </w:div>
    <w:div w:id="825633797">
      <w:bodyDiv w:val="1"/>
      <w:marLeft w:val="0"/>
      <w:marRight w:val="0"/>
      <w:marTop w:val="0"/>
      <w:marBottom w:val="0"/>
      <w:divBdr>
        <w:top w:val="none" w:sz="0" w:space="0" w:color="auto"/>
        <w:left w:val="none" w:sz="0" w:space="0" w:color="auto"/>
        <w:bottom w:val="none" w:sz="0" w:space="0" w:color="auto"/>
        <w:right w:val="none" w:sz="0" w:space="0" w:color="auto"/>
      </w:divBdr>
    </w:div>
    <w:div w:id="844974901">
      <w:bodyDiv w:val="1"/>
      <w:marLeft w:val="0"/>
      <w:marRight w:val="0"/>
      <w:marTop w:val="0"/>
      <w:marBottom w:val="0"/>
      <w:divBdr>
        <w:top w:val="none" w:sz="0" w:space="0" w:color="auto"/>
        <w:left w:val="none" w:sz="0" w:space="0" w:color="auto"/>
        <w:bottom w:val="none" w:sz="0" w:space="0" w:color="auto"/>
        <w:right w:val="none" w:sz="0" w:space="0" w:color="auto"/>
      </w:divBdr>
    </w:div>
    <w:div w:id="863447473">
      <w:bodyDiv w:val="1"/>
      <w:marLeft w:val="0"/>
      <w:marRight w:val="0"/>
      <w:marTop w:val="0"/>
      <w:marBottom w:val="0"/>
      <w:divBdr>
        <w:top w:val="none" w:sz="0" w:space="0" w:color="auto"/>
        <w:left w:val="none" w:sz="0" w:space="0" w:color="auto"/>
        <w:bottom w:val="none" w:sz="0" w:space="0" w:color="auto"/>
        <w:right w:val="none" w:sz="0" w:space="0" w:color="auto"/>
      </w:divBdr>
    </w:div>
    <w:div w:id="915867857">
      <w:bodyDiv w:val="1"/>
      <w:marLeft w:val="0"/>
      <w:marRight w:val="0"/>
      <w:marTop w:val="0"/>
      <w:marBottom w:val="0"/>
      <w:divBdr>
        <w:top w:val="none" w:sz="0" w:space="0" w:color="auto"/>
        <w:left w:val="none" w:sz="0" w:space="0" w:color="auto"/>
        <w:bottom w:val="none" w:sz="0" w:space="0" w:color="auto"/>
        <w:right w:val="none" w:sz="0" w:space="0" w:color="auto"/>
      </w:divBdr>
    </w:div>
    <w:div w:id="921960540">
      <w:bodyDiv w:val="1"/>
      <w:marLeft w:val="0"/>
      <w:marRight w:val="0"/>
      <w:marTop w:val="0"/>
      <w:marBottom w:val="0"/>
      <w:divBdr>
        <w:top w:val="none" w:sz="0" w:space="0" w:color="auto"/>
        <w:left w:val="none" w:sz="0" w:space="0" w:color="auto"/>
        <w:bottom w:val="none" w:sz="0" w:space="0" w:color="auto"/>
        <w:right w:val="none" w:sz="0" w:space="0" w:color="auto"/>
      </w:divBdr>
    </w:div>
    <w:div w:id="923415266">
      <w:bodyDiv w:val="1"/>
      <w:marLeft w:val="0"/>
      <w:marRight w:val="0"/>
      <w:marTop w:val="0"/>
      <w:marBottom w:val="0"/>
      <w:divBdr>
        <w:top w:val="none" w:sz="0" w:space="0" w:color="auto"/>
        <w:left w:val="none" w:sz="0" w:space="0" w:color="auto"/>
        <w:bottom w:val="none" w:sz="0" w:space="0" w:color="auto"/>
        <w:right w:val="none" w:sz="0" w:space="0" w:color="auto"/>
      </w:divBdr>
    </w:div>
    <w:div w:id="963661544">
      <w:bodyDiv w:val="1"/>
      <w:marLeft w:val="0"/>
      <w:marRight w:val="0"/>
      <w:marTop w:val="0"/>
      <w:marBottom w:val="0"/>
      <w:divBdr>
        <w:top w:val="none" w:sz="0" w:space="0" w:color="auto"/>
        <w:left w:val="none" w:sz="0" w:space="0" w:color="auto"/>
        <w:bottom w:val="none" w:sz="0" w:space="0" w:color="auto"/>
        <w:right w:val="none" w:sz="0" w:space="0" w:color="auto"/>
      </w:divBdr>
    </w:div>
    <w:div w:id="1008755271">
      <w:bodyDiv w:val="1"/>
      <w:marLeft w:val="0"/>
      <w:marRight w:val="0"/>
      <w:marTop w:val="0"/>
      <w:marBottom w:val="0"/>
      <w:divBdr>
        <w:top w:val="none" w:sz="0" w:space="0" w:color="auto"/>
        <w:left w:val="none" w:sz="0" w:space="0" w:color="auto"/>
        <w:bottom w:val="none" w:sz="0" w:space="0" w:color="auto"/>
        <w:right w:val="none" w:sz="0" w:space="0" w:color="auto"/>
      </w:divBdr>
    </w:div>
    <w:div w:id="1036321174">
      <w:bodyDiv w:val="1"/>
      <w:marLeft w:val="0"/>
      <w:marRight w:val="0"/>
      <w:marTop w:val="0"/>
      <w:marBottom w:val="0"/>
      <w:divBdr>
        <w:top w:val="none" w:sz="0" w:space="0" w:color="auto"/>
        <w:left w:val="none" w:sz="0" w:space="0" w:color="auto"/>
        <w:bottom w:val="none" w:sz="0" w:space="0" w:color="auto"/>
        <w:right w:val="none" w:sz="0" w:space="0" w:color="auto"/>
      </w:divBdr>
    </w:div>
    <w:div w:id="1068308278">
      <w:bodyDiv w:val="1"/>
      <w:marLeft w:val="0"/>
      <w:marRight w:val="0"/>
      <w:marTop w:val="0"/>
      <w:marBottom w:val="0"/>
      <w:divBdr>
        <w:top w:val="none" w:sz="0" w:space="0" w:color="auto"/>
        <w:left w:val="none" w:sz="0" w:space="0" w:color="auto"/>
        <w:bottom w:val="none" w:sz="0" w:space="0" w:color="auto"/>
        <w:right w:val="none" w:sz="0" w:space="0" w:color="auto"/>
      </w:divBdr>
    </w:div>
    <w:div w:id="1098598258">
      <w:bodyDiv w:val="1"/>
      <w:marLeft w:val="0"/>
      <w:marRight w:val="0"/>
      <w:marTop w:val="0"/>
      <w:marBottom w:val="0"/>
      <w:divBdr>
        <w:top w:val="none" w:sz="0" w:space="0" w:color="auto"/>
        <w:left w:val="none" w:sz="0" w:space="0" w:color="auto"/>
        <w:bottom w:val="none" w:sz="0" w:space="0" w:color="auto"/>
        <w:right w:val="none" w:sz="0" w:space="0" w:color="auto"/>
      </w:divBdr>
    </w:div>
    <w:div w:id="1159810467">
      <w:bodyDiv w:val="1"/>
      <w:marLeft w:val="0"/>
      <w:marRight w:val="0"/>
      <w:marTop w:val="0"/>
      <w:marBottom w:val="0"/>
      <w:divBdr>
        <w:top w:val="none" w:sz="0" w:space="0" w:color="auto"/>
        <w:left w:val="none" w:sz="0" w:space="0" w:color="auto"/>
        <w:bottom w:val="none" w:sz="0" w:space="0" w:color="auto"/>
        <w:right w:val="none" w:sz="0" w:space="0" w:color="auto"/>
      </w:divBdr>
    </w:div>
    <w:div w:id="1170145356">
      <w:bodyDiv w:val="1"/>
      <w:marLeft w:val="0"/>
      <w:marRight w:val="0"/>
      <w:marTop w:val="0"/>
      <w:marBottom w:val="0"/>
      <w:divBdr>
        <w:top w:val="none" w:sz="0" w:space="0" w:color="auto"/>
        <w:left w:val="none" w:sz="0" w:space="0" w:color="auto"/>
        <w:bottom w:val="none" w:sz="0" w:space="0" w:color="auto"/>
        <w:right w:val="none" w:sz="0" w:space="0" w:color="auto"/>
      </w:divBdr>
    </w:div>
    <w:div w:id="1178274061">
      <w:bodyDiv w:val="1"/>
      <w:marLeft w:val="0"/>
      <w:marRight w:val="0"/>
      <w:marTop w:val="0"/>
      <w:marBottom w:val="0"/>
      <w:divBdr>
        <w:top w:val="none" w:sz="0" w:space="0" w:color="auto"/>
        <w:left w:val="none" w:sz="0" w:space="0" w:color="auto"/>
        <w:bottom w:val="none" w:sz="0" w:space="0" w:color="auto"/>
        <w:right w:val="none" w:sz="0" w:space="0" w:color="auto"/>
      </w:divBdr>
    </w:div>
    <w:div w:id="1190921706">
      <w:bodyDiv w:val="1"/>
      <w:marLeft w:val="0"/>
      <w:marRight w:val="0"/>
      <w:marTop w:val="0"/>
      <w:marBottom w:val="0"/>
      <w:divBdr>
        <w:top w:val="none" w:sz="0" w:space="0" w:color="auto"/>
        <w:left w:val="none" w:sz="0" w:space="0" w:color="auto"/>
        <w:bottom w:val="none" w:sz="0" w:space="0" w:color="auto"/>
        <w:right w:val="none" w:sz="0" w:space="0" w:color="auto"/>
      </w:divBdr>
    </w:div>
    <w:div w:id="1202747806">
      <w:bodyDiv w:val="1"/>
      <w:marLeft w:val="0"/>
      <w:marRight w:val="0"/>
      <w:marTop w:val="0"/>
      <w:marBottom w:val="0"/>
      <w:divBdr>
        <w:top w:val="none" w:sz="0" w:space="0" w:color="auto"/>
        <w:left w:val="none" w:sz="0" w:space="0" w:color="auto"/>
        <w:bottom w:val="none" w:sz="0" w:space="0" w:color="auto"/>
        <w:right w:val="none" w:sz="0" w:space="0" w:color="auto"/>
      </w:divBdr>
    </w:div>
    <w:div w:id="1204251743">
      <w:bodyDiv w:val="1"/>
      <w:marLeft w:val="0"/>
      <w:marRight w:val="0"/>
      <w:marTop w:val="0"/>
      <w:marBottom w:val="0"/>
      <w:divBdr>
        <w:top w:val="none" w:sz="0" w:space="0" w:color="auto"/>
        <w:left w:val="none" w:sz="0" w:space="0" w:color="auto"/>
        <w:bottom w:val="none" w:sz="0" w:space="0" w:color="auto"/>
        <w:right w:val="none" w:sz="0" w:space="0" w:color="auto"/>
      </w:divBdr>
    </w:div>
    <w:div w:id="1225020018">
      <w:bodyDiv w:val="1"/>
      <w:marLeft w:val="0"/>
      <w:marRight w:val="0"/>
      <w:marTop w:val="0"/>
      <w:marBottom w:val="0"/>
      <w:divBdr>
        <w:top w:val="none" w:sz="0" w:space="0" w:color="auto"/>
        <w:left w:val="none" w:sz="0" w:space="0" w:color="auto"/>
        <w:bottom w:val="none" w:sz="0" w:space="0" w:color="auto"/>
        <w:right w:val="none" w:sz="0" w:space="0" w:color="auto"/>
      </w:divBdr>
    </w:div>
    <w:div w:id="1277104737">
      <w:bodyDiv w:val="1"/>
      <w:marLeft w:val="0"/>
      <w:marRight w:val="0"/>
      <w:marTop w:val="0"/>
      <w:marBottom w:val="0"/>
      <w:divBdr>
        <w:top w:val="none" w:sz="0" w:space="0" w:color="auto"/>
        <w:left w:val="none" w:sz="0" w:space="0" w:color="auto"/>
        <w:bottom w:val="none" w:sz="0" w:space="0" w:color="auto"/>
        <w:right w:val="none" w:sz="0" w:space="0" w:color="auto"/>
      </w:divBdr>
    </w:div>
    <w:div w:id="1284460555">
      <w:bodyDiv w:val="1"/>
      <w:marLeft w:val="0"/>
      <w:marRight w:val="0"/>
      <w:marTop w:val="0"/>
      <w:marBottom w:val="0"/>
      <w:divBdr>
        <w:top w:val="none" w:sz="0" w:space="0" w:color="auto"/>
        <w:left w:val="none" w:sz="0" w:space="0" w:color="auto"/>
        <w:bottom w:val="none" w:sz="0" w:space="0" w:color="auto"/>
        <w:right w:val="none" w:sz="0" w:space="0" w:color="auto"/>
      </w:divBdr>
    </w:div>
    <w:div w:id="1313947061">
      <w:bodyDiv w:val="1"/>
      <w:marLeft w:val="0"/>
      <w:marRight w:val="0"/>
      <w:marTop w:val="0"/>
      <w:marBottom w:val="0"/>
      <w:divBdr>
        <w:top w:val="none" w:sz="0" w:space="0" w:color="auto"/>
        <w:left w:val="none" w:sz="0" w:space="0" w:color="auto"/>
        <w:bottom w:val="none" w:sz="0" w:space="0" w:color="auto"/>
        <w:right w:val="none" w:sz="0" w:space="0" w:color="auto"/>
      </w:divBdr>
    </w:div>
    <w:div w:id="1321428210">
      <w:bodyDiv w:val="1"/>
      <w:marLeft w:val="0"/>
      <w:marRight w:val="0"/>
      <w:marTop w:val="0"/>
      <w:marBottom w:val="0"/>
      <w:divBdr>
        <w:top w:val="none" w:sz="0" w:space="0" w:color="auto"/>
        <w:left w:val="none" w:sz="0" w:space="0" w:color="auto"/>
        <w:bottom w:val="none" w:sz="0" w:space="0" w:color="auto"/>
        <w:right w:val="none" w:sz="0" w:space="0" w:color="auto"/>
      </w:divBdr>
    </w:div>
    <w:div w:id="1347705418">
      <w:bodyDiv w:val="1"/>
      <w:marLeft w:val="0"/>
      <w:marRight w:val="0"/>
      <w:marTop w:val="0"/>
      <w:marBottom w:val="0"/>
      <w:divBdr>
        <w:top w:val="none" w:sz="0" w:space="0" w:color="auto"/>
        <w:left w:val="none" w:sz="0" w:space="0" w:color="auto"/>
        <w:bottom w:val="none" w:sz="0" w:space="0" w:color="auto"/>
        <w:right w:val="none" w:sz="0" w:space="0" w:color="auto"/>
      </w:divBdr>
    </w:div>
    <w:div w:id="1355186169">
      <w:bodyDiv w:val="1"/>
      <w:marLeft w:val="0"/>
      <w:marRight w:val="0"/>
      <w:marTop w:val="0"/>
      <w:marBottom w:val="0"/>
      <w:divBdr>
        <w:top w:val="none" w:sz="0" w:space="0" w:color="auto"/>
        <w:left w:val="none" w:sz="0" w:space="0" w:color="auto"/>
        <w:bottom w:val="none" w:sz="0" w:space="0" w:color="auto"/>
        <w:right w:val="none" w:sz="0" w:space="0" w:color="auto"/>
      </w:divBdr>
    </w:div>
    <w:div w:id="1358656452">
      <w:bodyDiv w:val="1"/>
      <w:marLeft w:val="0"/>
      <w:marRight w:val="0"/>
      <w:marTop w:val="0"/>
      <w:marBottom w:val="0"/>
      <w:divBdr>
        <w:top w:val="none" w:sz="0" w:space="0" w:color="auto"/>
        <w:left w:val="none" w:sz="0" w:space="0" w:color="auto"/>
        <w:bottom w:val="none" w:sz="0" w:space="0" w:color="auto"/>
        <w:right w:val="none" w:sz="0" w:space="0" w:color="auto"/>
      </w:divBdr>
    </w:div>
    <w:div w:id="1370645020">
      <w:bodyDiv w:val="1"/>
      <w:marLeft w:val="0"/>
      <w:marRight w:val="0"/>
      <w:marTop w:val="0"/>
      <w:marBottom w:val="0"/>
      <w:divBdr>
        <w:top w:val="none" w:sz="0" w:space="0" w:color="auto"/>
        <w:left w:val="none" w:sz="0" w:space="0" w:color="auto"/>
        <w:bottom w:val="none" w:sz="0" w:space="0" w:color="auto"/>
        <w:right w:val="none" w:sz="0" w:space="0" w:color="auto"/>
      </w:divBdr>
    </w:div>
    <w:div w:id="1373844441">
      <w:bodyDiv w:val="1"/>
      <w:marLeft w:val="0"/>
      <w:marRight w:val="0"/>
      <w:marTop w:val="0"/>
      <w:marBottom w:val="0"/>
      <w:divBdr>
        <w:top w:val="none" w:sz="0" w:space="0" w:color="auto"/>
        <w:left w:val="none" w:sz="0" w:space="0" w:color="auto"/>
        <w:bottom w:val="none" w:sz="0" w:space="0" w:color="auto"/>
        <w:right w:val="none" w:sz="0" w:space="0" w:color="auto"/>
      </w:divBdr>
    </w:div>
    <w:div w:id="1377123794">
      <w:bodyDiv w:val="1"/>
      <w:marLeft w:val="0"/>
      <w:marRight w:val="0"/>
      <w:marTop w:val="0"/>
      <w:marBottom w:val="0"/>
      <w:divBdr>
        <w:top w:val="none" w:sz="0" w:space="0" w:color="auto"/>
        <w:left w:val="none" w:sz="0" w:space="0" w:color="auto"/>
        <w:bottom w:val="none" w:sz="0" w:space="0" w:color="auto"/>
        <w:right w:val="none" w:sz="0" w:space="0" w:color="auto"/>
      </w:divBdr>
    </w:div>
    <w:div w:id="1389574229">
      <w:bodyDiv w:val="1"/>
      <w:marLeft w:val="0"/>
      <w:marRight w:val="0"/>
      <w:marTop w:val="0"/>
      <w:marBottom w:val="0"/>
      <w:divBdr>
        <w:top w:val="none" w:sz="0" w:space="0" w:color="auto"/>
        <w:left w:val="none" w:sz="0" w:space="0" w:color="auto"/>
        <w:bottom w:val="none" w:sz="0" w:space="0" w:color="auto"/>
        <w:right w:val="none" w:sz="0" w:space="0" w:color="auto"/>
      </w:divBdr>
    </w:div>
    <w:div w:id="1404831606">
      <w:bodyDiv w:val="1"/>
      <w:marLeft w:val="0"/>
      <w:marRight w:val="0"/>
      <w:marTop w:val="0"/>
      <w:marBottom w:val="0"/>
      <w:divBdr>
        <w:top w:val="none" w:sz="0" w:space="0" w:color="auto"/>
        <w:left w:val="none" w:sz="0" w:space="0" w:color="auto"/>
        <w:bottom w:val="none" w:sz="0" w:space="0" w:color="auto"/>
        <w:right w:val="none" w:sz="0" w:space="0" w:color="auto"/>
      </w:divBdr>
    </w:div>
    <w:div w:id="1428034978">
      <w:bodyDiv w:val="1"/>
      <w:marLeft w:val="0"/>
      <w:marRight w:val="0"/>
      <w:marTop w:val="0"/>
      <w:marBottom w:val="0"/>
      <w:divBdr>
        <w:top w:val="none" w:sz="0" w:space="0" w:color="auto"/>
        <w:left w:val="none" w:sz="0" w:space="0" w:color="auto"/>
        <w:bottom w:val="none" w:sz="0" w:space="0" w:color="auto"/>
        <w:right w:val="none" w:sz="0" w:space="0" w:color="auto"/>
      </w:divBdr>
    </w:div>
    <w:div w:id="1436707637">
      <w:bodyDiv w:val="1"/>
      <w:marLeft w:val="0"/>
      <w:marRight w:val="0"/>
      <w:marTop w:val="0"/>
      <w:marBottom w:val="0"/>
      <w:divBdr>
        <w:top w:val="none" w:sz="0" w:space="0" w:color="auto"/>
        <w:left w:val="none" w:sz="0" w:space="0" w:color="auto"/>
        <w:bottom w:val="none" w:sz="0" w:space="0" w:color="auto"/>
        <w:right w:val="none" w:sz="0" w:space="0" w:color="auto"/>
      </w:divBdr>
    </w:div>
    <w:div w:id="1439988279">
      <w:bodyDiv w:val="1"/>
      <w:marLeft w:val="0"/>
      <w:marRight w:val="0"/>
      <w:marTop w:val="0"/>
      <w:marBottom w:val="0"/>
      <w:divBdr>
        <w:top w:val="none" w:sz="0" w:space="0" w:color="auto"/>
        <w:left w:val="none" w:sz="0" w:space="0" w:color="auto"/>
        <w:bottom w:val="none" w:sz="0" w:space="0" w:color="auto"/>
        <w:right w:val="none" w:sz="0" w:space="0" w:color="auto"/>
      </w:divBdr>
    </w:div>
    <w:div w:id="1458522293">
      <w:bodyDiv w:val="1"/>
      <w:marLeft w:val="0"/>
      <w:marRight w:val="0"/>
      <w:marTop w:val="0"/>
      <w:marBottom w:val="0"/>
      <w:divBdr>
        <w:top w:val="none" w:sz="0" w:space="0" w:color="auto"/>
        <w:left w:val="none" w:sz="0" w:space="0" w:color="auto"/>
        <w:bottom w:val="none" w:sz="0" w:space="0" w:color="auto"/>
        <w:right w:val="none" w:sz="0" w:space="0" w:color="auto"/>
      </w:divBdr>
    </w:div>
    <w:div w:id="1464813431">
      <w:bodyDiv w:val="1"/>
      <w:marLeft w:val="0"/>
      <w:marRight w:val="0"/>
      <w:marTop w:val="0"/>
      <w:marBottom w:val="0"/>
      <w:divBdr>
        <w:top w:val="none" w:sz="0" w:space="0" w:color="auto"/>
        <w:left w:val="none" w:sz="0" w:space="0" w:color="auto"/>
        <w:bottom w:val="none" w:sz="0" w:space="0" w:color="auto"/>
        <w:right w:val="none" w:sz="0" w:space="0" w:color="auto"/>
      </w:divBdr>
    </w:div>
    <w:div w:id="1477378432">
      <w:bodyDiv w:val="1"/>
      <w:marLeft w:val="0"/>
      <w:marRight w:val="0"/>
      <w:marTop w:val="0"/>
      <w:marBottom w:val="0"/>
      <w:divBdr>
        <w:top w:val="none" w:sz="0" w:space="0" w:color="auto"/>
        <w:left w:val="none" w:sz="0" w:space="0" w:color="auto"/>
        <w:bottom w:val="none" w:sz="0" w:space="0" w:color="auto"/>
        <w:right w:val="none" w:sz="0" w:space="0" w:color="auto"/>
      </w:divBdr>
    </w:div>
    <w:div w:id="1508248316">
      <w:bodyDiv w:val="1"/>
      <w:marLeft w:val="0"/>
      <w:marRight w:val="0"/>
      <w:marTop w:val="0"/>
      <w:marBottom w:val="0"/>
      <w:divBdr>
        <w:top w:val="none" w:sz="0" w:space="0" w:color="auto"/>
        <w:left w:val="none" w:sz="0" w:space="0" w:color="auto"/>
        <w:bottom w:val="none" w:sz="0" w:space="0" w:color="auto"/>
        <w:right w:val="none" w:sz="0" w:space="0" w:color="auto"/>
      </w:divBdr>
      <w:divsChild>
        <w:div w:id="148863902">
          <w:marLeft w:val="0"/>
          <w:marRight w:val="0"/>
          <w:marTop w:val="0"/>
          <w:marBottom w:val="0"/>
          <w:divBdr>
            <w:top w:val="none" w:sz="0" w:space="0" w:color="auto"/>
            <w:left w:val="none" w:sz="0" w:space="0" w:color="auto"/>
            <w:bottom w:val="none" w:sz="0" w:space="0" w:color="auto"/>
            <w:right w:val="none" w:sz="0" w:space="0" w:color="auto"/>
          </w:divBdr>
        </w:div>
        <w:div w:id="397021592">
          <w:marLeft w:val="0"/>
          <w:marRight w:val="0"/>
          <w:marTop w:val="0"/>
          <w:marBottom w:val="0"/>
          <w:divBdr>
            <w:top w:val="none" w:sz="0" w:space="0" w:color="auto"/>
            <w:left w:val="none" w:sz="0" w:space="0" w:color="auto"/>
            <w:bottom w:val="none" w:sz="0" w:space="0" w:color="auto"/>
            <w:right w:val="none" w:sz="0" w:space="0" w:color="auto"/>
          </w:divBdr>
          <w:divsChild>
            <w:div w:id="220873560">
              <w:marLeft w:val="0"/>
              <w:marRight w:val="0"/>
              <w:marTop w:val="0"/>
              <w:marBottom w:val="0"/>
              <w:divBdr>
                <w:top w:val="none" w:sz="0" w:space="0" w:color="auto"/>
                <w:left w:val="none" w:sz="0" w:space="0" w:color="auto"/>
                <w:bottom w:val="none" w:sz="0" w:space="0" w:color="auto"/>
                <w:right w:val="none" w:sz="0" w:space="0" w:color="auto"/>
              </w:divBdr>
            </w:div>
            <w:div w:id="645205405">
              <w:marLeft w:val="0"/>
              <w:marRight w:val="0"/>
              <w:marTop w:val="0"/>
              <w:marBottom w:val="0"/>
              <w:divBdr>
                <w:top w:val="none" w:sz="0" w:space="0" w:color="auto"/>
                <w:left w:val="none" w:sz="0" w:space="0" w:color="auto"/>
                <w:bottom w:val="none" w:sz="0" w:space="0" w:color="auto"/>
                <w:right w:val="none" w:sz="0" w:space="0" w:color="auto"/>
              </w:divBdr>
            </w:div>
            <w:div w:id="1122578352">
              <w:marLeft w:val="0"/>
              <w:marRight w:val="0"/>
              <w:marTop w:val="0"/>
              <w:marBottom w:val="0"/>
              <w:divBdr>
                <w:top w:val="none" w:sz="0" w:space="0" w:color="auto"/>
                <w:left w:val="none" w:sz="0" w:space="0" w:color="auto"/>
                <w:bottom w:val="none" w:sz="0" w:space="0" w:color="auto"/>
                <w:right w:val="none" w:sz="0" w:space="0" w:color="auto"/>
              </w:divBdr>
            </w:div>
            <w:div w:id="2009865628">
              <w:marLeft w:val="0"/>
              <w:marRight w:val="0"/>
              <w:marTop w:val="0"/>
              <w:marBottom w:val="0"/>
              <w:divBdr>
                <w:top w:val="none" w:sz="0" w:space="0" w:color="auto"/>
                <w:left w:val="none" w:sz="0" w:space="0" w:color="auto"/>
                <w:bottom w:val="none" w:sz="0" w:space="0" w:color="auto"/>
                <w:right w:val="none" w:sz="0" w:space="0" w:color="auto"/>
              </w:divBdr>
            </w:div>
          </w:divsChild>
        </w:div>
        <w:div w:id="1765221694">
          <w:marLeft w:val="0"/>
          <w:marRight w:val="0"/>
          <w:marTop w:val="0"/>
          <w:marBottom w:val="0"/>
          <w:divBdr>
            <w:top w:val="none" w:sz="0" w:space="0" w:color="auto"/>
            <w:left w:val="none" w:sz="0" w:space="0" w:color="auto"/>
            <w:bottom w:val="none" w:sz="0" w:space="0" w:color="auto"/>
            <w:right w:val="none" w:sz="0" w:space="0" w:color="auto"/>
          </w:divBdr>
          <w:divsChild>
            <w:div w:id="152795094">
              <w:marLeft w:val="0"/>
              <w:marRight w:val="0"/>
              <w:marTop w:val="0"/>
              <w:marBottom w:val="0"/>
              <w:divBdr>
                <w:top w:val="none" w:sz="0" w:space="0" w:color="auto"/>
                <w:left w:val="none" w:sz="0" w:space="0" w:color="auto"/>
                <w:bottom w:val="none" w:sz="0" w:space="0" w:color="auto"/>
                <w:right w:val="none" w:sz="0" w:space="0" w:color="auto"/>
              </w:divBdr>
            </w:div>
          </w:divsChild>
        </w:div>
        <w:div w:id="1965455035">
          <w:marLeft w:val="0"/>
          <w:marRight w:val="0"/>
          <w:marTop w:val="0"/>
          <w:marBottom w:val="0"/>
          <w:divBdr>
            <w:top w:val="none" w:sz="0" w:space="0" w:color="auto"/>
            <w:left w:val="none" w:sz="0" w:space="0" w:color="auto"/>
            <w:bottom w:val="none" w:sz="0" w:space="0" w:color="auto"/>
            <w:right w:val="none" w:sz="0" w:space="0" w:color="auto"/>
          </w:divBdr>
        </w:div>
      </w:divsChild>
    </w:div>
    <w:div w:id="1513950294">
      <w:bodyDiv w:val="1"/>
      <w:marLeft w:val="0"/>
      <w:marRight w:val="0"/>
      <w:marTop w:val="0"/>
      <w:marBottom w:val="0"/>
      <w:divBdr>
        <w:top w:val="none" w:sz="0" w:space="0" w:color="auto"/>
        <w:left w:val="none" w:sz="0" w:space="0" w:color="auto"/>
        <w:bottom w:val="none" w:sz="0" w:space="0" w:color="auto"/>
        <w:right w:val="none" w:sz="0" w:space="0" w:color="auto"/>
      </w:divBdr>
    </w:div>
    <w:div w:id="1525482333">
      <w:bodyDiv w:val="1"/>
      <w:marLeft w:val="0"/>
      <w:marRight w:val="0"/>
      <w:marTop w:val="0"/>
      <w:marBottom w:val="0"/>
      <w:divBdr>
        <w:top w:val="none" w:sz="0" w:space="0" w:color="auto"/>
        <w:left w:val="none" w:sz="0" w:space="0" w:color="auto"/>
        <w:bottom w:val="none" w:sz="0" w:space="0" w:color="auto"/>
        <w:right w:val="none" w:sz="0" w:space="0" w:color="auto"/>
      </w:divBdr>
    </w:div>
    <w:div w:id="1535653800">
      <w:bodyDiv w:val="1"/>
      <w:marLeft w:val="0"/>
      <w:marRight w:val="0"/>
      <w:marTop w:val="0"/>
      <w:marBottom w:val="0"/>
      <w:divBdr>
        <w:top w:val="none" w:sz="0" w:space="0" w:color="auto"/>
        <w:left w:val="none" w:sz="0" w:space="0" w:color="auto"/>
        <w:bottom w:val="none" w:sz="0" w:space="0" w:color="auto"/>
        <w:right w:val="none" w:sz="0" w:space="0" w:color="auto"/>
      </w:divBdr>
    </w:div>
    <w:div w:id="1544251669">
      <w:bodyDiv w:val="1"/>
      <w:marLeft w:val="0"/>
      <w:marRight w:val="0"/>
      <w:marTop w:val="0"/>
      <w:marBottom w:val="0"/>
      <w:divBdr>
        <w:top w:val="none" w:sz="0" w:space="0" w:color="auto"/>
        <w:left w:val="none" w:sz="0" w:space="0" w:color="auto"/>
        <w:bottom w:val="none" w:sz="0" w:space="0" w:color="auto"/>
        <w:right w:val="none" w:sz="0" w:space="0" w:color="auto"/>
      </w:divBdr>
    </w:div>
    <w:div w:id="1577979931">
      <w:bodyDiv w:val="1"/>
      <w:marLeft w:val="0"/>
      <w:marRight w:val="0"/>
      <w:marTop w:val="0"/>
      <w:marBottom w:val="0"/>
      <w:divBdr>
        <w:top w:val="none" w:sz="0" w:space="0" w:color="auto"/>
        <w:left w:val="none" w:sz="0" w:space="0" w:color="auto"/>
        <w:bottom w:val="none" w:sz="0" w:space="0" w:color="auto"/>
        <w:right w:val="none" w:sz="0" w:space="0" w:color="auto"/>
      </w:divBdr>
    </w:div>
    <w:div w:id="1578401098">
      <w:bodyDiv w:val="1"/>
      <w:marLeft w:val="0"/>
      <w:marRight w:val="0"/>
      <w:marTop w:val="0"/>
      <w:marBottom w:val="0"/>
      <w:divBdr>
        <w:top w:val="none" w:sz="0" w:space="0" w:color="auto"/>
        <w:left w:val="none" w:sz="0" w:space="0" w:color="auto"/>
        <w:bottom w:val="none" w:sz="0" w:space="0" w:color="auto"/>
        <w:right w:val="none" w:sz="0" w:space="0" w:color="auto"/>
      </w:divBdr>
    </w:div>
    <w:div w:id="1583904277">
      <w:bodyDiv w:val="1"/>
      <w:marLeft w:val="0"/>
      <w:marRight w:val="0"/>
      <w:marTop w:val="0"/>
      <w:marBottom w:val="0"/>
      <w:divBdr>
        <w:top w:val="none" w:sz="0" w:space="0" w:color="auto"/>
        <w:left w:val="none" w:sz="0" w:space="0" w:color="auto"/>
        <w:bottom w:val="none" w:sz="0" w:space="0" w:color="auto"/>
        <w:right w:val="none" w:sz="0" w:space="0" w:color="auto"/>
      </w:divBdr>
    </w:div>
    <w:div w:id="1623535184">
      <w:bodyDiv w:val="1"/>
      <w:marLeft w:val="0"/>
      <w:marRight w:val="0"/>
      <w:marTop w:val="0"/>
      <w:marBottom w:val="0"/>
      <w:divBdr>
        <w:top w:val="none" w:sz="0" w:space="0" w:color="auto"/>
        <w:left w:val="none" w:sz="0" w:space="0" w:color="auto"/>
        <w:bottom w:val="none" w:sz="0" w:space="0" w:color="auto"/>
        <w:right w:val="none" w:sz="0" w:space="0" w:color="auto"/>
      </w:divBdr>
    </w:div>
    <w:div w:id="1632444379">
      <w:bodyDiv w:val="1"/>
      <w:marLeft w:val="0"/>
      <w:marRight w:val="0"/>
      <w:marTop w:val="0"/>
      <w:marBottom w:val="0"/>
      <w:divBdr>
        <w:top w:val="none" w:sz="0" w:space="0" w:color="auto"/>
        <w:left w:val="none" w:sz="0" w:space="0" w:color="auto"/>
        <w:bottom w:val="none" w:sz="0" w:space="0" w:color="auto"/>
        <w:right w:val="none" w:sz="0" w:space="0" w:color="auto"/>
      </w:divBdr>
    </w:div>
    <w:div w:id="1633751129">
      <w:bodyDiv w:val="1"/>
      <w:marLeft w:val="0"/>
      <w:marRight w:val="0"/>
      <w:marTop w:val="0"/>
      <w:marBottom w:val="0"/>
      <w:divBdr>
        <w:top w:val="none" w:sz="0" w:space="0" w:color="auto"/>
        <w:left w:val="none" w:sz="0" w:space="0" w:color="auto"/>
        <w:bottom w:val="none" w:sz="0" w:space="0" w:color="auto"/>
        <w:right w:val="none" w:sz="0" w:space="0" w:color="auto"/>
      </w:divBdr>
    </w:div>
    <w:div w:id="1642222818">
      <w:bodyDiv w:val="1"/>
      <w:marLeft w:val="0"/>
      <w:marRight w:val="0"/>
      <w:marTop w:val="0"/>
      <w:marBottom w:val="0"/>
      <w:divBdr>
        <w:top w:val="none" w:sz="0" w:space="0" w:color="auto"/>
        <w:left w:val="none" w:sz="0" w:space="0" w:color="auto"/>
        <w:bottom w:val="none" w:sz="0" w:space="0" w:color="auto"/>
        <w:right w:val="none" w:sz="0" w:space="0" w:color="auto"/>
      </w:divBdr>
    </w:div>
    <w:div w:id="1651638726">
      <w:bodyDiv w:val="1"/>
      <w:marLeft w:val="0"/>
      <w:marRight w:val="0"/>
      <w:marTop w:val="0"/>
      <w:marBottom w:val="0"/>
      <w:divBdr>
        <w:top w:val="none" w:sz="0" w:space="0" w:color="auto"/>
        <w:left w:val="none" w:sz="0" w:space="0" w:color="auto"/>
        <w:bottom w:val="none" w:sz="0" w:space="0" w:color="auto"/>
        <w:right w:val="none" w:sz="0" w:space="0" w:color="auto"/>
      </w:divBdr>
    </w:div>
    <w:div w:id="1668359940">
      <w:bodyDiv w:val="1"/>
      <w:marLeft w:val="0"/>
      <w:marRight w:val="0"/>
      <w:marTop w:val="0"/>
      <w:marBottom w:val="0"/>
      <w:divBdr>
        <w:top w:val="none" w:sz="0" w:space="0" w:color="auto"/>
        <w:left w:val="none" w:sz="0" w:space="0" w:color="auto"/>
        <w:bottom w:val="none" w:sz="0" w:space="0" w:color="auto"/>
        <w:right w:val="none" w:sz="0" w:space="0" w:color="auto"/>
      </w:divBdr>
    </w:div>
    <w:div w:id="1671639040">
      <w:bodyDiv w:val="1"/>
      <w:marLeft w:val="0"/>
      <w:marRight w:val="0"/>
      <w:marTop w:val="0"/>
      <w:marBottom w:val="0"/>
      <w:divBdr>
        <w:top w:val="none" w:sz="0" w:space="0" w:color="auto"/>
        <w:left w:val="none" w:sz="0" w:space="0" w:color="auto"/>
        <w:bottom w:val="none" w:sz="0" w:space="0" w:color="auto"/>
        <w:right w:val="none" w:sz="0" w:space="0" w:color="auto"/>
      </w:divBdr>
    </w:div>
    <w:div w:id="1684160275">
      <w:bodyDiv w:val="1"/>
      <w:marLeft w:val="0"/>
      <w:marRight w:val="0"/>
      <w:marTop w:val="0"/>
      <w:marBottom w:val="0"/>
      <w:divBdr>
        <w:top w:val="none" w:sz="0" w:space="0" w:color="auto"/>
        <w:left w:val="none" w:sz="0" w:space="0" w:color="auto"/>
        <w:bottom w:val="none" w:sz="0" w:space="0" w:color="auto"/>
        <w:right w:val="none" w:sz="0" w:space="0" w:color="auto"/>
      </w:divBdr>
    </w:div>
    <w:div w:id="1689063341">
      <w:bodyDiv w:val="1"/>
      <w:marLeft w:val="0"/>
      <w:marRight w:val="0"/>
      <w:marTop w:val="0"/>
      <w:marBottom w:val="0"/>
      <w:divBdr>
        <w:top w:val="none" w:sz="0" w:space="0" w:color="auto"/>
        <w:left w:val="none" w:sz="0" w:space="0" w:color="auto"/>
        <w:bottom w:val="none" w:sz="0" w:space="0" w:color="auto"/>
        <w:right w:val="none" w:sz="0" w:space="0" w:color="auto"/>
      </w:divBdr>
    </w:div>
    <w:div w:id="1692603773">
      <w:bodyDiv w:val="1"/>
      <w:marLeft w:val="0"/>
      <w:marRight w:val="0"/>
      <w:marTop w:val="0"/>
      <w:marBottom w:val="0"/>
      <w:divBdr>
        <w:top w:val="none" w:sz="0" w:space="0" w:color="auto"/>
        <w:left w:val="none" w:sz="0" w:space="0" w:color="auto"/>
        <w:bottom w:val="none" w:sz="0" w:space="0" w:color="auto"/>
        <w:right w:val="none" w:sz="0" w:space="0" w:color="auto"/>
      </w:divBdr>
    </w:div>
    <w:div w:id="1697196113">
      <w:bodyDiv w:val="1"/>
      <w:marLeft w:val="0"/>
      <w:marRight w:val="0"/>
      <w:marTop w:val="0"/>
      <w:marBottom w:val="0"/>
      <w:divBdr>
        <w:top w:val="none" w:sz="0" w:space="0" w:color="auto"/>
        <w:left w:val="none" w:sz="0" w:space="0" w:color="auto"/>
        <w:bottom w:val="none" w:sz="0" w:space="0" w:color="auto"/>
        <w:right w:val="none" w:sz="0" w:space="0" w:color="auto"/>
      </w:divBdr>
    </w:div>
    <w:div w:id="1701126964">
      <w:bodyDiv w:val="1"/>
      <w:marLeft w:val="0"/>
      <w:marRight w:val="0"/>
      <w:marTop w:val="0"/>
      <w:marBottom w:val="0"/>
      <w:divBdr>
        <w:top w:val="none" w:sz="0" w:space="0" w:color="auto"/>
        <w:left w:val="none" w:sz="0" w:space="0" w:color="auto"/>
        <w:bottom w:val="none" w:sz="0" w:space="0" w:color="auto"/>
        <w:right w:val="none" w:sz="0" w:space="0" w:color="auto"/>
      </w:divBdr>
    </w:div>
    <w:div w:id="1701511348">
      <w:bodyDiv w:val="1"/>
      <w:marLeft w:val="0"/>
      <w:marRight w:val="0"/>
      <w:marTop w:val="0"/>
      <w:marBottom w:val="0"/>
      <w:divBdr>
        <w:top w:val="none" w:sz="0" w:space="0" w:color="auto"/>
        <w:left w:val="none" w:sz="0" w:space="0" w:color="auto"/>
        <w:bottom w:val="none" w:sz="0" w:space="0" w:color="auto"/>
        <w:right w:val="none" w:sz="0" w:space="0" w:color="auto"/>
      </w:divBdr>
    </w:div>
    <w:div w:id="1703240154">
      <w:bodyDiv w:val="1"/>
      <w:marLeft w:val="0"/>
      <w:marRight w:val="0"/>
      <w:marTop w:val="0"/>
      <w:marBottom w:val="0"/>
      <w:divBdr>
        <w:top w:val="none" w:sz="0" w:space="0" w:color="auto"/>
        <w:left w:val="none" w:sz="0" w:space="0" w:color="auto"/>
        <w:bottom w:val="none" w:sz="0" w:space="0" w:color="auto"/>
        <w:right w:val="none" w:sz="0" w:space="0" w:color="auto"/>
      </w:divBdr>
    </w:div>
    <w:div w:id="1708946407">
      <w:bodyDiv w:val="1"/>
      <w:marLeft w:val="0"/>
      <w:marRight w:val="0"/>
      <w:marTop w:val="0"/>
      <w:marBottom w:val="0"/>
      <w:divBdr>
        <w:top w:val="none" w:sz="0" w:space="0" w:color="auto"/>
        <w:left w:val="none" w:sz="0" w:space="0" w:color="auto"/>
        <w:bottom w:val="none" w:sz="0" w:space="0" w:color="auto"/>
        <w:right w:val="none" w:sz="0" w:space="0" w:color="auto"/>
      </w:divBdr>
    </w:div>
    <w:div w:id="1710566791">
      <w:bodyDiv w:val="1"/>
      <w:marLeft w:val="0"/>
      <w:marRight w:val="0"/>
      <w:marTop w:val="0"/>
      <w:marBottom w:val="0"/>
      <w:divBdr>
        <w:top w:val="none" w:sz="0" w:space="0" w:color="auto"/>
        <w:left w:val="none" w:sz="0" w:space="0" w:color="auto"/>
        <w:bottom w:val="none" w:sz="0" w:space="0" w:color="auto"/>
        <w:right w:val="none" w:sz="0" w:space="0" w:color="auto"/>
      </w:divBdr>
    </w:div>
    <w:div w:id="1712684459">
      <w:bodyDiv w:val="1"/>
      <w:marLeft w:val="0"/>
      <w:marRight w:val="0"/>
      <w:marTop w:val="0"/>
      <w:marBottom w:val="0"/>
      <w:divBdr>
        <w:top w:val="none" w:sz="0" w:space="0" w:color="auto"/>
        <w:left w:val="none" w:sz="0" w:space="0" w:color="auto"/>
        <w:bottom w:val="none" w:sz="0" w:space="0" w:color="auto"/>
        <w:right w:val="none" w:sz="0" w:space="0" w:color="auto"/>
      </w:divBdr>
    </w:div>
    <w:div w:id="1737586668">
      <w:bodyDiv w:val="1"/>
      <w:marLeft w:val="0"/>
      <w:marRight w:val="0"/>
      <w:marTop w:val="0"/>
      <w:marBottom w:val="0"/>
      <w:divBdr>
        <w:top w:val="none" w:sz="0" w:space="0" w:color="auto"/>
        <w:left w:val="none" w:sz="0" w:space="0" w:color="auto"/>
        <w:bottom w:val="none" w:sz="0" w:space="0" w:color="auto"/>
        <w:right w:val="none" w:sz="0" w:space="0" w:color="auto"/>
      </w:divBdr>
      <w:divsChild>
        <w:div w:id="131562619">
          <w:marLeft w:val="0"/>
          <w:marRight w:val="0"/>
          <w:marTop w:val="0"/>
          <w:marBottom w:val="0"/>
          <w:divBdr>
            <w:top w:val="none" w:sz="0" w:space="0" w:color="auto"/>
            <w:left w:val="none" w:sz="0" w:space="0" w:color="auto"/>
            <w:bottom w:val="none" w:sz="0" w:space="0" w:color="auto"/>
            <w:right w:val="none" w:sz="0" w:space="0" w:color="auto"/>
          </w:divBdr>
        </w:div>
        <w:div w:id="658582932">
          <w:marLeft w:val="0"/>
          <w:marRight w:val="0"/>
          <w:marTop w:val="0"/>
          <w:marBottom w:val="0"/>
          <w:divBdr>
            <w:top w:val="none" w:sz="0" w:space="0" w:color="auto"/>
            <w:left w:val="none" w:sz="0" w:space="0" w:color="auto"/>
            <w:bottom w:val="none" w:sz="0" w:space="0" w:color="auto"/>
            <w:right w:val="none" w:sz="0" w:space="0" w:color="auto"/>
          </w:divBdr>
        </w:div>
        <w:div w:id="725762432">
          <w:marLeft w:val="0"/>
          <w:marRight w:val="0"/>
          <w:marTop w:val="0"/>
          <w:marBottom w:val="0"/>
          <w:divBdr>
            <w:top w:val="none" w:sz="0" w:space="0" w:color="auto"/>
            <w:left w:val="none" w:sz="0" w:space="0" w:color="auto"/>
            <w:bottom w:val="none" w:sz="0" w:space="0" w:color="auto"/>
            <w:right w:val="none" w:sz="0" w:space="0" w:color="auto"/>
          </w:divBdr>
        </w:div>
        <w:div w:id="1408965072">
          <w:marLeft w:val="0"/>
          <w:marRight w:val="0"/>
          <w:marTop w:val="0"/>
          <w:marBottom w:val="0"/>
          <w:divBdr>
            <w:top w:val="none" w:sz="0" w:space="0" w:color="auto"/>
            <w:left w:val="none" w:sz="0" w:space="0" w:color="auto"/>
            <w:bottom w:val="none" w:sz="0" w:space="0" w:color="auto"/>
            <w:right w:val="none" w:sz="0" w:space="0" w:color="auto"/>
          </w:divBdr>
        </w:div>
        <w:div w:id="2070691444">
          <w:marLeft w:val="0"/>
          <w:marRight w:val="0"/>
          <w:marTop w:val="0"/>
          <w:marBottom w:val="0"/>
          <w:divBdr>
            <w:top w:val="none" w:sz="0" w:space="0" w:color="auto"/>
            <w:left w:val="none" w:sz="0" w:space="0" w:color="auto"/>
            <w:bottom w:val="none" w:sz="0" w:space="0" w:color="auto"/>
            <w:right w:val="none" w:sz="0" w:space="0" w:color="auto"/>
          </w:divBdr>
        </w:div>
      </w:divsChild>
    </w:div>
    <w:div w:id="1743067329">
      <w:bodyDiv w:val="1"/>
      <w:marLeft w:val="0"/>
      <w:marRight w:val="0"/>
      <w:marTop w:val="0"/>
      <w:marBottom w:val="0"/>
      <w:divBdr>
        <w:top w:val="none" w:sz="0" w:space="0" w:color="auto"/>
        <w:left w:val="none" w:sz="0" w:space="0" w:color="auto"/>
        <w:bottom w:val="none" w:sz="0" w:space="0" w:color="auto"/>
        <w:right w:val="none" w:sz="0" w:space="0" w:color="auto"/>
      </w:divBdr>
    </w:div>
    <w:div w:id="1746344581">
      <w:bodyDiv w:val="1"/>
      <w:marLeft w:val="0"/>
      <w:marRight w:val="0"/>
      <w:marTop w:val="0"/>
      <w:marBottom w:val="0"/>
      <w:divBdr>
        <w:top w:val="none" w:sz="0" w:space="0" w:color="auto"/>
        <w:left w:val="none" w:sz="0" w:space="0" w:color="auto"/>
        <w:bottom w:val="none" w:sz="0" w:space="0" w:color="auto"/>
        <w:right w:val="none" w:sz="0" w:space="0" w:color="auto"/>
      </w:divBdr>
    </w:div>
    <w:div w:id="1754276030">
      <w:bodyDiv w:val="1"/>
      <w:marLeft w:val="0"/>
      <w:marRight w:val="0"/>
      <w:marTop w:val="0"/>
      <w:marBottom w:val="0"/>
      <w:divBdr>
        <w:top w:val="none" w:sz="0" w:space="0" w:color="auto"/>
        <w:left w:val="none" w:sz="0" w:space="0" w:color="auto"/>
        <w:bottom w:val="none" w:sz="0" w:space="0" w:color="auto"/>
        <w:right w:val="none" w:sz="0" w:space="0" w:color="auto"/>
      </w:divBdr>
    </w:div>
    <w:div w:id="1756434413">
      <w:bodyDiv w:val="1"/>
      <w:marLeft w:val="0"/>
      <w:marRight w:val="0"/>
      <w:marTop w:val="0"/>
      <w:marBottom w:val="0"/>
      <w:divBdr>
        <w:top w:val="none" w:sz="0" w:space="0" w:color="auto"/>
        <w:left w:val="none" w:sz="0" w:space="0" w:color="auto"/>
        <w:bottom w:val="none" w:sz="0" w:space="0" w:color="auto"/>
        <w:right w:val="none" w:sz="0" w:space="0" w:color="auto"/>
      </w:divBdr>
    </w:div>
    <w:div w:id="1775251572">
      <w:bodyDiv w:val="1"/>
      <w:marLeft w:val="0"/>
      <w:marRight w:val="0"/>
      <w:marTop w:val="0"/>
      <w:marBottom w:val="0"/>
      <w:divBdr>
        <w:top w:val="none" w:sz="0" w:space="0" w:color="auto"/>
        <w:left w:val="none" w:sz="0" w:space="0" w:color="auto"/>
        <w:bottom w:val="none" w:sz="0" w:space="0" w:color="auto"/>
        <w:right w:val="none" w:sz="0" w:space="0" w:color="auto"/>
      </w:divBdr>
    </w:div>
    <w:div w:id="1775781392">
      <w:bodyDiv w:val="1"/>
      <w:marLeft w:val="0"/>
      <w:marRight w:val="0"/>
      <w:marTop w:val="0"/>
      <w:marBottom w:val="0"/>
      <w:divBdr>
        <w:top w:val="none" w:sz="0" w:space="0" w:color="auto"/>
        <w:left w:val="none" w:sz="0" w:space="0" w:color="auto"/>
        <w:bottom w:val="none" w:sz="0" w:space="0" w:color="auto"/>
        <w:right w:val="none" w:sz="0" w:space="0" w:color="auto"/>
      </w:divBdr>
    </w:div>
    <w:div w:id="1776290431">
      <w:bodyDiv w:val="1"/>
      <w:marLeft w:val="0"/>
      <w:marRight w:val="0"/>
      <w:marTop w:val="0"/>
      <w:marBottom w:val="0"/>
      <w:divBdr>
        <w:top w:val="none" w:sz="0" w:space="0" w:color="auto"/>
        <w:left w:val="none" w:sz="0" w:space="0" w:color="auto"/>
        <w:bottom w:val="none" w:sz="0" w:space="0" w:color="auto"/>
        <w:right w:val="none" w:sz="0" w:space="0" w:color="auto"/>
      </w:divBdr>
    </w:div>
    <w:div w:id="1785227606">
      <w:bodyDiv w:val="1"/>
      <w:marLeft w:val="0"/>
      <w:marRight w:val="0"/>
      <w:marTop w:val="0"/>
      <w:marBottom w:val="0"/>
      <w:divBdr>
        <w:top w:val="none" w:sz="0" w:space="0" w:color="auto"/>
        <w:left w:val="none" w:sz="0" w:space="0" w:color="auto"/>
        <w:bottom w:val="none" w:sz="0" w:space="0" w:color="auto"/>
        <w:right w:val="none" w:sz="0" w:space="0" w:color="auto"/>
      </w:divBdr>
    </w:div>
    <w:div w:id="1806578191">
      <w:bodyDiv w:val="1"/>
      <w:marLeft w:val="0"/>
      <w:marRight w:val="0"/>
      <w:marTop w:val="0"/>
      <w:marBottom w:val="0"/>
      <w:divBdr>
        <w:top w:val="none" w:sz="0" w:space="0" w:color="auto"/>
        <w:left w:val="none" w:sz="0" w:space="0" w:color="auto"/>
        <w:bottom w:val="none" w:sz="0" w:space="0" w:color="auto"/>
        <w:right w:val="none" w:sz="0" w:space="0" w:color="auto"/>
      </w:divBdr>
    </w:div>
    <w:div w:id="1812668294">
      <w:bodyDiv w:val="1"/>
      <w:marLeft w:val="0"/>
      <w:marRight w:val="0"/>
      <w:marTop w:val="0"/>
      <w:marBottom w:val="0"/>
      <w:divBdr>
        <w:top w:val="none" w:sz="0" w:space="0" w:color="auto"/>
        <w:left w:val="none" w:sz="0" w:space="0" w:color="auto"/>
        <w:bottom w:val="none" w:sz="0" w:space="0" w:color="auto"/>
        <w:right w:val="none" w:sz="0" w:space="0" w:color="auto"/>
      </w:divBdr>
      <w:divsChild>
        <w:div w:id="772166847">
          <w:marLeft w:val="0"/>
          <w:marRight w:val="0"/>
          <w:marTop w:val="0"/>
          <w:marBottom w:val="0"/>
          <w:divBdr>
            <w:top w:val="none" w:sz="0" w:space="0" w:color="auto"/>
            <w:left w:val="none" w:sz="0" w:space="0" w:color="auto"/>
            <w:bottom w:val="none" w:sz="0" w:space="0" w:color="auto"/>
            <w:right w:val="none" w:sz="0" w:space="0" w:color="auto"/>
          </w:divBdr>
          <w:divsChild>
            <w:div w:id="57956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842763">
      <w:bodyDiv w:val="1"/>
      <w:marLeft w:val="0"/>
      <w:marRight w:val="0"/>
      <w:marTop w:val="0"/>
      <w:marBottom w:val="0"/>
      <w:divBdr>
        <w:top w:val="none" w:sz="0" w:space="0" w:color="auto"/>
        <w:left w:val="none" w:sz="0" w:space="0" w:color="auto"/>
        <w:bottom w:val="none" w:sz="0" w:space="0" w:color="auto"/>
        <w:right w:val="none" w:sz="0" w:space="0" w:color="auto"/>
      </w:divBdr>
    </w:div>
    <w:div w:id="1835879708">
      <w:bodyDiv w:val="1"/>
      <w:marLeft w:val="0"/>
      <w:marRight w:val="0"/>
      <w:marTop w:val="0"/>
      <w:marBottom w:val="0"/>
      <w:divBdr>
        <w:top w:val="none" w:sz="0" w:space="0" w:color="auto"/>
        <w:left w:val="none" w:sz="0" w:space="0" w:color="auto"/>
        <w:bottom w:val="none" w:sz="0" w:space="0" w:color="auto"/>
        <w:right w:val="none" w:sz="0" w:space="0" w:color="auto"/>
      </w:divBdr>
    </w:div>
    <w:div w:id="1861700197">
      <w:bodyDiv w:val="1"/>
      <w:marLeft w:val="0"/>
      <w:marRight w:val="0"/>
      <w:marTop w:val="0"/>
      <w:marBottom w:val="0"/>
      <w:divBdr>
        <w:top w:val="none" w:sz="0" w:space="0" w:color="auto"/>
        <w:left w:val="none" w:sz="0" w:space="0" w:color="auto"/>
        <w:bottom w:val="none" w:sz="0" w:space="0" w:color="auto"/>
        <w:right w:val="none" w:sz="0" w:space="0" w:color="auto"/>
      </w:divBdr>
    </w:div>
    <w:div w:id="1868986093">
      <w:bodyDiv w:val="1"/>
      <w:marLeft w:val="0"/>
      <w:marRight w:val="0"/>
      <w:marTop w:val="0"/>
      <w:marBottom w:val="0"/>
      <w:divBdr>
        <w:top w:val="none" w:sz="0" w:space="0" w:color="auto"/>
        <w:left w:val="none" w:sz="0" w:space="0" w:color="auto"/>
        <w:bottom w:val="none" w:sz="0" w:space="0" w:color="auto"/>
        <w:right w:val="none" w:sz="0" w:space="0" w:color="auto"/>
      </w:divBdr>
    </w:div>
    <w:div w:id="1883440992">
      <w:bodyDiv w:val="1"/>
      <w:marLeft w:val="0"/>
      <w:marRight w:val="0"/>
      <w:marTop w:val="0"/>
      <w:marBottom w:val="0"/>
      <w:divBdr>
        <w:top w:val="none" w:sz="0" w:space="0" w:color="auto"/>
        <w:left w:val="none" w:sz="0" w:space="0" w:color="auto"/>
        <w:bottom w:val="none" w:sz="0" w:space="0" w:color="auto"/>
        <w:right w:val="none" w:sz="0" w:space="0" w:color="auto"/>
      </w:divBdr>
    </w:div>
    <w:div w:id="1893692927">
      <w:bodyDiv w:val="1"/>
      <w:marLeft w:val="0"/>
      <w:marRight w:val="0"/>
      <w:marTop w:val="0"/>
      <w:marBottom w:val="0"/>
      <w:divBdr>
        <w:top w:val="none" w:sz="0" w:space="0" w:color="auto"/>
        <w:left w:val="none" w:sz="0" w:space="0" w:color="auto"/>
        <w:bottom w:val="none" w:sz="0" w:space="0" w:color="auto"/>
        <w:right w:val="none" w:sz="0" w:space="0" w:color="auto"/>
      </w:divBdr>
    </w:div>
    <w:div w:id="1915777627">
      <w:bodyDiv w:val="1"/>
      <w:marLeft w:val="0"/>
      <w:marRight w:val="0"/>
      <w:marTop w:val="0"/>
      <w:marBottom w:val="0"/>
      <w:divBdr>
        <w:top w:val="none" w:sz="0" w:space="0" w:color="auto"/>
        <w:left w:val="none" w:sz="0" w:space="0" w:color="auto"/>
        <w:bottom w:val="none" w:sz="0" w:space="0" w:color="auto"/>
        <w:right w:val="none" w:sz="0" w:space="0" w:color="auto"/>
      </w:divBdr>
      <w:divsChild>
        <w:div w:id="102700236">
          <w:marLeft w:val="0"/>
          <w:marRight w:val="0"/>
          <w:marTop w:val="0"/>
          <w:marBottom w:val="0"/>
          <w:divBdr>
            <w:top w:val="none" w:sz="0" w:space="0" w:color="auto"/>
            <w:left w:val="none" w:sz="0" w:space="0" w:color="auto"/>
            <w:bottom w:val="none" w:sz="0" w:space="0" w:color="auto"/>
            <w:right w:val="none" w:sz="0" w:space="0" w:color="auto"/>
          </w:divBdr>
          <w:divsChild>
            <w:div w:id="875655072">
              <w:marLeft w:val="0"/>
              <w:marRight w:val="0"/>
              <w:marTop w:val="0"/>
              <w:marBottom w:val="0"/>
              <w:divBdr>
                <w:top w:val="none" w:sz="0" w:space="0" w:color="auto"/>
                <w:left w:val="none" w:sz="0" w:space="0" w:color="auto"/>
                <w:bottom w:val="none" w:sz="0" w:space="0" w:color="auto"/>
                <w:right w:val="none" w:sz="0" w:space="0" w:color="auto"/>
              </w:divBdr>
            </w:div>
          </w:divsChild>
        </w:div>
        <w:div w:id="993408052">
          <w:marLeft w:val="0"/>
          <w:marRight w:val="0"/>
          <w:marTop w:val="0"/>
          <w:marBottom w:val="0"/>
          <w:divBdr>
            <w:top w:val="none" w:sz="0" w:space="0" w:color="auto"/>
            <w:left w:val="none" w:sz="0" w:space="0" w:color="auto"/>
            <w:bottom w:val="none" w:sz="0" w:space="0" w:color="auto"/>
            <w:right w:val="none" w:sz="0" w:space="0" w:color="auto"/>
          </w:divBdr>
        </w:div>
        <w:div w:id="1579821420">
          <w:marLeft w:val="0"/>
          <w:marRight w:val="0"/>
          <w:marTop w:val="0"/>
          <w:marBottom w:val="0"/>
          <w:divBdr>
            <w:top w:val="none" w:sz="0" w:space="0" w:color="auto"/>
            <w:left w:val="none" w:sz="0" w:space="0" w:color="auto"/>
            <w:bottom w:val="none" w:sz="0" w:space="0" w:color="auto"/>
            <w:right w:val="none" w:sz="0" w:space="0" w:color="auto"/>
          </w:divBdr>
        </w:div>
        <w:div w:id="1680035650">
          <w:marLeft w:val="0"/>
          <w:marRight w:val="0"/>
          <w:marTop w:val="0"/>
          <w:marBottom w:val="0"/>
          <w:divBdr>
            <w:top w:val="none" w:sz="0" w:space="0" w:color="auto"/>
            <w:left w:val="none" w:sz="0" w:space="0" w:color="auto"/>
            <w:bottom w:val="none" w:sz="0" w:space="0" w:color="auto"/>
            <w:right w:val="none" w:sz="0" w:space="0" w:color="auto"/>
          </w:divBdr>
          <w:divsChild>
            <w:div w:id="236520253">
              <w:marLeft w:val="0"/>
              <w:marRight w:val="0"/>
              <w:marTop w:val="0"/>
              <w:marBottom w:val="0"/>
              <w:divBdr>
                <w:top w:val="none" w:sz="0" w:space="0" w:color="auto"/>
                <w:left w:val="none" w:sz="0" w:space="0" w:color="auto"/>
                <w:bottom w:val="none" w:sz="0" w:space="0" w:color="auto"/>
                <w:right w:val="none" w:sz="0" w:space="0" w:color="auto"/>
              </w:divBdr>
            </w:div>
            <w:div w:id="1362902263">
              <w:marLeft w:val="0"/>
              <w:marRight w:val="0"/>
              <w:marTop w:val="0"/>
              <w:marBottom w:val="0"/>
              <w:divBdr>
                <w:top w:val="none" w:sz="0" w:space="0" w:color="auto"/>
                <w:left w:val="none" w:sz="0" w:space="0" w:color="auto"/>
                <w:bottom w:val="none" w:sz="0" w:space="0" w:color="auto"/>
                <w:right w:val="none" w:sz="0" w:space="0" w:color="auto"/>
              </w:divBdr>
            </w:div>
            <w:div w:id="1385526513">
              <w:marLeft w:val="0"/>
              <w:marRight w:val="0"/>
              <w:marTop w:val="0"/>
              <w:marBottom w:val="0"/>
              <w:divBdr>
                <w:top w:val="none" w:sz="0" w:space="0" w:color="auto"/>
                <w:left w:val="none" w:sz="0" w:space="0" w:color="auto"/>
                <w:bottom w:val="none" w:sz="0" w:space="0" w:color="auto"/>
                <w:right w:val="none" w:sz="0" w:space="0" w:color="auto"/>
              </w:divBdr>
            </w:div>
            <w:div w:id="200049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21239">
      <w:bodyDiv w:val="1"/>
      <w:marLeft w:val="0"/>
      <w:marRight w:val="0"/>
      <w:marTop w:val="0"/>
      <w:marBottom w:val="0"/>
      <w:divBdr>
        <w:top w:val="none" w:sz="0" w:space="0" w:color="auto"/>
        <w:left w:val="none" w:sz="0" w:space="0" w:color="auto"/>
        <w:bottom w:val="none" w:sz="0" w:space="0" w:color="auto"/>
        <w:right w:val="none" w:sz="0" w:space="0" w:color="auto"/>
      </w:divBdr>
    </w:div>
    <w:div w:id="1962496662">
      <w:bodyDiv w:val="1"/>
      <w:marLeft w:val="0"/>
      <w:marRight w:val="0"/>
      <w:marTop w:val="0"/>
      <w:marBottom w:val="0"/>
      <w:divBdr>
        <w:top w:val="none" w:sz="0" w:space="0" w:color="auto"/>
        <w:left w:val="none" w:sz="0" w:space="0" w:color="auto"/>
        <w:bottom w:val="none" w:sz="0" w:space="0" w:color="auto"/>
        <w:right w:val="none" w:sz="0" w:space="0" w:color="auto"/>
      </w:divBdr>
    </w:div>
    <w:div w:id="1971084509">
      <w:bodyDiv w:val="1"/>
      <w:marLeft w:val="0"/>
      <w:marRight w:val="0"/>
      <w:marTop w:val="0"/>
      <w:marBottom w:val="0"/>
      <w:divBdr>
        <w:top w:val="none" w:sz="0" w:space="0" w:color="auto"/>
        <w:left w:val="none" w:sz="0" w:space="0" w:color="auto"/>
        <w:bottom w:val="none" w:sz="0" w:space="0" w:color="auto"/>
        <w:right w:val="none" w:sz="0" w:space="0" w:color="auto"/>
      </w:divBdr>
    </w:div>
    <w:div w:id="1971589795">
      <w:bodyDiv w:val="1"/>
      <w:marLeft w:val="0"/>
      <w:marRight w:val="0"/>
      <w:marTop w:val="0"/>
      <w:marBottom w:val="0"/>
      <w:divBdr>
        <w:top w:val="none" w:sz="0" w:space="0" w:color="auto"/>
        <w:left w:val="none" w:sz="0" w:space="0" w:color="auto"/>
        <w:bottom w:val="none" w:sz="0" w:space="0" w:color="auto"/>
        <w:right w:val="none" w:sz="0" w:space="0" w:color="auto"/>
      </w:divBdr>
    </w:div>
    <w:div w:id="1986348740">
      <w:bodyDiv w:val="1"/>
      <w:marLeft w:val="0"/>
      <w:marRight w:val="0"/>
      <w:marTop w:val="0"/>
      <w:marBottom w:val="0"/>
      <w:divBdr>
        <w:top w:val="none" w:sz="0" w:space="0" w:color="auto"/>
        <w:left w:val="none" w:sz="0" w:space="0" w:color="auto"/>
        <w:bottom w:val="none" w:sz="0" w:space="0" w:color="auto"/>
        <w:right w:val="none" w:sz="0" w:space="0" w:color="auto"/>
      </w:divBdr>
    </w:div>
    <w:div w:id="1992365872">
      <w:bodyDiv w:val="1"/>
      <w:marLeft w:val="0"/>
      <w:marRight w:val="0"/>
      <w:marTop w:val="0"/>
      <w:marBottom w:val="0"/>
      <w:divBdr>
        <w:top w:val="none" w:sz="0" w:space="0" w:color="auto"/>
        <w:left w:val="none" w:sz="0" w:space="0" w:color="auto"/>
        <w:bottom w:val="none" w:sz="0" w:space="0" w:color="auto"/>
        <w:right w:val="none" w:sz="0" w:space="0" w:color="auto"/>
      </w:divBdr>
    </w:div>
    <w:div w:id="2004044899">
      <w:bodyDiv w:val="1"/>
      <w:marLeft w:val="0"/>
      <w:marRight w:val="0"/>
      <w:marTop w:val="0"/>
      <w:marBottom w:val="0"/>
      <w:divBdr>
        <w:top w:val="none" w:sz="0" w:space="0" w:color="auto"/>
        <w:left w:val="none" w:sz="0" w:space="0" w:color="auto"/>
        <w:bottom w:val="none" w:sz="0" w:space="0" w:color="auto"/>
        <w:right w:val="none" w:sz="0" w:space="0" w:color="auto"/>
      </w:divBdr>
    </w:div>
    <w:div w:id="2026592966">
      <w:bodyDiv w:val="1"/>
      <w:marLeft w:val="0"/>
      <w:marRight w:val="0"/>
      <w:marTop w:val="0"/>
      <w:marBottom w:val="0"/>
      <w:divBdr>
        <w:top w:val="none" w:sz="0" w:space="0" w:color="auto"/>
        <w:left w:val="none" w:sz="0" w:space="0" w:color="auto"/>
        <w:bottom w:val="none" w:sz="0" w:space="0" w:color="auto"/>
        <w:right w:val="none" w:sz="0" w:space="0" w:color="auto"/>
      </w:divBdr>
    </w:div>
    <w:div w:id="2028827008">
      <w:bodyDiv w:val="1"/>
      <w:marLeft w:val="0"/>
      <w:marRight w:val="0"/>
      <w:marTop w:val="0"/>
      <w:marBottom w:val="0"/>
      <w:divBdr>
        <w:top w:val="none" w:sz="0" w:space="0" w:color="auto"/>
        <w:left w:val="none" w:sz="0" w:space="0" w:color="auto"/>
        <w:bottom w:val="none" w:sz="0" w:space="0" w:color="auto"/>
        <w:right w:val="none" w:sz="0" w:space="0" w:color="auto"/>
      </w:divBdr>
    </w:div>
    <w:div w:id="2056420280">
      <w:bodyDiv w:val="1"/>
      <w:marLeft w:val="0"/>
      <w:marRight w:val="0"/>
      <w:marTop w:val="0"/>
      <w:marBottom w:val="0"/>
      <w:divBdr>
        <w:top w:val="none" w:sz="0" w:space="0" w:color="auto"/>
        <w:left w:val="none" w:sz="0" w:space="0" w:color="auto"/>
        <w:bottom w:val="none" w:sz="0" w:space="0" w:color="auto"/>
        <w:right w:val="none" w:sz="0" w:space="0" w:color="auto"/>
      </w:divBdr>
      <w:divsChild>
        <w:div w:id="138617845">
          <w:marLeft w:val="0"/>
          <w:marRight w:val="0"/>
          <w:marTop w:val="0"/>
          <w:marBottom w:val="0"/>
          <w:divBdr>
            <w:top w:val="none" w:sz="0" w:space="0" w:color="auto"/>
            <w:left w:val="none" w:sz="0" w:space="0" w:color="auto"/>
            <w:bottom w:val="none" w:sz="0" w:space="0" w:color="auto"/>
            <w:right w:val="none" w:sz="0" w:space="0" w:color="auto"/>
          </w:divBdr>
        </w:div>
      </w:divsChild>
    </w:div>
    <w:div w:id="2066172607">
      <w:bodyDiv w:val="1"/>
      <w:marLeft w:val="0"/>
      <w:marRight w:val="0"/>
      <w:marTop w:val="0"/>
      <w:marBottom w:val="0"/>
      <w:divBdr>
        <w:top w:val="none" w:sz="0" w:space="0" w:color="auto"/>
        <w:left w:val="none" w:sz="0" w:space="0" w:color="auto"/>
        <w:bottom w:val="none" w:sz="0" w:space="0" w:color="auto"/>
        <w:right w:val="none" w:sz="0" w:space="0" w:color="auto"/>
      </w:divBdr>
    </w:div>
    <w:div w:id="2124881406">
      <w:bodyDiv w:val="1"/>
      <w:marLeft w:val="0"/>
      <w:marRight w:val="0"/>
      <w:marTop w:val="0"/>
      <w:marBottom w:val="0"/>
      <w:divBdr>
        <w:top w:val="none" w:sz="0" w:space="0" w:color="auto"/>
        <w:left w:val="none" w:sz="0" w:space="0" w:color="auto"/>
        <w:bottom w:val="none" w:sz="0" w:space="0" w:color="auto"/>
        <w:right w:val="none" w:sz="0" w:space="0" w:color="auto"/>
      </w:divBdr>
    </w:div>
    <w:div w:id="2137553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https://www.gov.pl/web/planodbudowy/wysluchanie-publiczne" TargetMode="Externa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s>
</file>

<file path=word/_rels/footnotes.xml.rels><?xml version="1.0" encoding="UTF-8" standalone="yes"?>
<Relationships xmlns="http://schemas.openxmlformats.org/package/2006/relationships"><Relationship Id="rId3" Type="http://schemas.openxmlformats.org/officeDocument/2006/relationships/hyperlink" Target="https://www.wnp.pl/finanse/komisja-europejska-ma-nowe-prognozy-dla-polskiej-gospodarki,805124.html" TargetMode="External"/><Relationship Id="rId2" Type="http://schemas.openxmlformats.org/officeDocument/2006/relationships/hyperlink" Target="https://stat.gov.pl/obszary-tematyczne/ceny-handel/wskazniki-cen/wskazniki-cen-towarow-i-uslug-konsumpcyjnych-w-styczniu-2024-roku-dane-wstepne,2,147.html" TargetMode="External"/><Relationship Id="rId1" Type="http://schemas.openxmlformats.org/officeDocument/2006/relationships/hyperlink" Target="https://stat.gov.pl/download/gfx/portalinformacyjny/pl/defaultaktualnosci/5498/1/141/1/sytuacja_2_01_2024.pdf" TargetMode="External"/><Relationship Id="rId4" Type="http://schemas.openxmlformats.org/officeDocument/2006/relationships/hyperlink" Target="https://poland.representation.ec.europa.eu/news/prognoza-gospodarcza-zima-2023-2023-02-13_p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CO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a95167d-084d-43a8-bc0f-5d5b25d0083d">
      <UserInfo>
        <DisplayName>Białek Jacek</DisplayName>
        <AccountId>21</AccountId>
        <AccountType/>
      </UserInfo>
      <UserInfo>
        <DisplayName>Chałupa Tomasz</DisplayName>
        <AccountId>34</AccountId>
        <AccountType/>
      </UserInfo>
      <UserInfo>
        <DisplayName>Tilzen Marzena</DisplayName>
        <AccountId>10</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D186C3EA263BD4F917A6C85A18A961C" ma:contentTypeVersion="6" ma:contentTypeDescription="Utwórz nowy dokument." ma:contentTypeScope="" ma:versionID="b933acd49d442e6ade82786738a53be2">
  <xsd:schema xmlns:xsd="http://www.w3.org/2001/XMLSchema" xmlns:xs="http://www.w3.org/2001/XMLSchema" xmlns:p="http://schemas.microsoft.com/office/2006/metadata/properties" xmlns:ns2="244bb23a-2fe6-433a-9a37-f7f25922d564" xmlns:ns3="8a95167d-084d-43a8-bc0f-5d5b25d0083d" targetNamespace="http://schemas.microsoft.com/office/2006/metadata/properties" ma:root="true" ma:fieldsID="31ca946f7fe0006a84fb76703008bf79" ns2:_="" ns3:_="">
    <xsd:import namespace="244bb23a-2fe6-433a-9a37-f7f25922d564"/>
    <xsd:import namespace="8a95167d-084d-43a8-bc0f-5d5b25d0083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4bb23a-2fe6-433a-9a37-f7f25922d5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95167d-084d-43a8-bc0f-5d5b25d0083d"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81E767-C985-4FD4-856E-E26EED55B05B}">
  <ds:schemaRefs>
    <ds:schemaRef ds:uri="8a95167d-084d-43a8-bc0f-5d5b25d0083d"/>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purl.org/dc/terms/"/>
    <ds:schemaRef ds:uri="244bb23a-2fe6-433a-9a37-f7f25922d564"/>
    <ds:schemaRef ds:uri="http://www.w3.org/XML/1998/namespace"/>
    <ds:schemaRef ds:uri="http://purl.org/dc/dcmitype/"/>
  </ds:schemaRefs>
</ds:datastoreItem>
</file>

<file path=customXml/itemProps2.xml><?xml version="1.0" encoding="utf-8"?>
<ds:datastoreItem xmlns:ds="http://schemas.openxmlformats.org/officeDocument/2006/customXml" ds:itemID="{31559145-35DD-4BE7-B6C8-B2144A6EF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4bb23a-2fe6-433a-9a37-f7f25922d564"/>
    <ds:schemaRef ds:uri="8a95167d-084d-43a8-bc0f-5d5b25d00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B4704D-2C5A-471B-B159-05199C6B6EFF}">
  <ds:schemaRefs>
    <ds:schemaRef ds:uri="http://schemas.microsoft.com/sharepoint/v3/contenttype/forms"/>
  </ds:schemaRefs>
</ds:datastoreItem>
</file>

<file path=customXml/itemProps4.xml><?xml version="1.0" encoding="utf-8"?>
<ds:datastoreItem xmlns:ds="http://schemas.openxmlformats.org/officeDocument/2006/customXml" ds:itemID="{7232243F-5C21-4C67-B25F-0A38573E0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Template>
  <TotalTime>1</TotalTime>
  <Pages>205</Pages>
  <Words>65979</Words>
  <Characters>395876</Characters>
  <Application>Microsoft Office Word</Application>
  <DocSecurity>4</DocSecurity>
  <Lines>3298</Lines>
  <Paragraphs>921</Paragraphs>
  <ScaleCrop>false</ScaleCrop>
  <HeadingPairs>
    <vt:vector size="2" baseType="variant">
      <vt:variant>
        <vt:lpstr>Tytuł</vt:lpstr>
      </vt:variant>
      <vt:variant>
        <vt:i4>1</vt:i4>
      </vt:variant>
    </vt:vector>
  </HeadingPairs>
  <TitlesOfParts>
    <vt:vector size="1" baseType="lpstr">
      <vt:lpstr/>
    </vt:vector>
  </TitlesOfParts>
  <Company>European Commission</Company>
  <LinksUpToDate>false</LinksUpToDate>
  <CharactersWithSpaces>460934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Franck.CONRAD@ec.europa.eu</dc:creator>
  <cp:keywords/>
  <dc:description/>
  <cp:lastModifiedBy>Sylwia Banaszkiewicz</cp:lastModifiedBy>
  <cp:revision>2</cp:revision>
  <dcterms:created xsi:type="dcterms:W3CDTF">2024-09-17T14:22:00Z</dcterms:created>
  <dcterms:modified xsi:type="dcterms:W3CDTF">2024-09-17T14:22:00Z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374a816a-2d6b-49e5-a075-b1e79e8e405a</vt:lpwstr>
  </property>
  <property fmtid="{D5CDD505-2E9C-101B-9397-08002B2CF9AE}" pid="3" name="IsMyDocuments">
    <vt:bool>true</vt:bool>
  </property>
  <property fmtid="{D5CDD505-2E9C-101B-9397-08002B2CF9AE}" pid="4" name="Level of sensitivity">
    <vt:lpwstr>Standard treatment</vt:lpwstr>
  </property>
  <property fmtid="{D5CDD505-2E9C-101B-9397-08002B2CF9AE}" pid="5" name="Part">
    <vt:lpwstr>2</vt:lpwstr>
  </property>
  <property fmtid="{D5CDD505-2E9C-101B-9397-08002B2CF9AE}" pid="6" name="Total parts">
    <vt:lpwstr>2</vt:lpwstr>
  </property>
  <property fmtid="{D5CDD505-2E9C-101B-9397-08002B2CF9AE}" pid="7" name="DocStatus">
    <vt:lpwstr>Green</vt:lpwstr>
  </property>
  <property fmtid="{D5CDD505-2E9C-101B-9397-08002B2CF9AE}" pid="8" name="CPTemplateID">
    <vt:lpwstr>CP-024</vt:lpwstr>
  </property>
  <property fmtid="{D5CDD505-2E9C-101B-9397-08002B2CF9AE}" pid="9" name="Last edited using">
    <vt:lpwstr>LW 8.0, Build 20220128</vt:lpwstr>
  </property>
  <property fmtid="{D5CDD505-2E9C-101B-9397-08002B2CF9AE}" pid="10" name="Created using">
    <vt:lpwstr>LW 7.0.1, Build 20190916</vt:lpwstr>
  </property>
  <property fmtid="{D5CDD505-2E9C-101B-9397-08002B2CF9AE}" pid="11" name="_LW_INVALIDATED__LW_INVALIDATED__LW_INVALIDATED__LW_INVALIDATED__LW_INVALIDATED__LW_INVALIDATED__LW_INVALIDATED__LW_INVALIDATED__LW_INVALIDATED__LW_INVALIDATED__LW_INVALIDATED__LW_INVALIDATED__LW_INVALIDATED__LW_INVALIDATED_ContentTypeId">
    <vt:lpwstr>0x010100258AA79CEB83498886A3A0868112325000E5D7129F0CC3244EA23535B992281BA9</vt:lpwstr>
  </property>
  <property fmtid="{D5CDD505-2E9C-101B-9397-08002B2CF9AE}" pid="12" name="_LW_INVALIDATED__LW_INVALIDATED__LW_INVALIDATED__LW_INVALIDATED__LW_INVALIDATED__LW_INVALIDATED_ContentTypeId">
    <vt:lpwstr>0x010100087E4EC354ADFB40AC5D4FC129E379BA</vt:lpwstr>
  </property>
  <property fmtid="{D5CDD505-2E9C-101B-9397-08002B2CF9AE}" pid="13" name="_LW_INVALIDATED_ContentTypeId">
    <vt:lpwstr>0x010100258AA79CEB83498886A3A0868112325000E5D7129F0CC3244EA23535B992281BA9</vt:lpwstr>
  </property>
  <property fmtid="{D5CDD505-2E9C-101B-9397-08002B2CF9AE}" pid="14" name="ContentTypeId">
    <vt:lpwstr>0x0101004D186C3EA263BD4F917A6C85A18A961C</vt:lpwstr>
  </property>
  <property fmtid="{D5CDD505-2E9C-101B-9397-08002B2CF9AE}" pid="15" name="MSIP_Label_6bd9ddd1-4d20-43f6-abfa-fc3c07406f94_Enabled">
    <vt:lpwstr>true</vt:lpwstr>
  </property>
  <property fmtid="{D5CDD505-2E9C-101B-9397-08002B2CF9AE}" pid="16" name="MSIP_Label_6bd9ddd1-4d20-43f6-abfa-fc3c07406f94_SetDate">
    <vt:lpwstr>2022-05-12T08:19:26Z</vt:lpwstr>
  </property>
  <property fmtid="{D5CDD505-2E9C-101B-9397-08002B2CF9AE}" pid="17" name="MSIP_Label_6bd9ddd1-4d20-43f6-abfa-fc3c07406f94_Method">
    <vt:lpwstr>Standard</vt:lpwstr>
  </property>
  <property fmtid="{D5CDD505-2E9C-101B-9397-08002B2CF9AE}" pid="18" name="MSIP_Label_6bd9ddd1-4d20-43f6-abfa-fc3c07406f94_Name">
    <vt:lpwstr>Commission Use</vt:lpwstr>
  </property>
  <property fmtid="{D5CDD505-2E9C-101B-9397-08002B2CF9AE}" pid="19" name="MSIP_Label_6bd9ddd1-4d20-43f6-abfa-fc3c07406f94_SiteId">
    <vt:lpwstr>b24c8b06-522c-46fe-9080-70926f8dddb1</vt:lpwstr>
  </property>
  <property fmtid="{D5CDD505-2E9C-101B-9397-08002B2CF9AE}" pid="20" name="MSIP_Label_6bd9ddd1-4d20-43f6-abfa-fc3c07406f94_ActionId">
    <vt:lpwstr>4cc02a2a-a547-467b-9799-f11d530f1b58</vt:lpwstr>
  </property>
  <property fmtid="{D5CDD505-2E9C-101B-9397-08002B2CF9AE}" pid="21" name="MSIP_Label_6bd9ddd1-4d20-43f6-abfa-fc3c07406f94_ContentBits">
    <vt:lpwstr>0</vt:lpwstr>
  </property>
  <property fmtid="{D5CDD505-2E9C-101B-9397-08002B2CF9AE}" pid="22" name="DQCStatus">
    <vt:lpwstr>Red (DQC version 03)</vt:lpwstr>
  </property>
</Properties>
</file>